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7F9BA" w14:textId="77777777" w:rsidR="0051496B" w:rsidRDefault="0051496B">
      <w:pPr>
        <w:pStyle w:val="a7"/>
        <w:rPr>
          <w:rtl/>
        </w:rPr>
      </w:pPr>
      <w:r>
        <w:rPr>
          <w:rtl/>
        </w:rPr>
        <w:t>מדינת ישראל</w:t>
      </w:r>
    </w:p>
    <w:p w14:paraId="31041E87" w14:textId="77777777" w:rsidR="0051496B" w:rsidRDefault="0051496B">
      <w:pPr>
        <w:pStyle w:val="a7"/>
        <w:rPr>
          <w:rtl/>
        </w:rPr>
      </w:pPr>
      <w:r>
        <w:rPr>
          <w:rtl/>
        </w:rPr>
        <w:t>האוצר - אגף התקציבים</w:t>
      </w:r>
    </w:p>
    <w:p w14:paraId="0613DF3D" w14:textId="77777777" w:rsidR="0051496B" w:rsidRDefault="0051496B">
      <w:pPr>
        <w:rPr>
          <w:rtl/>
        </w:rPr>
      </w:pPr>
    </w:p>
    <w:p w14:paraId="4367D17F" w14:textId="77777777" w:rsidR="0051496B" w:rsidRDefault="0051496B">
      <w:pPr>
        <w:rPr>
          <w:rtl/>
        </w:rPr>
      </w:pPr>
    </w:p>
    <w:p w14:paraId="00DCC0AB" w14:textId="77777777" w:rsidR="0051496B" w:rsidRPr="000A3FA0" w:rsidRDefault="0051496B">
      <w:pPr>
        <w:tabs>
          <w:tab w:val="left" w:pos="6300"/>
        </w:tabs>
        <w:rPr>
          <w:rFonts w:cs="FrankRuehl"/>
          <w:sz w:val="26"/>
          <w:szCs w:val="26"/>
          <w:rtl/>
        </w:rPr>
      </w:pPr>
      <w:r>
        <w:rPr>
          <w:rtl/>
        </w:rPr>
        <w:tab/>
      </w:r>
      <w:bookmarkStart w:id="0" w:name="TAKZIV8"/>
      <w:bookmarkEnd w:id="0"/>
    </w:p>
    <w:p w14:paraId="2FD81732" w14:textId="77777777" w:rsidR="0051496B" w:rsidRPr="000A3FA0" w:rsidRDefault="0051496B">
      <w:pPr>
        <w:tabs>
          <w:tab w:val="left" w:pos="6300"/>
        </w:tabs>
        <w:rPr>
          <w:rFonts w:cs="FrankRuehl"/>
          <w:sz w:val="26"/>
          <w:szCs w:val="26"/>
          <w:rtl/>
        </w:rPr>
      </w:pPr>
      <w:r w:rsidRPr="000A3FA0">
        <w:rPr>
          <w:rFonts w:cs="FrankRuehl"/>
          <w:sz w:val="26"/>
          <w:szCs w:val="26"/>
          <w:rtl/>
        </w:rPr>
        <w:tab/>
      </w:r>
      <w:r w:rsidRPr="000A3FA0">
        <w:rPr>
          <w:rFonts w:cs="FrankRuehl"/>
          <w:sz w:val="26"/>
          <w:szCs w:val="26"/>
          <w:rtl/>
        </w:rPr>
        <w:tab/>
      </w:r>
    </w:p>
    <w:p w14:paraId="0FFEA00D" w14:textId="77777777" w:rsidR="0051496B" w:rsidRPr="000A3FA0" w:rsidRDefault="0051496B" w:rsidP="007332A2">
      <w:pPr>
        <w:rPr>
          <w:rFonts w:cs="FrankRuehl"/>
          <w:sz w:val="26"/>
          <w:szCs w:val="26"/>
          <w:rtl/>
        </w:rPr>
      </w:pPr>
      <w:r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Pr="000A3FA0">
        <w:rPr>
          <w:rFonts w:cs="FrankRuehl"/>
          <w:sz w:val="26"/>
          <w:szCs w:val="26"/>
          <w:rtl/>
        </w:rPr>
        <w:t xml:space="preserve">ירושלים, </w:t>
      </w:r>
      <w:bookmarkStart w:id="1" w:name="TAKZIV9"/>
      <w:bookmarkEnd w:id="1"/>
    </w:p>
    <w:p w14:paraId="364ECB42" w14:textId="579ED8A5" w:rsidR="0051496B" w:rsidRPr="000A3FA0" w:rsidRDefault="0051496B" w:rsidP="007332A2">
      <w:pPr>
        <w:tabs>
          <w:tab w:val="left" w:pos="6039"/>
        </w:tabs>
        <w:rPr>
          <w:rFonts w:cs="FrankRuehl"/>
          <w:sz w:val="26"/>
          <w:szCs w:val="26"/>
          <w:rtl/>
        </w:rPr>
      </w:pPr>
      <w:r w:rsidRPr="000A3FA0">
        <w:rPr>
          <w:rFonts w:cs="FrankRuehl"/>
          <w:sz w:val="26"/>
          <w:szCs w:val="26"/>
          <w:rtl/>
        </w:rPr>
        <w:tab/>
        <w:t xml:space="preserve">בקשה מספר </w:t>
      </w:r>
      <w:bookmarkStart w:id="2" w:name="TAKZIV4"/>
      <w:r w:rsidR="009B7E2B">
        <w:rPr>
          <w:rFonts w:cs="FrankRuehl"/>
          <w:sz w:val="26"/>
          <w:szCs w:val="26"/>
          <w:rtl/>
        </w:rPr>
        <w:t>201</w:t>
      </w:r>
      <w:bookmarkEnd w:id="2"/>
      <w:r w:rsidRPr="000A3FA0">
        <w:rPr>
          <w:rFonts w:cs="FrankRuehl"/>
          <w:sz w:val="26"/>
          <w:szCs w:val="26"/>
          <w:rtl/>
        </w:rPr>
        <w:t xml:space="preserve"> - </w:t>
      </w:r>
      <w:bookmarkStart w:id="3" w:name="TAKZIV3"/>
      <w:r w:rsidR="009B7E2B">
        <w:rPr>
          <w:rFonts w:cs="FrankRuehl"/>
          <w:sz w:val="26"/>
          <w:szCs w:val="26"/>
          <w:rtl/>
        </w:rPr>
        <w:t>33</w:t>
      </w:r>
      <w:bookmarkEnd w:id="3"/>
    </w:p>
    <w:p w14:paraId="07D86B79" w14:textId="77777777" w:rsidR="0051496B" w:rsidRPr="000A3FA0" w:rsidRDefault="0051496B">
      <w:pPr>
        <w:tabs>
          <w:tab w:val="left" w:pos="6300"/>
        </w:tabs>
        <w:rPr>
          <w:rFonts w:cs="FrankRuehl"/>
          <w:sz w:val="26"/>
          <w:szCs w:val="26"/>
          <w:rtl/>
        </w:rPr>
      </w:pPr>
      <w:r w:rsidRPr="000A3FA0">
        <w:rPr>
          <w:rFonts w:cs="FrankRuehl"/>
          <w:sz w:val="26"/>
          <w:szCs w:val="26"/>
          <w:rtl/>
        </w:rPr>
        <w:tab/>
      </w:r>
    </w:p>
    <w:p w14:paraId="149FBD81" w14:textId="77777777" w:rsidR="0051496B" w:rsidRPr="000A3FA0" w:rsidRDefault="0051496B">
      <w:pPr>
        <w:tabs>
          <w:tab w:val="left" w:pos="6300"/>
        </w:tabs>
        <w:rPr>
          <w:rFonts w:cs="FrankRuehl"/>
          <w:sz w:val="26"/>
          <w:szCs w:val="26"/>
          <w:rtl/>
        </w:rPr>
      </w:pPr>
      <w:r w:rsidRPr="000A3FA0">
        <w:rPr>
          <w:rFonts w:cs="FrankRuehl"/>
          <w:sz w:val="26"/>
          <w:szCs w:val="26"/>
          <w:rtl/>
        </w:rPr>
        <w:tab/>
      </w:r>
    </w:p>
    <w:p w14:paraId="4F35A859" w14:textId="77777777" w:rsidR="0051496B" w:rsidRPr="000A3FA0" w:rsidRDefault="0051496B">
      <w:pPr>
        <w:rPr>
          <w:rFonts w:cs="FrankRuehl"/>
          <w:sz w:val="26"/>
          <w:szCs w:val="26"/>
          <w:rtl/>
        </w:rPr>
      </w:pPr>
      <w:r w:rsidRPr="000A3FA0">
        <w:rPr>
          <w:rFonts w:cs="FrankRuehl"/>
          <w:sz w:val="26"/>
          <w:szCs w:val="26"/>
          <w:rtl/>
        </w:rPr>
        <w:t>לכבוד,</w:t>
      </w:r>
    </w:p>
    <w:p w14:paraId="588837CC" w14:textId="77777777" w:rsidR="0051496B" w:rsidRPr="000A3FA0" w:rsidRDefault="0051496B">
      <w:pPr>
        <w:rPr>
          <w:rFonts w:cs="FrankRuehl"/>
          <w:sz w:val="26"/>
          <w:szCs w:val="26"/>
          <w:rtl/>
        </w:rPr>
      </w:pPr>
      <w:r w:rsidRPr="000A3FA0">
        <w:rPr>
          <w:rFonts w:cs="FrankRuehl"/>
          <w:sz w:val="26"/>
          <w:szCs w:val="26"/>
          <w:rtl/>
        </w:rPr>
        <w:t>יו"ר ועדת הכספים</w:t>
      </w:r>
    </w:p>
    <w:p w14:paraId="7CD1624D" w14:textId="77777777" w:rsidR="0051496B" w:rsidRPr="000A3FA0" w:rsidRDefault="0051496B">
      <w:pPr>
        <w:rPr>
          <w:rFonts w:cs="FrankRuehl"/>
          <w:sz w:val="26"/>
          <w:szCs w:val="26"/>
          <w:rtl/>
        </w:rPr>
      </w:pPr>
      <w:r w:rsidRPr="000A3FA0">
        <w:rPr>
          <w:rFonts w:cs="FrankRuehl"/>
          <w:sz w:val="26"/>
          <w:szCs w:val="26"/>
          <w:rtl/>
        </w:rPr>
        <w:t>הכנסת</w:t>
      </w:r>
    </w:p>
    <w:p w14:paraId="07B511F9" w14:textId="77777777" w:rsidR="0051496B" w:rsidRPr="000A3FA0" w:rsidRDefault="0051496B">
      <w:pPr>
        <w:rPr>
          <w:rFonts w:cs="FrankRuehl"/>
          <w:sz w:val="26"/>
          <w:szCs w:val="26"/>
          <w:rtl/>
        </w:rPr>
      </w:pPr>
    </w:p>
    <w:p w14:paraId="487F2372" w14:textId="77777777" w:rsidR="0051496B" w:rsidRPr="000A3FA0" w:rsidRDefault="0051496B">
      <w:pPr>
        <w:rPr>
          <w:rFonts w:cs="FrankRuehl"/>
          <w:sz w:val="26"/>
          <w:szCs w:val="26"/>
          <w:rtl/>
        </w:rPr>
      </w:pPr>
      <w:r w:rsidRPr="000A3FA0">
        <w:rPr>
          <w:rFonts w:cs="FrankRuehl"/>
          <w:sz w:val="26"/>
          <w:szCs w:val="26"/>
          <w:rtl/>
        </w:rPr>
        <w:t>א.נ.,</w:t>
      </w:r>
    </w:p>
    <w:p w14:paraId="507FA9C6" w14:textId="77777777" w:rsidR="0051496B" w:rsidRPr="000A3FA0" w:rsidRDefault="0051496B">
      <w:pPr>
        <w:rPr>
          <w:rFonts w:cs="FrankRuehl"/>
          <w:sz w:val="26"/>
          <w:szCs w:val="26"/>
          <w:rtl/>
        </w:rPr>
      </w:pPr>
    </w:p>
    <w:p w14:paraId="4CA0F735" w14:textId="1D40C238" w:rsidR="0051496B" w:rsidRPr="000A3FA0" w:rsidRDefault="0051496B">
      <w:pPr>
        <w:pStyle w:val="a6"/>
        <w:rPr>
          <w:rFonts w:cs="FrankRuehl"/>
          <w:sz w:val="26"/>
          <w:rtl/>
        </w:rPr>
      </w:pPr>
      <w:r w:rsidRPr="000A3FA0">
        <w:rPr>
          <w:rFonts w:cs="FrankRuehl"/>
          <w:bCs w:val="0"/>
          <w:sz w:val="26"/>
          <w:u w:val="none"/>
          <w:rtl/>
        </w:rPr>
        <w:t xml:space="preserve">הנדון: </w:t>
      </w:r>
      <w:r w:rsidRPr="000A3FA0">
        <w:rPr>
          <w:rFonts w:cs="FrankRuehl"/>
          <w:bCs w:val="0"/>
          <w:sz w:val="26"/>
          <w:rtl/>
        </w:rPr>
        <w:t>שימוש בעודפי תקציב לשנת</w:t>
      </w:r>
      <w:r w:rsidRPr="000A3FA0">
        <w:rPr>
          <w:rFonts w:cs="FrankRuehl"/>
          <w:sz w:val="26"/>
          <w:rtl/>
        </w:rPr>
        <w:t xml:space="preserve"> </w:t>
      </w:r>
      <w:bookmarkStart w:id="4" w:name="TAKZIV1_2"/>
      <w:bookmarkStart w:id="5" w:name="TAKZIV1_1"/>
      <w:bookmarkEnd w:id="4"/>
      <w:r w:rsidR="009B7E2B">
        <w:rPr>
          <w:rFonts w:cs="FrankRuehl"/>
          <w:sz w:val="26"/>
          <w:rtl/>
        </w:rPr>
        <w:t>2026</w:t>
      </w:r>
      <w:bookmarkEnd w:id="5"/>
      <w:r w:rsidRPr="000A3FA0">
        <w:rPr>
          <w:rFonts w:cs="FrankRuehl"/>
          <w:sz w:val="26"/>
          <w:rtl/>
        </w:rPr>
        <w:t xml:space="preserve">     </w:t>
      </w:r>
    </w:p>
    <w:p w14:paraId="563883C5" w14:textId="77777777" w:rsidR="0051496B" w:rsidRPr="000A3FA0" w:rsidRDefault="0051496B" w:rsidP="00A6761F">
      <w:pPr>
        <w:jc w:val="both"/>
        <w:rPr>
          <w:rFonts w:cs="FrankRuehl"/>
          <w:sz w:val="26"/>
          <w:szCs w:val="26"/>
          <w:rtl/>
        </w:rPr>
      </w:pPr>
    </w:p>
    <w:p w14:paraId="6C96BB1B" w14:textId="557C75E6" w:rsidR="0051496B" w:rsidRDefault="0051496B" w:rsidP="000D1A04">
      <w:pPr>
        <w:jc w:val="both"/>
        <w:rPr>
          <w:rFonts w:cs="FrankRuehl"/>
          <w:sz w:val="26"/>
          <w:szCs w:val="26"/>
          <w:rtl/>
        </w:rPr>
      </w:pPr>
      <w:r w:rsidRPr="000A3FA0">
        <w:rPr>
          <w:rFonts w:cs="FrankRuehl"/>
          <w:sz w:val="26"/>
          <w:szCs w:val="26"/>
          <w:rtl/>
        </w:rPr>
        <w:t>שר האוצר מתכבד להודיע לו</w:t>
      </w:r>
      <w:r w:rsidR="00A14A9C" w:rsidRPr="000A3FA0">
        <w:rPr>
          <w:rFonts w:cs="FrankRuehl" w:hint="cs"/>
          <w:sz w:val="26"/>
          <w:szCs w:val="26"/>
          <w:rtl/>
        </w:rPr>
        <w:t>ו</w:t>
      </w:r>
      <w:r w:rsidRPr="000A3FA0">
        <w:rPr>
          <w:rFonts w:cs="FrankRuehl"/>
          <w:sz w:val="26"/>
          <w:szCs w:val="26"/>
          <w:rtl/>
        </w:rPr>
        <w:t xml:space="preserve">עדת הכספים של הכנסת על העברת סכום של </w:t>
      </w:r>
      <w:bookmarkStart w:id="6" w:name="TAKZIV30"/>
      <w:r w:rsidR="009B7E2B">
        <w:rPr>
          <w:rFonts w:cs="FrankRuehl"/>
          <w:sz w:val="26"/>
          <w:szCs w:val="26"/>
          <w:rtl/>
        </w:rPr>
        <w:t>333,541</w:t>
      </w:r>
      <w:bookmarkEnd w:id="6"/>
      <w:r w:rsidRPr="000A3FA0">
        <w:rPr>
          <w:rFonts w:cs="FrankRuehl"/>
          <w:sz w:val="26"/>
          <w:szCs w:val="26"/>
          <w:rtl/>
        </w:rPr>
        <w:t xml:space="preserve"> אלפי שקלים חדשים מסעיף </w:t>
      </w:r>
      <w:bookmarkStart w:id="7" w:name="TAKZIV3_1"/>
      <w:r w:rsidR="009B7E2B">
        <w:rPr>
          <w:rFonts w:cs="FrankRuehl"/>
          <w:sz w:val="26"/>
          <w:szCs w:val="26"/>
          <w:rtl/>
        </w:rPr>
        <w:t>33</w:t>
      </w:r>
      <w:bookmarkEnd w:id="7"/>
      <w:r w:rsidRPr="000A3FA0">
        <w:rPr>
          <w:rFonts w:cs="FrankRuehl"/>
          <w:sz w:val="26"/>
          <w:szCs w:val="26"/>
          <w:rtl/>
        </w:rPr>
        <w:t xml:space="preserve"> - </w:t>
      </w:r>
      <w:bookmarkStart w:id="8" w:name="TAKZIV6_2"/>
      <w:r w:rsidR="009B7E2B">
        <w:rPr>
          <w:rFonts w:cs="FrankRuehl"/>
          <w:sz w:val="26"/>
          <w:szCs w:val="26"/>
          <w:rtl/>
        </w:rPr>
        <w:t>משרד החקלאות</w:t>
      </w:r>
      <w:bookmarkEnd w:id="8"/>
      <w:r w:rsidRPr="000A3FA0">
        <w:rPr>
          <w:rFonts w:cs="FrankRuehl"/>
          <w:sz w:val="26"/>
          <w:szCs w:val="26"/>
          <w:rtl/>
        </w:rPr>
        <w:t xml:space="preserve"> משנת הכספים </w:t>
      </w:r>
      <w:bookmarkStart w:id="9" w:name="TAKZIV2_1"/>
      <w:r w:rsidR="009B7E2B">
        <w:rPr>
          <w:rFonts w:cs="FrankRuehl"/>
          <w:sz w:val="26"/>
          <w:szCs w:val="26"/>
          <w:rtl/>
        </w:rPr>
        <w:t>2025</w:t>
      </w:r>
      <w:bookmarkEnd w:id="9"/>
      <w:r w:rsidRPr="000A3FA0">
        <w:rPr>
          <w:rFonts w:cs="FrankRuehl"/>
          <w:sz w:val="26"/>
          <w:szCs w:val="26"/>
          <w:rtl/>
        </w:rPr>
        <w:t xml:space="preserve">, כעודף לשימוש בשנת הכספים </w:t>
      </w:r>
      <w:bookmarkStart w:id="10" w:name="TAKZIV1"/>
      <w:r w:rsidR="009B7E2B">
        <w:rPr>
          <w:rFonts w:cs="FrankRuehl"/>
          <w:sz w:val="26"/>
          <w:szCs w:val="26"/>
          <w:rtl/>
        </w:rPr>
        <w:t>2026</w:t>
      </w:r>
      <w:bookmarkEnd w:id="10"/>
      <w:r w:rsidRPr="000A3FA0">
        <w:rPr>
          <w:rFonts w:cs="FrankRuehl"/>
          <w:sz w:val="26"/>
          <w:szCs w:val="26"/>
          <w:rtl/>
        </w:rPr>
        <w:t xml:space="preserve">, בהתאם לסעיף 13 (א) לחוק יסודות התקציב </w:t>
      </w:r>
      <w:proofErr w:type="spellStart"/>
      <w:r w:rsidRPr="000A3FA0">
        <w:rPr>
          <w:rFonts w:cs="FrankRuehl"/>
          <w:sz w:val="26"/>
          <w:szCs w:val="26"/>
          <w:rtl/>
        </w:rPr>
        <w:t>התשמ"ה</w:t>
      </w:r>
      <w:proofErr w:type="spellEnd"/>
      <w:r w:rsidRPr="000A3FA0">
        <w:rPr>
          <w:rFonts w:cs="FrankRuehl"/>
          <w:sz w:val="26"/>
          <w:szCs w:val="26"/>
          <w:rtl/>
        </w:rPr>
        <w:t xml:space="preserve"> - 1985,</w:t>
      </w:r>
      <w:r w:rsidR="000D1A04">
        <w:rPr>
          <w:rFonts w:cs="FrankRuehl" w:hint="cs"/>
          <w:sz w:val="26"/>
          <w:szCs w:val="26"/>
          <w:rtl/>
        </w:rPr>
        <w:t xml:space="preserve"> </w:t>
      </w:r>
      <w:r w:rsidRPr="000A3FA0">
        <w:rPr>
          <w:rFonts w:cs="FrankRuehl"/>
          <w:sz w:val="26"/>
          <w:szCs w:val="26"/>
          <w:rtl/>
        </w:rPr>
        <w:t>כמפורט בתדפיס המצורף בזה.</w:t>
      </w:r>
    </w:p>
    <w:p w14:paraId="7A10B9FE" w14:textId="6A20D115" w:rsidR="000D1A04" w:rsidRDefault="000D1A04" w:rsidP="000D1A04">
      <w:pPr>
        <w:jc w:val="both"/>
        <w:rPr>
          <w:rFonts w:cs="FrankRuehl"/>
          <w:sz w:val="26"/>
          <w:szCs w:val="26"/>
          <w:rtl/>
        </w:rPr>
      </w:pPr>
    </w:p>
    <w:p w14:paraId="45C12360" w14:textId="4FE681C8" w:rsidR="000D1A04" w:rsidRDefault="000D1A04" w:rsidP="000D1A04">
      <w:pPr>
        <w:spacing w:line="276" w:lineRule="auto"/>
        <w:jc w:val="both"/>
        <w:rPr>
          <w:rFonts w:ascii="FrankRuehl" w:hAnsi="FrankRuehl" w:cs="FrankRuehl"/>
          <w:b/>
          <w:bCs/>
          <w:sz w:val="26"/>
          <w:szCs w:val="26"/>
          <w:lang w:eastAsia="en-US"/>
        </w:rPr>
      </w:pPr>
      <w:r>
        <w:rPr>
          <w:rFonts w:ascii="FrankRuehl" w:hAnsi="FrankRuehl" w:cs="FrankRuehl"/>
          <w:b/>
          <w:bCs/>
          <w:sz w:val="26"/>
          <w:szCs w:val="26"/>
          <w:rtl/>
        </w:rPr>
        <w:t xml:space="preserve">הבקשה דנה בסעיף תקציבי: </w:t>
      </w:r>
      <w:r w:rsidRPr="000D1A04">
        <w:rPr>
          <w:rFonts w:ascii="FrankRuehl" w:hAnsi="FrankRuehl" w:cs="FrankRuehl"/>
          <w:sz w:val="26"/>
          <w:szCs w:val="26"/>
          <w:rtl/>
        </w:rPr>
        <w:t xml:space="preserve">33 </w:t>
      </w:r>
      <w:r w:rsidRPr="000D1A04">
        <w:rPr>
          <w:rFonts w:ascii="FrankRuehl" w:hAnsi="FrankRuehl" w:cs="FrankRuehl" w:hint="cs"/>
          <w:sz w:val="26"/>
          <w:szCs w:val="26"/>
          <w:rtl/>
        </w:rPr>
        <w:t>-</w:t>
      </w:r>
      <w:r w:rsidRPr="000D1A04">
        <w:rPr>
          <w:rFonts w:ascii="FrankRuehl" w:hAnsi="FrankRuehl" w:cs="FrankRuehl"/>
          <w:sz w:val="26"/>
          <w:szCs w:val="26"/>
          <w:rtl/>
        </w:rPr>
        <w:t xml:space="preserve"> משרד החקלאות</w:t>
      </w:r>
    </w:p>
    <w:p w14:paraId="1D76EA47" w14:textId="77777777" w:rsidR="000D1A04" w:rsidRDefault="000D1A04" w:rsidP="000D1A04">
      <w:pPr>
        <w:spacing w:line="276" w:lineRule="auto"/>
        <w:jc w:val="both"/>
        <w:rPr>
          <w:rFonts w:ascii="FrankRuehl" w:hAnsi="FrankRuehl" w:cs="FrankRuehl"/>
          <w:b/>
          <w:bCs/>
          <w:sz w:val="26"/>
          <w:szCs w:val="26"/>
        </w:rPr>
      </w:pPr>
    </w:p>
    <w:p w14:paraId="76065572" w14:textId="77777777" w:rsidR="000D1A04" w:rsidRDefault="000D1A04" w:rsidP="000D1A04">
      <w:pPr>
        <w:spacing w:line="276" w:lineRule="auto"/>
        <w:jc w:val="both"/>
        <w:rPr>
          <w:rFonts w:ascii="FrankRuehl" w:hAnsi="FrankRuehl" w:cs="FrankRuehl"/>
          <w:sz w:val="26"/>
          <w:szCs w:val="26"/>
          <w:rtl/>
        </w:rPr>
      </w:pPr>
      <w:r>
        <w:rPr>
          <w:rFonts w:ascii="FrankRuehl" w:hAnsi="FrankRuehl" w:cs="FrankRuehl"/>
          <w:b/>
          <w:bCs/>
          <w:sz w:val="26"/>
          <w:szCs w:val="26"/>
          <w:rtl/>
        </w:rPr>
        <w:t>עיקרי הפנייה:</w:t>
      </w:r>
      <w:r>
        <w:rPr>
          <w:rFonts w:ascii="FrankRuehl" w:hAnsi="FrankRuehl" w:cs="FrankRuehl"/>
          <w:sz w:val="26"/>
          <w:szCs w:val="26"/>
          <w:rtl/>
        </w:rPr>
        <w:t xml:space="preserve">  </w:t>
      </w:r>
    </w:p>
    <w:p w14:paraId="2C2C7CB4" w14:textId="77777777" w:rsidR="000D1A04" w:rsidRDefault="000D1A04" w:rsidP="000D1A04">
      <w:pPr>
        <w:spacing w:line="276" w:lineRule="auto"/>
        <w:jc w:val="both"/>
        <w:rPr>
          <w:rFonts w:ascii="FrankRuehl" w:hAnsi="FrankRuehl" w:cs="FrankRuehl"/>
          <w:sz w:val="26"/>
          <w:szCs w:val="26"/>
        </w:rPr>
      </w:pPr>
      <w:r>
        <w:rPr>
          <w:rFonts w:ascii="FrankRuehl" w:hAnsi="FrankRuehl" w:cs="FrankRuehl"/>
          <w:sz w:val="26"/>
          <w:szCs w:val="26"/>
          <w:rtl/>
        </w:rPr>
        <w:t>הפנייה התקציבית נועדה להעברת עודפים משנת התקציב 2025 לשנת התקציב 2026 בסך של 333,541 אלפי ש"ח בהוצאה לתוכניות התקציב הבאות, שעיקרן כפי שמפורט להלן:</w:t>
      </w:r>
    </w:p>
    <w:p w14:paraId="41B8C78D" w14:textId="77777777" w:rsidR="000D1A04" w:rsidRDefault="000D1A04" w:rsidP="000D1A04">
      <w:pPr>
        <w:numPr>
          <w:ilvl w:val="0"/>
          <w:numId w:val="1"/>
        </w:numPr>
        <w:overflowPunct/>
        <w:autoSpaceDE/>
        <w:autoSpaceDN/>
        <w:adjustRightInd/>
        <w:spacing w:before="120" w:after="120" w:line="276" w:lineRule="auto"/>
        <w:ind w:left="360"/>
        <w:jc w:val="both"/>
        <w:textAlignment w:val="auto"/>
        <w:rPr>
          <w:rFonts w:ascii="FrankRuehl" w:hAnsi="FrankRuehl" w:cs="FrankRuehl"/>
          <w:b/>
          <w:bCs/>
          <w:sz w:val="26"/>
          <w:szCs w:val="26"/>
          <w:rtl/>
        </w:rPr>
      </w:pPr>
      <w:r>
        <w:rPr>
          <w:rFonts w:ascii="FrankRuehl" w:hAnsi="FrankRuehl" w:cs="FrankRuehl"/>
          <w:b/>
          <w:bCs/>
          <w:sz w:val="26"/>
          <w:szCs w:val="26"/>
          <w:rtl/>
        </w:rPr>
        <w:t xml:space="preserve">תכנית 33-01-02: הוצאות שוטפות לפעילות המשרד – 134,306 אלפי ש"ח בהוצאה. </w:t>
      </w:r>
    </w:p>
    <w:p w14:paraId="68CC54F8" w14:textId="77777777" w:rsidR="000D1A04" w:rsidRDefault="000D1A04" w:rsidP="000D1A04">
      <w:pPr>
        <w:spacing w:line="276" w:lineRule="auto"/>
        <w:ind w:left="360"/>
        <w:jc w:val="both"/>
        <w:rPr>
          <w:rFonts w:ascii="FrankRuehl" w:hAnsi="FrankRuehl" w:cs="FrankRuehl"/>
          <w:b/>
          <w:bCs/>
          <w:sz w:val="26"/>
          <w:szCs w:val="26"/>
        </w:rPr>
      </w:pPr>
      <w:r>
        <w:rPr>
          <w:rFonts w:cs="FrankRuehl"/>
          <w:sz w:val="26"/>
          <w:szCs w:val="26"/>
          <w:rtl/>
        </w:rPr>
        <w:t xml:space="preserve">תכנית זו כוללת את כל ההוצאות והתקשרויות הרכש (ציוד ושירותים) של משרד החקלאות על יחידותיו השונות. </w:t>
      </w:r>
    </w:p>
    <w:p w14:paraId="01E4ABC1" w14:textId="77777777" w:rsidR="000D1A04" w:rsidRDefault="000D1A04" w:rsidP="000D1A04">
      <w:pPr>
        <w:spacing w:line="276" w:lineRule="auto"/>
        <w:ind w:firstLine="368"/>
        <w:jc w:val="both"/>
        <w:rPr>
          <w:rFonts w:ascii="FrankRuehl" w:hAnsi="FrankRuehl" w:cs="FrankRuehl"/>
          <w:b/>
          <w:bCs/>
          <w:sz w:val="26"/>
          <w:szCs w:val="26"/>
          <w:rtl/>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p>
    <w:p w14:paraId="3C9DAFAE" w14:textId="77777777" w:rsidR="000D1A04" w:rsidRDefault="000D1A04" w:rsidP="000D1A04">
      <w:pPr>
        <w:spacing w:line="276" w:lineRule="auto"/>
        <w:ind w:left="397"/>
        <w:contextualSpacing/>
        <w:jc w:val="both"/>
        <w:rPr>
          <w:rFonts w:cs="FrankRuehl"/>
          <w:sz w:val="26"/>
          <w:szCs w:val="26"/>
          <w:rtl/>
        </w:rPr>
      </w:pPr>
      <w:r>
        <w:rPr>
          <w:rFonts w:cs="FrankRuehl"/>
          <w:sz w:val="26"/>
          <w:szCs w:val="26"/>
          <w:rtl/>
        </w:rPr>
        <w:t>ההתקשרויות עם הספקים אינן מתחילות כולן בראשון לינואר של כל שנה אלא תאריכי ההתחלה שלהן פזורים על פני כל השנה. סכומים אלה כוללים:</w:t>
      </w:r>
    </w:p>
    <w:p w14:paraId="08697245" w14:textId="77777777" w:rsidR="000D1A04" w:rsidRDefault="000D1A04" w:rsidP="000D1A04">
      <w:pPr>
        <w:numPr>
          <w:ilvl w:val="1"/>
          <w:numId w:val="2"/>
        </w:numPr>
        <w:overflowPunct/>
        <w:autoSpaceDE/>
        <w:autoSpaceDN/>
        <w:adjustRightInd/>
        <w:spacing w:line="276" w:lineRule="auto"/>
        <w:jc w:val="both"/>
        <w:textAlignment w:val="auto"/>
        <w:rPr>
          <w:rFonts w:ascii="FrankRuehl" w:hAnsi="FrankRuehl" w:cs="FrankRuehl"/>
          <w:sz w:val="26"/>
          <w:szCs w:val="26"/>
        </w:rPr>
      </w:pPr>
      <w:r>
        <w:rPr>
          <w:rFonts w:ascii="FrankRuehl" w:hAnsi="FrankRuehl" w:cs="FrankRuehl"/>
          <w:sz w:val="26"/>
          <w:szCs w:val="26"/>
          <w:rtl/>
        </w:rPr>
        <w:t>תשלומי ניקיון, תקשורת, שמירה, חשמל וארנונה של החודשים האחרונים של 2023.</w:t>
      </w:r>
    </w:p>
    <w:p w14:paraId="50517331" w14:textId="77777777" w:rsidR="000D1A04" w:rsidRDefault="000D1A04" w:rsidP="000D1A04">
      <w:pPr>
        <w:numPr>
          <w:ilvl w:val="1"/>
          <w:numId w:val="2"/>
        </w:numPr>
        <w:overflowPunct/>
        <w:autoSpaceDE/>
        <w:autoSpaceDN/>
        <w:adjustRightInd/>
        <w:spacing w:line="276" w:lineRule="auto"/>
        <w:jc w:val="both"/>
        <w:textAlignment w:val="auto"/>
        <w:rPr>
          <w:rFonts w:ascii="FrankRuehl" w:hAnsi="FrankRuehl" w:cs="FrankRuehl"/>
          <w:sz w:val="26"/>
          <w:szCs w:val="26"/>
          <w:rtl/>
        </w:rPr>
      </w:pPr>
      <w:r>
        <w:rPr>
          <w:rFonts w:ascii="FrankRuehl" w:hAnsi="FrankRuehl" w:cs="FrankRuehl"/>
          <w:sz w:val="26"/>
          <w:szCs w:val="26"/>
          <w:rtl/>
        </w:rPr>
        <w:t>תרכיבי חיסונים למחלת "פה וטלפיים".</w:t>
      </w:r>
    </w:p>
    <w:p w14:paraId="5FBD0C7F" w14:textId="77777777" w:rsidR="000D1A04" w:rsidRDefault="000D1A04" w:rsidP="000D1A04">
      <w:pPr>
        <w:numPr>
          <w:ilvl w:val="1"/>
          <w:numId w:val="2"/>
        </w:numPr>
        <w:overflowPunct/>
        <w:autoSpaceDE/>
        <w:autoSpaceDN/>
        <w:adjustRightInd/>
        <w:spacing w:line="276" w:lineRule="auto"/>
        <w:jc w:val="both"/>
        <w:textAlignment w:val="auto"/>
        <w:rPr>
          <w:rFonts w:ascii="FrankRuehl" w:hAnsi="FrankRuehl" w:cs="FrankRuehl"/>
          <w:sz w:val="26"/>
          <w:szCs w:val="26"/>
        </w:rPr>
      </w:pPr>
      <w:r>
        <w:rPr>
          <w:rFonts w:ascii="FrankRuehl" w:hAnsi="FrankRuehl" w:cs="FrankRuehl"/>
          <w:sz w:val="26"/>
          <w:szCs w:val="26"/>
          <w:rtl/>
        </w:rPr>
        <w:t>אספקת תערובות מזון לחיות מעבדה.</w:t>
      </w:r>
    </w:p>
    <w:p w14:paraId="72953AFA" w14:textId="77777777" w:rsidR="000D1A04" w:rsidRDefault="000D1A04" w:rsidP="000D1A04">
      <w:pPr>
        <w:numPr>
          <w:ilvl w:val="1"/>
          <w:numId w:val="2"/>
        </w:numPr>
        <w:overflowPunct/>
        <w:autoSpaceDE/>
        <w:autoSpaceDN/>
        <w:adjustRightInd/>
        <w:spacing w:line="276" w:lineRule="auto"/>
        <w:jc w:val="both"/>
        <w:textAlignment w:val="auto"/>
        <w:rPr>
          <w:rFonts w:ascii="FrankRuehl" w:hAnsi="FrankRuehl" w:cs="FrankRuehl"/>
          <w:sz w:val="26"/>
          <w:szCs w:val="26"/>
          <w:rtl/>
        </w:rPr>
      </w:pPr>
      <w:r>
        <w:rPr>
          <w:rFonts w:ascii="FrankRuehl" w:hAnsi="FrankRuehl" w:cs="FrankRuehl"/>
          <w:sz w:val="26"/>
          <w:szCs w:val="26"/>
          <w:rtl/>
        </w:rPr>
        <w:t>בדיקות מזון לבעלי חיים (סקר שאריות של מזהמים במספוא).</w:t>
      </w:r>
    </w:p>
    <w:p w14:paraId="620476AA" w14:textId="77777777" w:rsidR="000D1A04" w:rsidRDefault="000D1A04" w:rsidP="000D1A04">
      <w:pPr>
        <w:numPr>
          <w:ilvl w:val="1"/>
          <w:numId w:val="2"/>
        </w:numPr>
        <w:overflowPunct/>
        <w:autoSpaceDE/>
        <w:autoSpaceDN/>
        <w:adjustRightInd/>
        <w:spacing w:line="276" w:lineRule="auto"/>
        <w:jc w:val="both"/>
        <w:textAlignment w:val="auto"/>
        <w:rPr>
          <w:rFonts w:ascii="FrankRuehl" w:hAnsi="FrankRuehl" w:cs="FrankRuehl"/>
          <w:sz w:val="26"/>
          <w:szCs w:val="26"/>
          <w:rtl/>
        </w:rPr>
      </w:pPr>
      <w:r>
        <w:rPr>
          <w:rFonts w:ascii="FrankRuehl" w:hAnsi="FrankRuehl" w:cs="FrankRuehl"/>
          <w:sz w:val="26"/>
          <w:szCs w:val="26"/>
          <w:rtl/>
        </w:rPr>
        <w:t>תרכיבים לחיסוני כלבת.</w:t>
      </w:r>
    </w:p>
    <w:p w14:paraId="74A9F91C" w14:textId="77777777" w:rsidR="000D1A04" w:rsidRDefault="000D1A04" w:rsidP="000D1A04">
      <w:pPr>
        <w:numPr>
          <w:ilvl w:val="0"/>
          <w:numId w:val="1"/>
        </w:numPr>
        <w:overflowPunct/>
        <w:autoSpaceDE/>
        <w:autoSpaceDN/>
        <w:adjustRightInd/>
        <w:spacing w:before="120" w:after="120" w:line="276" w:lineRule="auto"/>
        <w:ind w:left="360"/>
        <w:jc w:val="both"/>
        <w:textAlignment w:val="auto"/>
        <w:rPr>
          <w:rFonts w:ascii="FrankRuehl" w:hAnsi="FrankRuehl" w:cs="FrankRuehl"/>
          <w:b/>
          <w:bCs/>
          <w:sz w:val="26"/>
          <w:szCs w:val="26"/>
          <w:rtl/>
        </w:rPr>
      </w:pPr>
      <w:r>
        <w:rPr>
          <w:rFonts w:ascii="FrankRuehl" w:hAnsi="FrankRuehl" w:cs="FrankRuehl"/>
          <w:b/>
          <w:bCs/>
          <w:sz w:val="26"/>
          <w:szCs w:val="26"/>
          <w:rtl/>
        </w:rPr>
        <w:t>תכנית 33-06-02: תמיכות ומחקרים בחקלאות –  177,999 אלפי ש"ח בהוצאה.</w:t>
      </w:r>
    </w:p>
    <w:p w14:paraId="37C6AAD2" w14:textId="77777777" w:rsidR="000D1A04" w:rsidRDefault="000D1A04" w:rsidP="000D1A04">
      <w:pPr>
        <w:spacing w:line="276" w:lineRule="auto"/>
        <w:ind w:left="360"/>
        <w:jc w:val="both"/>
        <w:rPr>
          <w:rFonts w:ascii="FrankRuehl" w:hAnsi="FrankRuehl" w:cs="FrankRuehl"/>
          <w:sz w:val="26"/>
          <w:szCs w:val="26"/>
        </w:rPr>
      </w:pPr>
      <w:r>
        <w:rPr>
          <w:rFonts w:ascii="FrankRuehl" w:hAnsi="FrankRuehl" w:cs="FrankRuehl"/>
          <w:sz w:val="26"/>
          <w:szCs w:val="26"/>
          <w:rtl/>
        </w:rPr>
        <w:t xml:space="preserve">תכנית פעולה זו כוללת תמיכות בחקלאות, מענקי מחקר ופיתוח למחקרים בתחום החקלאות, תמיכות לרשויות ניקוז ותמיכות למועצות אזוריות (בנושאי פיתוח הכפר). </w:t>
      </w:r>
    </w:p>
    <w:p w14:paraId="5B9419AC" w14:textId="77777777" w:rsidR="000D1A04" w:rsidRDefault="000D1A04" w:rsidP="000D1A04">
      <w:pPr>
        <w:spacing w:line="276" w:lineRule="auto"/>
        <w:ind w:left="360"/>
        <w:jc w:val="both"/>
        <w:rPr>
          <w:rFonts w:ascii="FrankRuehl" w:hAnsi="FrankRuehl" w:cs="FrankRuehl"/>
          <w:b/>
          <w:bCs/>
          <w:sz w:val="26"/>
          <w:szCs w:val="26"/>
          <w:rtl/>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p>
    <w:p w14:paraId="5BA9BE17" w14:textId="7FC97BFF" w:rsidR="000D1A04" w:rsidRDefault="000D1A04" w:rsidP="000D1A04">
      <w:pPr>
        <w:spacing w:line="276" w:lineRule="auto"/>
        <w:ind w:left="360"/>
        <w:jc w:val="both"/>
        <w:rPr>
          <w:rFonts w:ascii="FrankRuehl" w:hAnsi="FrankRuehl" w:cs="FrankRuehl"/>
          <w:sz w:val="26"/>
          <w:szCs w:val="26"/>
          <w:rtl/>
        </w:rPr>
      </w:pPr>
      <w:r>
        <w:rPr>
          <w:rFonts w:ascii="FrankRuehl" w:hAnsi="FrankRuehl" w:cs="FrankRuehl"/>
          <w:sz w:val="26"/>
          <w:szCs w:val="26"/>
          <w:rtl/>
        </w:rPr>
        <w:t>הסיבה העיקרית לעודפים בתוכנית זו היא העובדה  שיש פער זמן מובנה בין מועד ההתחייבות לנתמך למועד התשלום בפועל. תשלומי התמיכות בפועל מותנים בביצוע פעולות והצגת אסמכתאות ע"י הנתמך (חקלאי, אגודה שיתופית, מועצה אזורית וכו').</w:t>
      </w:r>
    </w:p>
    <w:p w14:paraId="6FA6EFA7" w14:textId="77777777" w:rsidR="000D1A04" w:rsidRDefault="000D1A04" w:rsidP="000D1A04">
      <w:pPr>
        <w:spacing w:line="276" w:lineRule="auto"/>
        <w:ind w:left="360"/>
        <w:jc w:val="both"/>
        <w:rPr>
          <w:rFonts w:ascii="FrankRuehl" w:hAnsi="FrankRuehl" w:cs="FrankRuehl"/>
          <w:sz w:val="26"/>
          <w:szCs w:val="26"/>
          <w:rtl/>
        </w:rPr>
      </w:pPr>
    </w:p>
    <w:p w14:paraId="19EE53B2" w14:textId="77777777" w:rsidR="000D1A04" w:rsidRDefault="000D1A04" w:rsidP="000D1A04">
      <w:pPr>
        <w:numPr>
          <w:ilvl w:val="0"/>
          <w:numId w:val="1"/>
        </w:numPr>
        <w:overflowPunct/>
        <w:autoSpaceDE/>
        <w:autoSpaceDN/>
        <w:adjustRightInd/>
        <w:spacing w:before="120" w:after="120" w:line="276" w:lineRule="auto"/>
        <w:ind w:left="360"/>
        <w:jc w:val="both"/>
        <w:textAlignment w:val="auto"/>
        <w:rPr>
          <w:rFonts w:ascii="FrankRuehl" w:hAnsi="FrankRuehl" w:cs="FrankRuehl"/>
          <w:b/>
          <w:bCs/>
          <w:sz w:val="26"/>
          <w:szCs w:val="26"/>
          <w:rtl/>
        </w:rPr>
      </w:pPr>
      <w:r>
        <w:rPr>
          <w:rFonts w:ascii="FrankRuehl" w:hAnsi="FrankRuehl" w:cs="FrankRuehl"/>
          <w:b/>
          <w:bCs/>
          <w:sz w:val="26"/>
          <w:szCs w:val="26"/>
          <w:rtl/>
        </w:rPr>
        <w:lastRenderedPageBreak/>
        <w:t>תכנית 33-06-03: תמיכות צער בעלי חיים – 9,900 אלפי ש"ח בהוצאה</w:t>
      </w:r>
    </w:p>
    <w:p w14:paraId="670D973F" w14:textId="77777777" w:rsidR="000D1A04" w:rsidRDefault="000D1A04" w:rsidP="000D1A04">
      <w:pPr>
        <w:spacing w:line="276" w:lineRule="auto"/>
        <w:ind w:left="360"/>
        <w:jc w:val="both"/>
        <w:rPr>
          <w:rFonts w:ascii="FrankRuehl" w:hAnsi="FrankRuehl" w:cs="FrankRuehl"/>
          <w:b/>
          <w:bCs/>
          <w:sz w:val="26"/>
          <w:szCs w:val="26"/>
        </w:rPr>
      </w:pPr>
      <w:r>
        <w:rPr>
          <w:rFonts w:ascii="FrankRuehl" w:hAnsi="FrankRuehl" w:cs="FrankRuehl"/>
          <w:sz w:val="26"/>
          <w:szCs w:val="26"/>
          <w:rtl/>
        </w:rPr>
        <w:t xml:space="preserve">תכנית זו כוללת את פעולות להגנה על בעלי חיים בהתאם לחוק הסדרת פיקוח על כלבים וכן בהתאם לחוק צער בעלי חיים הכולל בין היתר עיקור וסירוס חתולים. </w:t>
      </w:r>
    </w:p>
    <w:p w14:paraId="0F7045F3" w14:textId="77777777" w:rsidR="000D1A04" w:rsidRDefault="000D1A04" w:rsidP="000D1A04">
      <w:pPr>
        <w:spacing w:line="276" w:lineRule="auto"/>
        <w:ind w:left="360"/>
        <w:jc w:val="both"/>
        <w:rPr>
          <w:rFonts w:ascii="FrankRuehl" w:hAnsi="FrankRuehl" w:cs="FrankRuehl"/>
          <w:b/>
          <w:bCs/>
          <w:sz w:val="26"/>
          <w:szCs w:val="26"/>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p>
    <w:p w14:paraId="61382AA1" w14:textId="77777777" w:rsidR="000D1A04" w:rsidRDefault="000D1A04" w:rsidP="000D1A04">
      <w:pPr>
        <w:spacing w:line="276" w:lineRule="auto"/>
        <w:ind w:left="360"/>
        <w:jc w:val="both"/>
        <w:rPr>
          <w:rFonts w:ascii="FrankRuehl" w:hAnsi="FrankRuehl" w:cs="FrankRuehl"/>
          <w:b/>
          <w:bCs/>
          <w:sz w:val="26"/>
          <w:szCs w:val="26"/>
          <w:rtl/>
        </w:rPr>
      </w:pPr>
      <w:r>
        <w:rPr>
          <w:rFonts w:ascii="FrankRuehl" w:hAnsi="FrankRuehl" w:cs="FrankRuehl"/>
          <w:sz w:val="26"/>
          <w:szCs w:val="26"/>
          <w:rtl/>
        </w:rPr>
        <w:t xml:space="preserve">התקצוב </w:t>
      </w:r>
      <w:proofErr w:type="spellStart"/>
      <w:r>
        <w:rPr>
          <w:rFonts w:ascii="FrankRuehl" w:hAnsi="FrankRuehl" w:cs="FrankRuehl"/>
          <w:sz w:val="26"/>
          <w:szCs w:val="26"/>
          <w:rtl/>
        </w:rPr>
        <w:t>בתכנית</w:t>
      </w:r>
      <w:proofErr w:type="spellEnd"/>
      <w:r>
        <w:rPr>
          <w:rFonts w:ascii="FrankRuehl" w:hAnsi="FrankRuehl" w:cs="FrankRuehl"/>
          <w:sz w:val="26"/>
          <w:szCs w:val="26"/>
          <w:rtl/>
        </w:rPr>
        <w:t xml:space="preserve"> זו כולל, בין היתר,  תשלום לרשויות בגין פעולות סירוס ועיקור של בעלי חיים, שבמסגרתה ניתנים כתבי אישור לרשויות ממשרד החקלאות, והתשלום מבוצע רק לאחר קבלת דו"ח ביצוע מהרשויות, כך שקיים פער מובנה בין החיוב לבין התשלום הגורם להיווצרות עודפים.</w:t>
      </w:r>
    </w:p>
    <w:p w14:paraId="42C85AE6" w14:textId="77777777" w:rsidR="000D1A04" w:rsidRDefault="000D1A04" w:rsidP="000D1A04">
      <w:pPr>
        <w:numPr>
          <w:ilvl w:val="0"/>
          <w:numId w:val="1"/>
        </w:numPr>
        <w:overflowPunct/>
        <w:autoSpaceDE/>
        <w:autoSpaceDN/>
        <w:adjustRightInd/>
        <w:spacing w:before="120" w:after="120" w:line="276" w:lineRule="auto"/>
        <w:ind w:left="360"/>
        <w:jc w:val="both"/>
        <w:textAlignment w:val="auto"/>
        <w:rPr>
          <w:rFonts w:ascii="FrankRuehl" w:hAnsi="FrankRuehl" w:cs="FrankRuehl"/>
          <w:b/>
          <w:bCs/>
          <w:sz w:val="26"/>
          <w:szCs w:val="26"/>
        </w:rPr>
      </w:pPr>
      <w:r>
        <w:rPr>
          <w:rFonts w:ascii="FrankRuehl" w:hAnsi="FrankRuehl" w:cs="FrankRuehl"/>
          <w:b/>
          <w:bCs/>
          <w:sz w:val="26"/>
          <w:szCs w:val="26"/>
          <w:rtl/>
        </w:rPr>
        <w:t>תוכנית 33-09-01: מנהלת תנופה –  11,337אלפי ש"ח בהוצאה</w:t>
      </w:r>
    </w:p>
    <w:p w14:paraId="1B53FF6D" w14:textId="77777777" w:rsidR="000D1A04" w:rsidRDefault="000D1A04" w:rsidP="000D1A04">
      <w:pPr>
        <w:spacing w:line="276" w:lineRule="auto"/>
        <w:ind w:left="360"/>
        <w:jc w:val="both"/>
        <w:rPr>
          <w:rFonts w:ascii="FrankRuehl" w:hAnsi="FrankRuehl" w:cs="FrankRuehl"/>
          <w:sz w:val="26"/>
          <w:szCs w:val="26"/>
          <w:rtl/>
        </w:rPr>
      </w:pPr>
      <w:r>
        <w:rPr>
          <w:rFonts w:ascii="FrankRuehl" w:hAnsi="FrankRuehl" w:cs="FrankRuehl"/>
          <w:sz w:val="26"/>
          <w:szCs w:val="26"/>
          <w:rtl/>
        </w:rPr>
        <w:t>תכנית זו כוללת את פעילות מנהלת תנופה. במטרת המנהלת היא ללוות את מפוני גוש קטיף וצפון השומרון בתהליך השיקום האישי, הכלכלי והקהילתי</w:t>
      </w:r>
      <w:r>
        <w:rPr>
          <w:rFonts w:ascii="FrankRuehl" w:hAnsi="FrankRuehl" w:cs="FrankRuehl"/>
          <w:sz w:val="26"/>
          <w:szCs w:val="26"/>
        </w:rPr>
        <w:t xml:space="preserve">. </w:t>
      </w:r>
      <w:r>
        <w:rPr>
          <w:rFonts w:ascii="FrankRuehl" w:hAnsi="FrankRuehl" w:cs="FrankRuehl"/>
          <w:sz w:val="26"/>
          <w:szCs w:val="26"/>
          <w:rtl/>
        </w:rPr>
        <w:t>המנהלת פעלה לספק פתרונות דיור, תעסוקה ותשתיות קהילתיות, תוך ליווי ארוך טווח עד להקמת יישובי הקבע של המפונים</w:t>
      </w:r>
      <w:r>
        <w:rPr>
          <w:rFonts w:ascii="FrankRuehl" w:hAnsi="FrankRuehl" w:cs="FrankRuehl"/>
          <w:sz w:val="26"/>
          <w:szCs w:val="26"/>
        </w:rPr>
        <w:t>.</w:t>
      </w:r>
      <w:r>
        <w:rPr>
          <w:rFonts w:ascii="FrankRuehl" w:hAnsi="FrankRuehl" w:cs="FrankRuehl"/>
          <w:sz w:val="26"/>
          <w:szCs w:val="26"/>
          <w:rtl/>
        </w:rPr>
        <w:t xml:space="preserve">  </w:t>
      </w:r>
    </w:p>
    <w:p w14:paraId="007AB239" w14:textId="77777777" w:rsidR="000D1A04" w:rsidRDefault="000D1A04" w:rsidP="000D1A04">
      <w:pPr>
        <w:spacing w:line="276" w:lineRule="auto"/>
        <w:ind w:left="360"/>
        <w:jc w:val="both"/>
        <w:rPr>
          <w:rFonts w:ascii="FrankRuehl" w:hAnsi="FrankRuehl" w:cs="FrankRuehl"/>
          <w:b/>
          <w:bCs/>
          <w:sz w:val="26"/>
          <w:szCs w:val="26"/>
          <w:rtl/>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r>
        <w:rPr>
          <w:rFonts w:ascii="FrankRuehl" w:hAnsi="FrankRuehl" w:cs="FrankRuehl"/>
          <w:b/>
          <w:bCs/>
          <w:sz w:val="26"/>
          <w:szCs w:val="26"/>
        </w:rPr>
        <w:t xml:space="preserve"> </w:t>
      </w:r>
    </w:p>
    <w:p w14:paraId="7E13DBF7" w14:textId="77777777" w:rsidR="000D1A04" w:rsidRDefault="000D1A04" w:rsidP="000D1A04">
      <w:pPr>
        <w:spacing w:line="276" w:lineRule="auto"/>
        <w:ind w:left="360"/>
        <w:jc w:val="both"/>
        <w:rPr>
          <w:rFonts w:ascii="FrankRuehl" w:hAnsi="FrankRuehl" w:cs="FrankRuehl"/>
          <w:b/>
          <w:bCs/>
          <w:sz w:val="26"/>
          <w:szCs w:val="26"/>
        </w:rPr>
      </w:pPr>
      <w:r>
        <w:rPr>
          <w:rFonts w:cs="FrankRuehl"/>
          <w:sz w:val="26"/>
          <w:szCs w:val="26"/>
          <w:rtl/>
        </w:rPr>
        <w:t>ההתקשרויות עם הספקים אינן מתחילות כולן בראשון בינואר של כל שנה, אלא מתפרסות על פני מועדי התחלה שונים לאורך השנה</w:t>
      </w:r>
      <w:r>
        <w:rPr>
          <w:rFonts w:cs="FrankRuehl"/>
          <w:sz w:val="26"/>
          <w:szCs w:val="26"/>
        </w:rPr>
        <w:t>.</w:t>
      </w:r>
      <w:r>
        <w:rPr>
          <w:rFonts w:cs="FrankRuehl"/>
          <w:sz w:val="26"/>
          <w:szCs w:val="26"/>
          <w:rtl/>
        </w:rPr>
        <w:t xml:space="preserve"> </w:t>
      </w:r>
      <w:r>
        <w:rPr>
          <w:rFonts w:cs="FrankRuehl" w:hint="cs"/>
          <w:sz w:val="26"/>
          <w:szCs w:val="26"/>
          <w:rtl/>
        </w:rPr>
        <w:t>סכומים אלה כוללים, בין היתר, השלמת מבני ציבור אשר טרם הושלמה בנייתם</w:t>
      </w:r>
      <w:r>
        <w:rPr>
          <w:rFonts w:cs="FrankRuehl"/>
          <w:sz w:val="26"/>
          <w:szCs w:val="26"/>
        </w:rPr>
        <w:t>.</w:t>
      </w:r>
    </w:p>
    <w:p w14:paraId="5AEA99D3" w14:textId="77777777" w:rsidR="000D1A04" w:rsidRDefault="000D1A04" w:rsidP="000D1A04">
      <w:pPr>
        <w:spacing w:line="276" w:lineRule="auto"/>
        <w:jc w:val="both"/>
        <w:rPr>
          <w:rFonts w:ascii="Narkisim" w:hAnsi="Narkisim" w:cs="FrankRuehl"/>
          <w:sz w:val="24"/>
        </w:rPr>
      </w:pPr>
    </w:p>
    <w:p w14:paraId="2A1A7F12" w14:textId="77777777" w:rsidR="0051496B" w:rsidRPr="000A3FA0" w:rsidRDefault="0051496B" w:rsidP="000D1A04">
      <w:pPr>
        <w:jc w:val="both"/>
        <w:rPr>
          <w:rFonts w:cs="FrankRuehl"/>
          <w:sz w:val="26"/>
          <w:szCs w:val="26"/>
          <w:rtl/>
        </w:rPr>
      </w:pPr>
      <w:r w:rsidRPr="000A3FA0">
        <w:rPr>
          <w:rFonts w:cs="FrankRuehl"/>
          <w:sz w:val="26"/>
          <w:szCs w:val="26"/>
          <w:rtl/>
        </w:rPr>
        <w:t>האישור ייכנס לתקפו, אם לא יעוכב ע"י ועדת הכספים של הכנסת, לאחר 21 יום מתאריך מכתב זה.</w:t>
      </w:r>
    </w:p>
    <w:p w14:paraId="5589A590" w14:textId="77777777" w:rsidR="0051496B" w:rsidRPr="000A3FA0" w:rsidRDefault="0051496B" w:rsidP="00A6761F">
      <w:pPr>
        <w:jc w:val="both"/>
        <w:rPr>
          <w:rFonts w:cs="FrankRuehl"/>
          <w:sz w:val="26"/>
          <w:szCs w:val="26"/>
          <w:rtl/>
        </w:rPr>
      </w:pPr>
    </w:p>
    <w:p w14:paraId="1CA15EDB" w14:textId="77777777" w:rsidR="0051496B" w:rsidRPr="000A3FA0" w:rsidRDefault="0051496B" w:rsidP="00A6761F">
      <w:pPr>
        <w:jc w:val="both"/>
        <w:rPr>
          <w:rFonts w:cs="FrankRuehl"/>
          <w:sz w:val="26"/>
          <w:szCs w:val="26"/>
          <w:rtl/>
        </w:rPr>
      </w:pPr>
    </w:p>
    <w:p w14:paraId="75C0AD5B" w14:textId="77777777" w:rsidR="0051496B" w:rsidRPr="000A3FA0" w:rsidRDefault="0051496B" w:rsidP="00AC0FB8">
      <w:pPr>
        <w:tabs>
          <w:tab w:val="left" w:pos="6416"/>
          <w:tab w:val="center" w:pos="6867"/>
        </w:tabs>
        <w:rPr>
          <w:rFonts w:cs="FrankRuehl"/>
          <w:sz w:val="26"/>
          <w:szCs w:val="26"/>
          <w:rtl/>
        </w:rPr>
      </w:pPr>
      <w:r w:rsidRPr="000A3FA0">
        <w:rPr>
          <w:rFonts w:cs="FrankRuehl"/>
          <w:sz w:val="26"/>
          <w:szCs w:val="26"/>
          <w:rtl/>
        </w:rPr>
        <w:tab/>
      </w:r>
      <w:r w:rsidR="00AC0FB8">
        <w:rPr>
          <w:rFonts w:cs="FrankRuehl"/>
          <w:sz w:val="26"/>
          <w:szCs w:val="26"/>
          <w:rtl/>
        </w:rPr>
        <w:tab/>
      </w:r>
      <w:r w:rsidRPr="000A3FA0">
        <w:rPr>
          <w:rFonts w:cs="FrankRuehl"/>
          <w:sz w:val="26"/>
          <w:szCs w:val="26"/>
          <w:rtl/>
        </w:rPr>
        <w:t>בכבוד רב,</w:t>
      </w:r>
    </w:p>
    <w:p w14:paraId="7BC765EE" w14:textId="77777777" w:rsidR="0051496B" w:rsidRDefault="0051496B">
      <w:pPr>
        <w:tabs>
          <w:tab w:val="center" w:pos="6867"/>
        </w:tabs>
        <w:rPr>
          <w:rFonts w:cs="FrankRuehl"/>
          <w:sz w:val="26"/>
          <w:szCs w:val="26"/>
          <w:rtl/>
        </w:rPr>
      </w:pPr>
    </w:p>
    <w:p w14:paraId="2B9E4EA1" w14:textId="77777777" w:rsidR="00AC0FB8" w:rsidRPr="000A3FA0" w:rsidRDefault="00AC0FB8">
      <w:pPr>
        <w:tabs>
          <w:tab w:val="center" w:pos="6867"/>
        </w:tabs>
        <w:rPr>
          <w:rFonts w:cs="FrankRuehl"/>
          <w:sz w:val="26"/>
          <w:szCs w:val="26"/>
        </w:rPr>
      </w:pPr>
      <w:r>
        <w:rPr>
          <w:rFonts w:cs="FrankRuehl"/>
          <w:sz w:val="26"/>
          <w:szCs w:val="26"/>
          <w:rtl/>
        </w:rPr>
        <w:tab/>
      </w:r>
      <w:bookmarkStart w:id="11" w:name="Sign_Image"/>
      <w:bookmarkEnd w:id="11"/>
    </w:p>
    <w:p w14:paraId="733B3101" w14:textId="77777777" w:rsidR="0051496B" w:rsidRPr="000A3FA0" w:rsidRDefault="0051496B">
      <w:pPr>
        <w:tabs>
          <w:tab w:val="center" w:pos="6867"/>
        </w:tabs>
        <w:rPr>
          <w:rFonts w:cs="FrankRuehl"/>
          <w:sz w:val="26"/>
          <w:szCs w:val="26"/>
          <w:rtl/>
        </w:rPr>
      </w:pPr>
    </w:p>
    <w:p w14:paraId="40D3EE3F" w14:textId="77777777" w:rsidR="0051496B" w:rsidRPr="000A3FA0" w:rsidRDefault="0051496B">
      <w:pPr>
        <w:tabs>
          <w:tab w:val="center" w:pos="6867"/>
        </w:tabs>
        <w:rPr>
          <w:rFonts w:cs="FrankRuehl"/>
          <w:sz w:val="26"/>
          <w:szCs w:val="26"/>
        </w:rPr>
      </w:pPr>
      <w:r w:rsidRPr="000A3FA0">
        <w:rPr>
          <w:rFonts w:cs="FrankRuehl"/>
          <w:sz w:val="26"/>
          <w:szCs w:val="26"/>
          <w:rtl/>
        </w:rPr>
        <w:tab/>
      </w:r>
    </w:p>
    <w:p w14:paraId="1D67BC88" w14:textId="77777777" w:rsidR="0051496B" w:rsidRPr="000A3FA0" w:rsidRDefault="0051496B" w:rsidP="000062C3">
      <w:pPr>
        <w:tabs>
          <w:tab w:val="center" w:pos="6867"/>
        </w:tabs>
        <w:rPr>
          <w:rFonts w:cs="FrankRuehl"/>
          <w:sz w:val="26"/>
          <w:szCs w:val="26"/>
          <w:rtl/>
        </w:rPr>
      </w:pPr>
      <w:r w:rsidRPr="000A3FA0">
        <w:rPr>
          <w:rFonts w:cs="FrankRuehl"/>
          <w:sz w:val="26"/>
          <w:szCs w:val="26"/>
          <w:rtl/>
        </w:rPr>
        <w:tab/>
      </w:r>
    </w:p>
    <w:p w14:paraId="2FB8787C" w14:textId="77777777" w:rsidR="0051496B" w:rsidRPr="000A3FA0" w:rsidRDefault="0051496B">
      <w:pPr>
        <w:rPr>
          <w:rFonts w:cs="FrankRuehl"/>
          <w:sz w:val="26"/>
          <w:szCs w:val="26"/>
          <w:rtl/>
        </w:rPr>
      </w:pPr>
    </w:p>
    <w:p w14:paraId="52F30709" w14:textId="77777777" w:rsidR="0051496B" w:rsidRPr="000A3FA0" w:rsidRDefault="0051496B">
      <w:pPr>
        <w:rPr>
          <w:rFonts w:cs="FrankRuehl"/>
          <w:sz w:val="26"/>
          <w:szCs w:val="26"/>
          <w:rtl/>
        </w:rPr>
      </w:pPr>
      <w:r w:rsidRPr="000A3FA0">
        <w:rPr>
          <w:rFonts w:cs="FrankRuehl"/>
          <w:sz w:val="26"/>
          <w:szCs w:val="26"/>
          <w:rtl/>
        </w:rPr>
        <w:t>העתק:</w:t>
      </w:r>
    </w:p>
    <w:p w14:paraId="5061C3E1" w14:textId="77777777" w:rsidR="0051496B" w:rsidRPr="000A3FA0" w:rsidRDefault="0051496B">
      <w:pPr>
        <w:rPr>
          <w:rFonts w:cs="FrankRuehl"/>
          <w:sz w:val="26"/>
          <w:szCs w:val="26"/>
          <w:rtl/>
        </w:rPr>
      </w:pPr>
      <w:r w:rsidRPr="000A3FA0">
        <w:rPr>
          <w:rFonts w:cs="FrankRuehl"/>
          <w:sz w:val="26"/>
          <w:szCs w:val="26"/>
          <w:rtl/>
        </w:rPr>
        <w:t>החשב הכללי</w:t>
      </w:r>
    </w:p>
    <w:p w14:paraId="51A45FE3" w14:textId="77777777" w:rsidR="0051496B" w:rsidRPr="000A3FA0" w:rsidRDefault="0051496B">
      <w:pPr>
        <w:rPr>
          <w:rFonts w:cs="FrankRuehl"/>
          <w:sz w:val="26"/>
          <w:szCs w:val="26"/>
          <w:rtl/>
        </w:rPr>
      </w:pPr>
      <w:r w:rsidRPr="000A3FA0">
        <w:rPr>
          <w:rFonts w:cs="FrankRuehl"/>
          <w:sz w:val="26"/>
          <w:szCs w:val="26"/>
          <w:rtl/>
        </w:rPr>
        <w:t>מבקר המדינה (2)</w:t>
      </w:r>
    </w:p>
    <w:p w14:paraId="7DB5F888" w14:textId="77777777" w:rsidR="009B7E2B" w:rsidRDefault="009B7E2B">
      <w:pPr>
        <w:rPr>
          <w:rFonts w:cs="FrankRuehl"/>
          <w:sz w:val="26"/>
          <w:szCs w:val="26"/>
          <w:rtl/>
        </w:rPr>
      </w:pPr>
      <w:bookmarkStart w:id="12" w:name="TAKZIV22"/>
      <w:r>
        <w:rPr>
          <w:rFonts w:cs="FrankRuehl"/>
          <w:sz w:val="26"/>
          <w:szCs w:val="26"/>
          <w:rtl/>
        </w:rPr>
        <w:t>חשב משרד החקלאות</w:t>
      </w:r>
    </w:p>
    <w:p w14:paraId="29FF5671" w14:textId="18169FAF" w:rsidR="0051496B" w:rsidRPr="000A3FA0" w:rsidRDefault="009B7E2B">
      <w:pPr>
        <w:rPr>
          <w:rFonts w:cs="FrankRuehl"/>
          <w:sz w:val="26"/>
          <w:szCs w:val="26"/>
          <w:rtl/>
        </w:rPr>
      </w:pPr>
      <w:r>
        <w:rPr>
          <w:rFonts w:cs="FrankRuehl"/>
          <w:sz w:val="26"/>
          <w:szCs w:val="26"/>
          <w:rtl/>
        </w:rPr>
        <w:t>חשב מנהלת תנופה</w:t>
      </w:r>
      <w:bookmarkEnd w:id="12"/>
    </w:p>
    <w:p w14:paraId="43A3F1C3" w14:textId="03EA2410" w:rsidR="0051496B" w:rsidRPr="000A3FA0" w:rsidRDefault="0051496B">
      <w:pPr>
        <w:rPr>
          <w:rFonts w:cs="FrankRuehl"/>
          <w:sz w:val="26"/>
          <w:szCs w:val="26"/>
          <w:rtl/>
        </w:rPr>
      </w:pPr>
      <w:r w:rsidRPr="000A3FA0">
        <w:rPr>
          <w:rFonts w:cs="FrankRuehl"/>
          <w:sz w:val="26"/>
          <w:szCs w:val="26"/>
          <w:rtl/>
        </w:rPr>
        <w:t xml:space="preserve">קצין תקציבים </w:t>
      </w:r>
      <w:bookmarkStart w:id="13" w:name="TAKZIV6"/>
      <w:r w:rsidR="009B7E2B">
        <w:rPr>
          <w:rFonts w:cs="FrankRuehl"/>
          <w:sz w:val="26"/>
          <w:szCs w:val="26"/>
          <w:rtl/>
        </w:rPr>
        <w:t>משרד החקלאות</w:t>
      </w:r>
      <w:bookmarkEnd w:id="13"/>
    </w:p>
    <w:p w14:paraId="037E8EF9" w14:textId="48761F6D" w:rsidR="0051496B" w:rsidRPr="000A3FA0" w:rsidRDefault="0051496B">
      <w:pPr>
        <w:rPr>
          <w:rFonts w:cs="FrankRuehl"/>
          <w:sz w:val="26"/>
          <w:szCs w:val="26"/>
          <w:rtl/>
        </w:rPr>
      </w:pPr>
      <w:r w:rsidRPr="000A3FA0">
        <w:rPr>
          <w:rFonts w:cs="FrankRuehl"/>
          <w:sz w:val="26"/>
          <w:szCs w:val="26"/>
          <w:rtl/>
        </w:rPr>
        <w:t xml:space="preserve">רפרנט </w:t>
      </w:r>
      <w:bookmarkStart w:id="14" w:name="TAKZIV6_1"/>
      <w:r w:rsidR="009B7E2B">
        <w:rPr>
          <w:rFonts w:cs="FrankRuehl"/>
          <w:sz w:val="26"/>
          <w:szCs w:val="26"/>
          <w:rtl/>
        </w:rPr>
        <w:t>משרד החקלאות</w:t>
      </w:r>
      <w:bookmarkEnd w:id="14"/>
    </w:p>
    <w:p w14:paraId="293FA4B9" w14:textId="77777777" w:rsidR="0051496B" w:rsidRPr="000A3FA0" w:rsidRDefault="0051496B">
      <w:pPr>
        <w:rPr>
          <w:rFonts w:cs="FrankRuehl"/>
          <w:sz w:val="26"/>
          <w:szCs w:val="26"/>
          <w:rtl/>
        </w:rPr>
      </w:pPr>
      <w:bookmarkStart w:id="15" w:name="TAKZIV23"/>
      <w:bookmarkEnd w:id="15"/>
    </w:p>
    <w:p w14:paraId="099F24E0" w14:textId="77777777" w:rsidR="0051496B" w:rsidRPr="000A3FA0" w:rsidRDefault="0051496B">
      <w:pPr>
        <w:rPr>
          <w:rFonts w:cs="FrankRuehl"/>
          <w:sz w:val="26"/>
          <w:szCs w:val="26"/>
          <w:rtl/>
        </w:rPr>
      </w:pPr>
    </w:p>
    <w:p w14:paraId="39566CC8" w14:textId="031F2A02" w:rsidR="0051496B" w:rsidRDefault="0051496B">
      <w:pPr>
        <w:rPr>
          <w:rFonts w:cs="FrankRuehl"/>
          <w:sz w:val="26"/>
          <w:szCs w:val="26"/>
          <w:rtl/>
        </w:rPr>
      </w:pPr>
      <w:bookmarkStart w:id="16" w:name="TAKZIV25"/>
      <w:bookmarkEnd w:id="16"/>
    </w:p>
    <w:p w14:paraId="5D9B3085" w14:textId="25A13516" w:rsidR="00D80A15" w:rsidRDefault="00D80A15">
      <w:pPr>
        <w:rPr>
          <w:rFonts w:cs="FrankRuehl"/>
          <w:sz w:val="26"/>
          <w:szCs w:val="26"/>
          <w:rtl/>
        </w:rPr>
      </w:pPr>
    </w:p>
    <w:p w14:paraId="347E6482" w14:textId="6FE2AF0F" w:rsidR="00D80A15" w:rsidRDefault="00D80A15">
      <w:pPr>
        <w:rPr>
          <w:rFonts w:cs="FrankRuehl"/>
          <w:sz w:val="26"/>
          <w:szCs w:val="26"/>
          <w:rtl/>
        </w:rPr>
      </w:pPr>
    </w:p>
    <w:p w14:paraId="6662B880" w14:textId="744CEF9F" w:rsidR="00D80A15" w:rsidRDefault="00D80A15">
      <w:pPr>
        <w:rPr>
          <w:rFonts w:cs="FrankRuehl"/>
          <w:sz w:val="26"/>
          <w:szCs w:val="26"/>
          <w:rtl/>
        </w:rPr>
      </w:pPr>
    </w:p>
    <w:p w14:paraId="4691A0E5" w14:textId="5BD64E07" w:rsidR="00D80A15" w:rsidRDefault="00D80A15">
      <w:pPr>
        <w:rPr>
          <w:rFonts w:cs="FrankRuehl"/>
          <w:sz w:val="26"/>
          <w:szCs w:val="26"/>
          <w:rtl/>
        </w:rPr>
      </w:pPr>
    </w:p>
    <w:p w14:paraId="477C3E68" w14:textId="0472E9C9" w:rsidR="00D80A15" w:rsidRDefault="00D80A15">
      <w:pPr>
        <w:rPr>
          <w:rFonts w:cs="FrankRuehl"/>
          <w:sz w:val="26"/>
          <w:szCs w:val="26"/>
          <w:rtl/>
        </w:rPr>
      </w:pPr>
    </w:p>
    <w:p w14:paraId="477F7ADE" w14:textId="00996EFE" w:rsidR="00D80A15" w:rsidRDefault="00D80A15">
      <w:pPr>
        <w:rPr>
          <w:rFonts w:cs="FrankRuehl"/>
          <w:sz w:val="26"/>
          <w:szCs w:val="26"/>
          <w:rtl/>
        </w:rPr>
      </w:pPr>
    </w:p>
    <w:p w14:paraId="1943BFAC" w14:textId="571CE235" w:rsidR="00D80A15" w:rsidRDefault="00D80A15">
      <w:pPr>
        <w:rPr>
          <w:rFonts w:cs="FrankRuehl"/>
          <w:sz w:val="26"/>
          <w:szCs w:val="26"/>
          <w:rtl/>
        </w:rPr>
      </w:pPr>
    </w:p>
    <w:p w14:paraId="0A1EDD7E" w14:textId="5D23D87A" w:rsidR="00D80A15" w:rsidRDefault="00D80A15">
      <w:pPr>
        <w:rPr>
          <w:rFonts w:cs="FrankRuehl"/>
          <w:sz w:val="26"/>
          <w:szCs w:val="26"/>
          <w:rtl/>
        </w:rPr>
      </w:pPr>
    </w:p>
    <w:p w14:paraId="4334B8E1" w14:textId="58A5738B" w:rsidR="00D80A15" w:rsidRDefault="00D80A15">
      <w:pPr>
        <w:rPr>
          <w:rFonts w:cs="FrankRuehl"/>
          <w:sz w:val="26"/>
          <w:szCs w:val="26"/>
          <w:rtl/>
        </w:rPr>
      </w:pPr>
    </w:p>
    <w:p w14:paraId="5E4E733C" w14:textId="02A7B98A" w:rsidR="00D80A15" w:rsidRDefault="00D80A15">
      <w:pPr>
        <w:rPr>
          <w:rFonts w:cs="FrankRuehl"/>
          <w:sz w:val="26"/>
          <w:szCs w:val="26"/>
          <w:rtl/>
        </w:rPr>
      </w:pPr>
    </w:p>
    <w:p w14:paraId="77859675" w14:textId="5AE9F09A" w:rsidR="00D80A15" w:rsidRDefault="00D80A15">
      <w:pPr>
        <w:rPr>
          <w:rFonts w:cs="FrankRuehl"/>
          <w:sz w:val="26"/>
          <w:szCs w:val="26"/>
          <w:rtl/>
        </w:rPr>
      </w:pPr>
    </w:p>
    <w:p w14:paraId="5BC03CA7" w14:textId="78E3C468" w:rsidR="00D80A15" w:rsidRDefault="00D80A15">
      <w:pPr>
        <w:rPr>
          <w:rFonts w:cs="FrankRuehl"/>
          <w:sz w:val="26"/>
          <w:szCs w:val="26"/>
          <w:rtl/>
        </w:rPr>
      </w:pPr>
    </w:p>
    <w:p w14:paraId="33EA635A" w14:textId="77777777" w:rsidR="00D80A15" w:rsidRDefault="00D80A15" w:rsidP="00D80A15">
      <w:pPr>
        <w:jc w:val="center"/>
        <w:rPr>
          <w:rFonts w:cs="FrankRuehl"/>
          <w:b/>
          <w:bCs/>
          <w:sz w:val="26"/>
          <w:szCs w:val="26"/>
          <w:u w:val="single"/>
        </w:rPr>
      </w:pPr>
      <w:r>
        <w:rPr>
          <w:rFonts w:cs="FrankRuehl"/>
          <w:b/>
          <w:bCs/>
          <w:sz w:val="26"/>
          <w:szCs w:val="26"/>
          <w:u w:val="single"/>
          <w:rtl/>
        </w:rPr>
        <w:lastRenderedPageBreak/>
        <w:t>נספח לדברי ההסבר</w:t>
      </w:r>
    </w:p>
    <w:p w14:paraId="41F236D5" w14:textId="77777777" w:rsidR="00D80A15" w:rsidRDefault="00D80A15" w:rsidP="00D80A15">
      <w:pPr>
        <w:jc w:val="center"/>
        <w:rPr>
          <w:rFonts w:cs="FrankRuehl"/>
          <w:b/>
          <w:bCs/>
          <w:sz w:val="26"/>
          <w:szCs w:val="26"/>
          <w:u w:val="single"/>
          <w:rtl/>
        </w:rPr>
      </w:pPr>
    </w:p>
    <w:p w14:paraId="042E59A2" w14:textId="77777777" w:rsidR="00D80A15" w:rsidRDefault="00D80A15" w:rsidP="00D80A15">
      <w:pPr>
        <w:jc w:val="center"/>
        <w:rPr>
          <w:rFonts w:cs="FrankRuehl"/>
          <w:b/>
          <w:bCs/>
          <w:sz w:val="26"/>
          <w:szCs w:val="26"/>
          <w:rtl/>
        </w:rPr>
      </w:pPr>
      <w:r>
        <w:rPr>
          <w:rFonts w:cs="FrankRuehl"/>
          <w:b/>
          <w:bCs/>
          <w:sz w:val="26"/>
          <w:szCs w:val="26"/>
          <w:rtl/>
        </w:rPr>
        <w:t>היסטוריה תקציבית של הפנייה</w:t>
      </w:r>
    </w:p>
    <w:p w14:paraId="54F2BFA4" w14:textId="2E3C27EF" w:rsidR="00D80A15" w:rsidRDefault="00D80A15">
      <w:pPr>
        <w:rPr>
          <w:rFonts w:cs="FrankRuehl"/>
          <w:sz w:val="26"/>
          <w:szCs w:val="26"/>
          <w:rtl/>
        </w:rPr>
      </w:pPr>
    </w:p>
    <w:tbl>
      <w:tblPr>
        <w:tblW w:w="5000" w:type="pct"/>
        <w:tblLook w:val="04A0" w:firstRow="1" w:lastRow="0" w:firstColumn="1" w:lastColumn="0" w:noHBand="0" w:noVBand="1"/>
      </w:tblPr>
      <w:tblGrid>
        <w:gridCol w:w="1650"/>
        <w:gridCol w:w="1894"/>
        <w:gridCol w:w="1650"/>
        <w:gridCol w:w="1650"/>
        <w:gridCol w:w="1679"/>
      </w:tblGrid>
      <w:tr w:rsidR="00D80A15" w:rsidRPr="00D80A15" w14:paraId="5B880A94" w14:textId="77777777" w:rsidTr="00D80A15">
        <w:trPr>
          <w:trHeight w:val="675"/>
        </w:trPr>
        <w:tc>
          <w:tcPr>
            <w:tcW w:w="968" w:type="pct"/>
            <w:tcBorders>
              <w:top w:val="single" w:sz="4" w:space="0" w:color="979991"/>
              <w:left w:val="single" w:sz="4" w:space="0" w:color="979991"/>
              <w:bottom w:val="nil"/>
              <w:right w:val="nil"/>
            </w:tcBorders>
            <w:shd w:val="clear" w:color="000000" w:fill="F0F4FA"/>
            <w:vAlign w:val="center"/>
            <w:hideMark/>
          </w:tcPr>
          <w:p w14:paraId="2FC96238" w14:textId="77777777" w:rsidR="00D80A15" w:rsidRPr="00D80A15" w:rsidRDefault="00D80A15" w:rsidP="00D80A15">
            <w:pPr>
              <w:overflowPunct/>
              <w:autoSpaceDE/>
              <w:autoSpaceDN/>
              <w:adjustRightInd/>
              <w:jc w:val="center"/>
              <w:textAlignment w:val="auto"/>
              <w:rPr>
                <w:rFonts w:ascii="Calibri" w:hAnsi="Calibri" w:cs="Calibri"/>
                <w:b/>
                <w:bCs/>
                <w:color w:val="000000"/>
                <w:sz w:val="16"/>
                <w:szCs w:val="16"/>
                <w:lang w:eastAsia="en-US"/>
              </w:rPr>
            </w:pPr>
            <w:r w:rsidRPr="00D80A15">
              <w:rPr>
                <w:rFonts w:ascii="Calibri" w:hAnsi="Calibri" w:cs="Calibri"/>
                <w:b/>
                <w:bCs/>
                <w:color w:val="000000"/>
                <w:sz w:val="16"/>
                <w:szCs w:val="16"/>
                <w:rtl/>
                <w:lang w:eastAsia="en-US"/>
              </w:rPr>
              <w:t>קוד תוכנית</w:t>
            </w:r>
          </w:p>
        </w:tc>
        <w:tc>
          <w:tcPr>
            <w:tcW w:w="1111" w:type="pct"/>
            <w:tcBorders>
              <w:top w:val="single" w:sz="4" w:space="0" w:color="979991"/>
              <w:left w:val="single" w:sz="4" w:space="0" w:color="979991"/>
              <w:bottom w:val="single" w:sz="4" w:space="0" w:color="979991"/>
              <w:right w:val="nil"/>
            </w:tcBorders>
            <w:shd w:val="clear" w:color="000000" w:fill="F0F4FA"/>
            <w:vAlign w:val="center"/>
            <w:hideMark/>
          </w:tcPr>
          <w:p w14:paraId="5BC9C872" w14:textId="77777777" w:rsidR="00D80A15" w:rsidRPr="00D80A15" w:rsidRDefault="00D80A15" w:rsidP="00D80A15">
            <w:pPr>
              <w:overflowPunct/>
              <w:autoSpaceDE/>
              <w:autoSpaceDN/>
              <w:adjustRightInd/>
              <w:jc w:val="center"/>
              <w:textAlignment w:val="auto"/>
              <w:rPr>
                <w:rFonts w:ascii="Calibri" w:hAnsi="Calibri" w:cs="Calibri"/>
                <w:b/>
                <w:bCs/>
                <w:color w:val="000000"/>
                <w:sz w:val="16"/>
                <w:szCs w:val="16"/>
                <w:rtl/>
                <w:lang w:eastAsia="en-US"/>
              </w:rPr>
            </w:pPr>
            <w:r w:rsidRPr="00D80A15">
              <w:rPr>
                <w:rFonts w:ascii="Calibri" w:hAnsi="Calibri" w:cs="Calibri"/>
                <w:b/>
                <w:bCs/>
                <w:color w:val="000000"/>
                <w:sz w:val="16"/>
                <w:szCs w:val="16"/>
                <w:rtl/>
                <w:lang w:eastAsia="en-US"/>
              </w:rPr>
              <w:t>השינוי התקציבי של העודף המוצע בפניה</w:t>
            </w:r>
          </w:p>
        </w:tc>
        <w:tc>
          <w:tcPr>
            <w:tcW w:w="968" w:type="pct"/>
            <w:tcBorders>
              <w:top w:val="single" w:sz="4" w:space="0" w:color="979991"/>
              <w:left w:val="single" w:sz="4" w:space="0" w:color="979991"/>
              <w:bottom w:val="single" w:sz="4" w:space="0" w:color="979991"/>
              <w:right w:val="nil"/>
            </w:tcBorders>
            <w:shd w:val="clear" w:color="000000" w:fill="F0F4FA"/>
            <w:vAlign w:val="center"/>
            <w:hideMark/>
          </w:tcPr>
          <w:p w14:paraId="671BAFE7" w14:textId="77777777" w:rsidR="00D80A15" w:rsidRPr="00D80A15" w:rsidRDefault="00D80A15" w:rsidP="00D80A15">
            <w:pPr>
              <w:overflowPunct/>
              <w:autoSpaceDE/>
              <w:autoSpaceDN/>
              <w:adjustRightInd/>
              <w:jc w:val="center"/>
              <w:textAlignment w:val="auto"/>
              <w:rPr>
                <w:rFonts w:ascii="Calibri" w:hAnsi="Calibri" w:cs="Calibri"/>
                <w:b/>
                <w:bCs/>
                <w:color w:val="000000"/>
                <w:sz w:val="16"/>
                <w:szCs w:val="16"/>
                <w:rtl/>
                <w:lang w:eastAsia="en-US"/>
              </w:rPr>
            </w:pPr>
            <w:r w:rsidRPr="00D80A15">
              <w:rPr>
                <w:rFonts w:ascii="Calibri" w:hAnsi="Calibri" w:cs="Calibri"/>
                <w:b/>
                <w:bCs/>
                <w:color w:val="000000"/>
                <w:sz w:val="16"/>
                <w:szCs w:val="16"/>
                <w:rtl/>
                <w:lang w:eastAsia="en-US"/>
              </w:rPr>
              <w:t>סך עודף שהועבר ב-2025</w:t>
            </w:r>
          </w:p>
        </w:tc>
        <w:tc>
          <w:tcPr>
            <w:tcW w:w="968" w:type="pct"/>
            <w:tcBorders>
              <w:top w:val="single" w:sz="4" w:space="0" w:color="979991"/>
              <w:left w:val="single" w:sz="4" w:space="0" w:color="979991"/>
              <w:bottom w:val="single" w:sz="4" w:space="0" w:color="979991"/>
              <w:right w:val="nil"/>
            </w:tcBorders>
            <w:shd w:val="clear" w:color="000000" w:fill="F0F4FA"/>
            <w:vAlign w:val="center"/>
            <w:hideMark/>
          </w:tcPr>
          <w:p w14:paraId="2C381FBD" w14:textId="77777777" w:rsidR="00D80A15" w:rsidRPr="00D80A15" w:rsidRDefault="00D80A15" w:rsidP="00D80A15">
            <w:pPr>
              <w:overflowPunct/>
              <w:autoSpaceDE/>
              <w:autoSpaceDN/>
              <w:adjustRightInd/>
              <w:jc w:val="center"/>
              <w:textAlignment w:val="auto"/>
              <w:rPr>
                <w:rFonts w:ascii="Calibri" w:hAnsi="Calibri" w:cs="Calibri"/>
                <w:b/>
                <w:bCs/>
                <w:color w:val="000000"/>
                <w:sz w:val="16"/>
                <w:szCs w:val="16"/>
                <w:rtl/>
                <w:lang w:eastAsia="en-US"/>
              </w:rPr>
            </w:pPr>
            <w:r w:rsidRPr="00D80A15">
              <w:rPr>
                <w:rFonts w:ascii="Calibri" w:hAnsi="Calibri" w:cs="Calibri"/>
                <w:b/>
                <w:bCs/>
                <w:color w:val="000000"/>
                <w:sz w:val="16"/>
                <w:szCs w:val="16"/>
                <w:rtl/>
                <w:lang w:eastAsia="en-US"/>
              </w:rPr>
              <w:t>סך עודף שהועבר ב-2024</w:t>
            </w:r>
          </w:p>
        </w:tc>
        <w:tc>
          <w:tcPr>
            <w:tcW w:w="986" w:type="pct"/>
            <w:tcBorders>
              <w:top w:val="single" w:sz="4" w:space="0" w:color="979991"/>
              <w:left w:val="single" w:sz="4" w:space="0" w:color="979991"/>
              <w:bottom w:val="single" w:sz="4" w:space="0" w:color="979991"/>
              <w:right w:val="single" w:sz="4" w:space="0" w:color="979991"/>
            </w:tcBorders>
            <w:shd w:val="clear" w:color="000000" w:fill="F0F4FA"/>
            <w:vAlign w:val="center"/>
            <w:hideMark/>
          </w:tcPr>
          <w:p w14:paraId="002661F1" w14:textId="77777777" w:rsidR="00D80A15" w:rsidRPr="00D80A15" w:rsidRDefault="00D80A15" w:rsidP="00D80A15">
            <w:pPr>
              <w:overflowPunct/>
              <w:autoSpaceDE/>
              <w:autoSpaceDN/>
              <w:adjustRightInd/>
              <w:jc w:val="center"/>
              <w:textAlignment w:val="auto"/>
              <w:rPr>
                <w:rFonts w:ascii="Calibri" w:hAnsi="Calibri" w:cs="Calibri"/>
                <w:b/>
                <w:bCs/>
                <w:color w:val="000000"/>
                <w:sz w:val="16"/>
                <w:szCs w:val="16"/>
                <w:rtl/>
                <w:lang w:eastAsia="en-US"/>
              </w:rPr>
            </w:pPr>
            <w:r w:rsidRPr="00D80A15">
              <w:rPr>
                <w:rFonts w:ascii="Calibri" w:hAnsi="Calibri" w:cs="Calibri"/>
                <w:b/>
                <w:bCs/>
                <w:color w:val="000000"/>
                <w:sz w:val="16"/>
                <w:szCs w:val="16"/>
                <w:rtl/>
                <w:lang w:eastAsia="en-US"/>
              </w:rPr>
              <w:t>סך עודף שהועבר ב-2023</w:t>
            </w:r>
          </w:p>
        </w:tc>
      </w:tr>
      <w:tr w:rsidR="00D80A15" w:rsidRPr="00D80A15" w14:paraId="3C98EA74" w14:textId="77777777" w:rsidTr="00D80A15">
        <w:trPr>
          <w:trHeight w:val="300"/>
        </w:trPr>
        <w:tc>
          <w:tcPr>
            <w:tcW w:w="968" w:type="pct"/>
            <w:tcBorders>
              <w:top w:val="single" w:sz="4" w:space="0" w:color="979991"/>
              <w:left w:val="single" w:sz="4" w:space="0" w:color="979991"/>
              <w:bottom w:val="single" w:sz="4" w:space="0" w:color="979991"/>
              <w:right w:val="nil"/>
            </w:tcBorders>
            <w:shd w:val="clear" w:color="000000" w:fill="F0F4FA"/>
            <w:vAlign w:val="center"/>
            <w:hideMark/>
          </w:tcPr>
          <w:p w14:paraId="0D0ABA2B" w14:textId="77777777" w:rsidR="00D80A15" w:rsidRPr="00D80A15" w:rsidRDefault="00D80A15" w:rsidP="00D80A15">
            <w:pPr>
              <w:overflowPunct/>
              <w:autoSpaceDE/>
              <w:autoSpaceDN/>
              <w:bidi w:val="0"/>
              <w:adjustRightInd/>
              <w:jc w:val="center"/>
              <w:textAlignment w:val="auto"/>
              <w:rPr>
                <w:rFonts w:ascii="Calibri" w:hAnsi="Calibri" w:cs="Calibri"/>
                <w:color w:val="000000"/>
                <w:sz w:val="16"/>
                <w:szCs w:val="16"/>
                <w:rtl/>
                <w:lang w:eastAsia="en-US"/>
              </w:rPr>
            </w:pPr>
            <w:r w:rsidRPr="00D80A15">
              <w:rPr>
                <w:rFonts w:ascii="Calibri" w:hAnsi="Calibri" w:cs="Calibri"/>
                <w:color w:val="000000"/>
                <w:sz w:val="16"/>
                <w:szCs w:val="16"/>
                <w:lang w:eastAsia="en-US"/>
              </w:rPr>
              <w:t>330102</w:t>
            </w:r>
          </w:p>
        </w:tc>
        <w:tc>
          <w:tcPr>
            <w:tcW w:w="1111" w:type="pct"/>
            <w:tcBorders>
              <w:top w:val="nil"/>
              <w:left w:val="single" w:sz="4" w:space="0" w:color="979991"/>
              <w:bottom w:val="single" w:sz="4" w:space="0" w:color="979991"/>
              <w:right w:val="nil"/>
            </w:tcBorders>
            <w:shd w:val="clear" w:color="000000" w:fill="FFFFFF"/>
            <w:vAlign w:val="center"/>
            <w:hideMark/>
          </w:tcPr>
          <w:p w14:paraId="6F94C2C8" w14:textId="77777777" w:rsidR="00D80A15" w:rsidRPr="00D80A15" w:rsidRDefault="00D80A15" w:rsidP="00D80A15">
            <w:pPr>
              <w:overflowPunct/>
              <w:autoSpaceDE/>
              <w:autoSpaceDN/>
              <w:bidi w:val="0"/>
              <w:adjustRightInd/>
              <w:jc w:val="center"/>
              <w:textAlignment w:val="auto"/>
              <w:rPr>
                <w:rFonts w:ascii="Calibri" w:hAnsi="Calibri" w:cs="Calibri"/>
                <w:color w:val="000000"/>
                <w:sz w:val="16"/>
                <w:szCs w:val="16"/>
                <w:lang w:eastAsia="en-US"/>
              </w:rPr>
            </w:pPr>
            <w:r w:rsidRPr="00D80A15">
              <w:rPr>
                <w:rFonts w:ascii="Calibri" w:hAnsi="Calibri" w:cs="Calibri"/>
                <w:color w:val="000000"/>
                <w:sz w:val="16"/>
                <w:szCs w:val="16"/>
                <w:lang w:eastAsia="en-US"/>
              </w:rPr>
              <w:t>134,534</w:t>
            </w:r>
          </w:p>
        </w:tc>
        <w:tc>
          <w:tcPr>
            <w:tcW w:w="968" w:type="pct"/>
            <w:tcBorders>
              <w:top w:val="nil"/>
              <w:left w:val="single" w:sz="4" w:space="0" w:color="979991"/>
              <w:bottom w:val="single" w:sz="4" w:space="0" w:color="979991"/>
              <w:right w:val="nil"/>
            </w:tcBorders>
            <w:shd w:val="clear" w:color="000000" w:fill="FFFFFF"/>
            <w:vAlign w:val="center"/>
            <w:hideMark/>
          </w:tcPr>
          <w:p w14:paraId="39017794" w14:textId="77777777" w:rsidR="00D80A15" w:rsidRPr="00D80A15" w:rsidRDefault="00D80A15" w:rsidP="00D80A15">
            <w:pPr>
              <w:overflowPunct/>
              <w:autoSpaceDE/>
              <w:autoSpaceDN/>
              <w:bidi w:val="0"/>
              <w:adjustRightInd/>
              <w:jc w:val="center"/>
              <w:textAlignment w:val="auto"/>
              <w:rPr>
                <w:rFonts w:ascii="Calibri" w:hAnsi="Calibri" w:cs="Calibri"/>
                <w:color w:val="000000"/>
                <w:sz w:val="16"/>
                <w:szCs w:val="16"/>
                <w:lang w:eastAsia="en-US"/>
              </w:rPr>
            </w:pPr>
            <w:r w:rsidRPr="00D80A15">
              <w:rPr>
                <w:rFonts w:ascii="Calibri" w:hAnsi="Calibri" w:cs="Calibri"/>
                <w:color w:val="000000"/>
                <w:sz w:val="16"/>
                <w:szCs w:val="16"/>
                <w:lang w:eastAsia="en-US"/>
              </w:rPr>
              <w:t>132,896</w:t>
            </w:r>
          </w:p>
        </w:tc>
        <w:tc>
          <w:tcPr>
            <w:tcW w:w="968" w:type="pct"/>
            <w:tcBorders>
              <w:top w:val="nil"/>
              <w:left w:val="single" w:sz="4" w:space="0" w:color="979991"/>
              <w:bottom w:val="single" w:sz="4" w:space="0" w:color="979991"/>
              <w:right w:val="nil"/>
            </w:tcBorders>
            <w:shd w:val="clear" w:color="000000" w:fill="FFFFFF"/>
            <w:vAlign w:val="center"/>
            <w:hideMark/>
          </w:tcPr>
          <w:p w14:paraId="08554B9A" w14:textId="77777777" w:rsidR="00D80A15" w:rsidRPr="00D80A15" w:rsidRDefault="00D80A15" w:rsidP="00D80A15">
            <w:pPr>
              <w:overflowPunct/>
              <w:autoSpaceDE/>
              <w:autoSpaceDN/>
              <w:bidi w:val="0"/>
              <w:adjustRightInd/>
              <w:jc w:val="center"/>
              <w:textAlignment w:val="auto"/>
              <w:rPr>
                <w:rFonts w:ascii="Calibri" w:hAnsi="Calibri" w:cs="Calibri"/>
                <w:color w:val="000000"/>
                <w:sz w:val="16"/>
                <w:szCs w:val="16"/>
                <w:lang w:eastAsia="en-US"/>
              </w:rPr>
            </w:pPr>
            <w:r w:rsidRPr="00D80A15">
              <w:rPr>
                <w:rFonts w:ascii="Calibri" w:hAnsi="Calibri" w:cs="Calibri"/>
                <w:color w:val="000000"/>
                <w:sz w:val="16"/>
                <w:szCs w:val="16"/>
                <w:lang w:eastAsia="en-US"/>
              </w:rPr>
              <w:t>167,795</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4B41F676" w14:textId="77777777" w:rsidR="00D80A15" w:rsidRPr="00D80A15" w:rsidRDefault="00D80A15" w:rsidP="00D80A15">
            <w:pPr>
              <w:overflowPunct/>
              <w:autoSpaceDE/>
              <w:autoSpaceDN/>
              <w:bidi w:val="0"/>
              <w:adjustRightInd/>
              <w:jc w:val="center"/>
              <w:textAlignment w:val="auto"/>
              <w:rPr>
                <w:rFonts w:ascii="Calibri" w:hAnsi="Calibri" w:cs="Calibri"/>
                <w:color w:val="000000"/>
                <w:sz w:val="16"/>
                <w:szCs w:val="16"/>
                <w:lang w:eastAsia="en-US"/>
              </w:rPr>
            </w:pPr>
            <w:r w:rsidRPr="00D80A15">
              <w:rPr>
                <w:rFonts w:ascii="Calibri" w:hAnsi="Calibri" w:cs="Calibri"/>
                <w:color w:val="000000"/>
                <w:sz w:val="16"/>
                <w:szCs w:val="16"/>
                <w:lang w:eastAsia="en-US"/>
              </w:rPr>
              <w:t>154,467</w:t>
            </w:r>
          </w:p>
        </w:tc>
      </w:tr>
      <w:tr w:rsidR="00D80A15" w:rsidRPr="00D80A15" w14:paraId="765EEFB7" w14:textId="77777777" w:rsidTr="00D80A15">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516738F5" w14:textId="77777777" w:rsidR="00D80A15" w:rsidRPr="00D80A15" w:rsidRDefault="00D80A15" w:rsidP="00D80A15">
            <w:pPr>
              <w:overflowPunct/>
              <w:autoSpaceDE/>
              <w:autoSpaceDN/>
              <w:bidi w:val="0"/>
              <w:adjustRightInd/>
              <w:jc w:val="center"/>
              <w:textAlignment w:val="auto"/>
              <w:rPr>
                <w:rFonts w:ascii="Calibri" w:hAnsi="Calibri" w:cs="Calibri"/>
                <w:color w:val="000000"/>
                <w:sz w:val="16"/>
                <w:szCs w:val="16"/>
                <w:lang w:eastAsia="en-US"/>
              </w:rPr>
            </w:pPr>
            <w:r w:rsidRPr="00D80A15">
              <w:rPr>
                <w:rFonts w:ascii="Calibri" w:hAnsi="Calibri" w:cs="Calibri"/>
                <w:color w:val="000000"/>
                <w:sz w:val="16"/>
                <w:szCs w:val="16"/>
                <w:lang w:eastAsia="en-US"/>
              </w:rPr>
              <w:t>330602</w:t>
            </w:r>
          </w:p>
        </w:tc>
        <w:tc>
          <w:tcPr>
            <w:tcW w:w="1111" w:type="pct"/>
            <w:tcBorders>
              <w:top w:val="nil"/>
              <w:left w:val="single" w:sz="4" w:space="0" w:color="979991"/>
              <w:bottom w:val="single" w:sz="4" w:space="0" w:color="979991"/>
              <w:right w:val="nil"/>
            </w:tcBorders>
            <w:shd w:val="clear" w:color="000000" w:fill="FFFFFF"/>
            <w:vAlign w:val="center"/>
            <w:hideMark/>
          </w:tcPr>
          <w:p w14:paraId="00010086" w14:textId="77777777" w:rsidR="00D80A15" w:rsidRPr="00D80A15" w:rsidRDefault="00D80A15" w:rsidP="00D80A15">
            <w:pPr>
              <w:overflowPunct/>
              <w:autoSpaceDE/>
              <w:autoSpaceDN/>
              <w:bidi w:val="0"/>
              <w:adjustRightInd/>
              <w:jc w:val="center"/>
              <w:textAlignment w:val="auto"/>
              <w:rPr>
                <w:rFonts w:ascii="Calibri" w:hAnsi="Calibri" w:cs="Calibri"/>
                <w:color w:val="000000"/>
                <w:sz w:val="16"/>
                <w:szCs w:val="16"/>
                <w:lang w:eastAsia="en-US"/>
              </w:rPr>
            </w:pPr>
            <w:r w:rsidRPr="00D80A15">
              <w:rPr>
                <w:rFonts w:ascii="Calibri" w:hAnsi="Calibri" w:cs="Calibri"/>
                <w:color w:val="000000"/>
                <w:sz w:val="16"/>
                <w:szCs w:val="16"/>
                <w:lang w:eastAsia="en-US"/>
              </w:rPr>
              <w:t>170,238</w:t>
            </w:r>
          </w:p>
        </w:tc>
        <w:tc>
          <w:tcPr>
            <w:tcW w:w="968" w:type="pct"/>
            <w:tcBorders>
              <w:top w:val="nil"/>
              <w:left w:val="single" w:sz="4" w:space="0" w:color="979991"/>
              <w:bottom w:val="single" w:sz="4" w:space="0" w:color="979991"/>
              <w:right w:val="nil"/>
            </w:tcBorders>
            <w:shd w:val="clear" w:color="000000" w:fill="FFFFFF"/>
            <w:vAlign w:val="center"/>
            <w:hideMark/>
          </w:tcPr>
          <w:p w14:paraId="417DCF46" w14:textId="77777777" w:rsidR="00D80A15" w:rsidRPr="00D80A15" w:rsidRDefault="00D80A15" w:rsidP="00D80A15">
            <w:pPr>
              <w:overflowPunct/>
              <w:autoSpaceDE/>
              <w:autoSpaceDN/>
              <w:bidi w:val="0"/>
              <w:adjustRightInd/>
              <w:jc w:val="center"/>
              <w:textAlignment w:val="auto"/>
              <w:rPr>
                <w:rFonts w:ascii="Calibri" w:hAnsi="Calibri" w:cs="Calibri"/>
                <w:color w:val="000000"/>
                <w:sz w:val="16"/>
                <w:szCs w:val="16"/>
                <w:lang w:eastAsia="en-US"/>
              </w:rPr>
            </w:pPr>
            <w:r w:rsidRPr="00D80A15">
              <w:rPr>
                <w:rFonts w:ascii="Calibri" w:hAnsi="Calibri" w:cs="Calibri"/>
                <w:color w:val="000000"/>
                <w:sz w:val="16"/>
                <w:szCs w:val="16"/>
                <w:lang w:eastAsia="en-US"/>
              </w:rPr>
              <w:t>267,346</w:t>
            </w:r>
          </w:p>
        </w:tc>
        <w:tc>
          <w:tcPr>
            <w:tcW w:w="968" w:type="pct"/>
            <w:tcBorders>
              <w:top w:val="nil"/>
              <w:left w:val="single" w:sz="4" w:space="0" w:color="979991"/>
              <w:bottom w:val="single" w:sz="4" w:space="0" w:color="979991"/>
              <w:right w:val="nil"/>
            </w:tcBorders>
            <w:shd w:val="clear" w:color="000000" w:fill="FFFFFF"/>
            <w:vAlign w:val="center"/>
            <w:hideMark/>
          </w:tcPr>
          <w:p w14:paraId="12858BEC" w14:textId="77777777" w:rsidR="00D80A15" w:rsidRPr="00D80A15" w:rsidRDefault="00D80A15" w:rsidP="00D80A15">
            <w:pPr>
              <w:overflowPunct/>
              <w:autoSpaceDE/>
              <w:autoSpaceDN/>
              <w:bidi w:val="0"/>
              <w:adjustRightInd/>
              <w:jc w:val="center"/>
              <w:textAlignment w:val="auto"/>
              <w:rPr>
                <w:rFonts w:ascii="Calibri" w:hAnsi="Calibri" w:cs="Calibri"/>
                <w:color w:val="000000"/>
                <w:sz w:val="16"/>
                <w:szCs w:val="16"/>
                <w:lang w:eastAsia="en-US"/>
              </w:rPr>
            </w:pPr>
            <w:r w:rsidRPr="00D80A15">
              <w:rPr>
                <w:rFonts w:ascii="Calibri" w:hAnsi="Calibri" w:cs="Calibri"/>
                <w:color w:val="000000"/>
                <w:sz w:val="16"/>
                <w:szCs w:val="16"/>
                <w:lang w:eastAsia="en-US"/>
              </w:rPr>
              <w:t>521,450</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285595C2" w14:textId="77777777" w:rsidR="00D80A15" w:rsidRPr="00D80A15" w:rsidRDefault="00D80A15" w:rsidP="00D80A15">
            <w:pPr>
              <w:overflowPunct/>
              <w:autoSpaceDE/>
              <w:autoSpaceDN/>
              <w:bidi w:val="0"/>
              <w:adjustRightInd/>
              <w:jc w:val="center"/>
              <w:textAlignment w:val="auto"/>
              <w:rPr>
                <w:rFonts w:ascii="Calibri" w:hAnsi="Calibri" w:cs="Calibri"/>
                <w:color w:val="000000"/>
                <w:sz w:val="16"/>
                <w:szCs w:val="16"/>
                <w:lang w:eastAsia="en-US"/>
              </w:rPr>
            </w:pPr>
            <w:r w:rsidRPr="00D80A15">
              <w:rPr>
                <w:rFonts w:ascii="Calibri" w:hAnsi="Calibri" w:cs="Calibri"/>
                <w:color w:val="000000"/>
                <w:sz w:val="16"/>
                <w:szCs w:val="16"/>
                <w:lang w:eastAsia="en-US"/>
              </w:rPr>
              <w:t>202,462</w:t>
            </w:r>
          </w:p>
        </w:tc>
      </w:tr>
      <w:tr w:rsidR="00D80A15" w:rsidRPr="00D80A15" w14:paraId="0A9E7F85" w14:textId="77777777" w:rsidTr="00D80A15">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331F412F" w14:textId="77777777" w:rsidR="00D80A15" w:rsidRPr="00D80A15" w:rsidRDefault="00D80A15" w:rsidP="00D80A15">
            <w:pPr>
              <w:overflowPunct/>
              <w:autoSpaceDE/>
              <w:autoSpaceDN/>
              <w:bidi w:val="0"/>
              <w:adjustRightInd/>
              <w:jc w:val="center"/>
              <w:textAlignment w:val="auto"/>
              <w:rPr>
                <w:rFonts w:ascii="Calibri" w:hAnsi="Calibri" w:cs="Calibri"/>
                <w:color w:val="000000"/>
                <w:sz w:val="16"/>
                <w:szCs w:val="16"/>
                <w:lang w:eastAsia="en-US"/>
              </w:rPr>
            </w:pPr>
            <w:r w:rsidRPr="00D80A15">
              <w:rPr>
                <w:rFonts w:ascii="Calibri" w:hAnsi="Calibri" w:cs="Calibri"/>
                <w:color w:val="000000"/>
                <w:sz w:val="16"/>
                <w:szCs w:val="16"/>
                <w:lang w:eastAsia="en-US"/>
              </w:rPr>
              <w:t>330603</w:t>
            </w:r>
          </w:p>
        </w:tc>
        <w:tc>
          <w:tcPr>
            <w:tcW w:w="1111" w:type="pct"/>
            <w:tcBorders>
              <w:top w:val="nil"/>
              <w:left w:val="single" w:sz="4" w:space="0" w:color="979991"/>
              <w:bottom w:val="single" w:sz="4" w:space="0" w:color="979991"/>
              <w:right w:val="nil"/>
            </w:tcBorders>
            <w:shd w:val="clear" w:color="000000" w:fill="FFFFFF"/>
            <w:vAlign w:val="center"/>
            <w:hideMark/>
          </w:tcPr>
          <w:p w14:paraId="51146BBC" w14:textId="77777777" w:rsidR="00D80A15" w:rsidRPr="00D80A15" w:rsidRDefault="00D80A15" w:rsidP="00D80A15">
            <w:pPr>
              <w:overflowPunct/>
              <w:autoSpaceDE/>
              <w:autoSpaceDN/>
              <w:bidi w:val="0"/>
              <w:adjustRightInd/>
              <w:jc w:val="center"/>
              <w:textAlignment w:val="auto"/>
              <w:rPr>
                <w:rFonts w:ascii="Calibri" w:hAnsi="Calibri" w:cs="Calibri"/>
                <w:color w:val="000000"/>
                <w:sz w:val="16"/>
                <w:szCs w:val="16"/>
                <w:lang w:eastAsia="en-US"/>
              </w:rPr>
            </w:pPr>
            <w:r w:rsidRPr="00D80A15">
              <w:rPr>
                <w:rFonts w:ascii="Calibri" w:hAnsi="Calibri" w:cs="Calibri"/>
                <w:color w:val="000000"/>
                <w:sz w:val="16"/>
                <w:szCs w:val="16"/>
                <w:lang w:eastAsia="en-US"/>
              </w:rPr>
              <w:t>17,432</w:t>
            </w:r>
          </w:p>
        </w:tc>
        <w:tc>
          <w:tcPr>
            <w:tcW w:w="968" w:type="pct"/>
            <w:tcBorders>
              <w:top w:val="nil"/>
              <w:left w:val="single" w:sz="4" w:space="0" w:color="979991"/>
              <w:bottom w:val="single" w:sz="4" w:space="0" w:color="979991"/>
              <w:right w:val="nil"/>
            </w:tcBorders>
            <w:shd w:val="clear" w:color="000000" w:fill="FFFFFF"/>
            <w:vAlign w:val="center"/>
            <w:hideMark/>
          </w:tcPr>
          <w:p w14:paraId="1775E5F7" w14:textId="77777777" w:rsidR="00D80A15" w:rsidRPr="00D80A15" w:rsidRDefault="00D80A15" w:rsidP="00D80A15">
            <w:pPr>
              <w:overflowPunct/>
              <w:autoSpaceDE/>
              <w:autoSpaceDN/>
              <w:bidi w:val="0"/>
              <w:adjustRightInd/>
              <w:jc w:val="center"/>
              <w:textAlignment w:val="auto"/>
              <w:rPr>
                <w:rFonts w:ascii="Calibri" w:hAnsi="Calibri" w:cs="Calibri"/>
                <w:color w:val="000000"/>
                <w:sz w:val="16"/>
                <w:szCs w:val="16"/>
                <w:lang w:eastAsia="en-US"/>
              </w:rPr>
            </w:pPr>
            <w:r w:rsidRPr="00D80A15">
              <w:rPr>
                <w:rFonts w:ascii="Calibri" w:hAnsi="Calibri" w:cs="Calibri"/>
                <w:color w:val="000000"/>
                <w:sz w:val="16"/>
                <w:szCs w:val="16"/>
                <w:lang w:eastAsia="en-US"/>
              </w:rPr>
              <w:t>16,953</w:t>
            </w:r>
          </w:p>
        </w:tc>
        <w:tc>
          <w:tcPr>
            <w:tcW w:w="968" w:type="pct"/>
            <w:tcBorders>
              <w:top w:val="nil"/>
              <w:left w:val="single" w:sz="4" w:space="0" w:color="979991"/>
              <w:bottom w:val="single" w:sz="4" w:space="0" w:color="979991"/>
              <w:right w:val="nil"/>
            </w:tcBorders>
            <w:shd w:val="clear" w:color="000000" w:fill="FFFFFF"/>
            <w:vAlign w:val="center"/>
            <w:hideMark/>
          </w:tcPr>
          <w:p w14:paraId="2103DFF7" w14:textId="77777777" w:rsidR="00D80A15" w:rsidRPr="00D80A15" w:rsidRDefault="00D80A15" w:rsidP="00D80A15">
            <w:pPr>
              <w:overflowPunct/>
              <w:autoSpaceDE/>
              <w:autoSpaceDN/>
              <w:bidi w:val="0"/>
              <w:adjustRightInd/>
              <w:jc w:val="center"/>
              <w:textAlignment w:val="auto"/>
              <w:rPr>
                <w:rFonts w:ascii="Calibri" w:hAnsi="Calibri" w:cs="Calibri"/>
                <w:color w:val="000000"/>
                <w:sz w:val="16"/>
                <w:szCs w:val="16"/>
                <w:lang w:eastAsia="en-US"/>
              </w:rPr>
            </w:pPr>
            <w:r w:rsidRPr="00D80A15">
              <w:rPr>
                <w:rFonts w:ascii="Calibri" w:hAnsi="Calibri" w:cs="Calibri"/>
                <w:color w:val="000000"/>
                <w:sz w:val="16"/>
                <w:szCs w:val="16"/>
                <w:lang w:eastAsia="en-US"/>
              </w:rPr>
              <w:t>19,595</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2CB3D927" w14:textId="77777777" w:rsidR="00D80A15" w:rsidRPr="00D80A15" w:rsidRDefault="00D80A15" w:rsidP="00D80A15">
            <w:pPr>
              <w:overflowPunct/>
              <w:autoSpaceDE/>
              <w:autoSpaceDN/>
              <w:bidi w:val="0"/>
              <w:adjustRightInd/>
              <w:jc w:val="center"/>
              <w:textAlignment w:val="auto"/>
              <w:rPr>
                <w:rFonts w:ascii="Calibri" w:hAnsi="Calibri" w:cs="Calibri"/>
                <w:color w:val="000000"/>
                <w:sz w:val="16"/>
                <w:szCs w:val="16"/>
                <w:lang w:eastAsia="en-US"/>
              </w:rPr>
            </w:pPr>
            <w:r w:rsidRPr="00D80A15">
              <w:rPr>
                <w:rFonts w:ascii="Calibri" w:hAnsi="Calibri" w:cs="Calibri"/>
                <w:color w:val="000000"/>
                <w:sz w:val="16"/>
                <w:szCs w:val="16"/>
                <w:lang w:eastAsia="en-US"/>
              </w:rPr>
              <w:t>27,550</w:t>
            </w:r>
          </w:p>
        </w:tc>
      </w:tr>
      <w:tr w:rsidR="00D80A15" w:rsidRPr="00D80A15" w14:paraId="2E3B1833" w14:textId="77777777" w:rsidTr="00D80A15">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7D8EB654" w14:textId="77777777" w:rsidR="00D80A15" w:rsidRPr="00D80A15" w:rsidRDefault="00D80A15" w:rsidP="00D80A15">
            <w:pPr>
              <w:overflowPunct/>
              <w:autoSpaceDE/>
              <w:autoSpaceDN/>
              <w:bidi w:val="0"/>
              <w:adjustRightInd/>
              <w:jc w:val="center"/>
              <w:textAlignment w:val="auto"/>
              <w:rPr>
                <w:rFonts w:ascii="Calibri" w:hAnsi="Calibri" w:cs="Calibri"/>
                <w:color w:val="000000"/>
                <w:sz w:val="16"/>
                <w:szCs w:val="16"/>
                <w:lang w:eastAsia="en-US"/>
              </w:rPr>
            </w:pPr>
            <w:r w:rsidRPr="00D80A15">
              <w:rPr>
                <w:rFonts w:ascii="Calibri" w:hAnsi="Calibri" w:cs="Calibri"/>
                <w:color w:val="000000"/>
                <w:sz w:val="16"/>
                <w:szCs w:val="16"/>
                <w:lang w:eastAsia="en-US"/>
              </w:rPr>
              <w:t>330901</w:t>
            </w:r>
          </w:p>
        </w:tc>
        <w:tc>
          <w:tcPr>
            <w:tcW w:w="1111" w:type="pct"/>
            <w:tcBorders>
              <w:top w:val="nil"/>
              <w:left w:val="single" w:sz="4" w:space="0" w:color="979991"/>
              <w:bottom w:val="single" w:sz="4" w:space="0" w:color="979991"/>
              <w:right w:val="nil"/>
            </w:tcBorders>
            <w:shd w:val="clear" w:color="000000" w:fill="FFFFFF"/>
            <w:vAlign w:val="center"/>
            <w:hideMark/>
          </w:tcPr>
          <w:p w14:paraId="66F5AA60" w14:textId="77777777" w:rsidR="00D80A15" w:rsidRPr="00D80A15" w:rsidRDefault="00D80A15" w:rsidP="00D80A15">
            <w:pPr>
              <w:overflowPunct/>
              <w:autoSpaceDE/>
              <w:autoSpaceDN/>
              <w:bidi w:val="0"/>
              <w:adjustRightInd/>
              <w:jc w:val="center"/>
              <w:textAlignment w:val="auto"/>
              <w:rPr>
                <w:rFonts w:ascii="Calibri" w:hAnsi="Calibri" w:cs="Calibri"/>
                <w:color w:val="000000"/>
                <w:sz w:val="16"/>
                <w:szCs w:val="16"/>
                <w:lang w:eastAsia="en-US"/>
              </w:rPr>
            </w:pPr>
            <w:r w:rsidRPr="00D80A15">
              <w:rPr>
                <w:rFonts w:ascii="Calibri" w:hAnsi="Calibri" w:cs="Calibri"/>
                <w:color w:val="000000"/>
                <w:sz w:val="16"/>
                <w:szCs w:val="16"/>
                <w:lang w:eastAsia="en-US"/>
              </w:rPr>
              <w:t>11,337</w:t>
            </w:r>
          </w:p>
        </w:tc>
        <w:tc>
          <w:tcPr>
            <w:tcW w:w="968" w:type="pct"/>
            <w:tcBorders>
              <w:top w:val="nil"/>
              <w:left w:val="single" w:sz="4" w:space="0" w:color="979991"/>
              <w:bottom w:val="single" w:sz="4" w:space="0" w:color="979991"/>
              <w:right w:val="nil"/>
            </w:tcBorders>
            <w:shd w:val="clear" w:color="000000" w:fill="FFFFFF"/>
            <w:vAlign w:val="center"/>
            <w:hideMark/>
          </w:tcPr>
          <w:p w14:paraId="79961A6F" w14:textId="77777777" w:rsidR="00D80A15" w:rsidRPr="00D80A15" w:rsidRDefault="00D80A15" w:rsidP="00D80A15">
            <w:pPr>
              <w:overflowPunct/>
              <w:autoSpaceDE/>
              <w:autoSpaceDN/>
              <w:bidi w:val="0"/>
              <w:adjustRightInd/>
              <w:jc w:val="center"/>
              <w:textAlignment w:val="auto"/>
              <w:rPr>
                <w:rFonts w:ascii="Calibri" w:hAnsi="Calibri" w:cs="Calibri"/>
                <w:color w:val="000000"/>
                <w:sz w:val="16"/>
                <w:szCs w:val="16"/>
                <w:lang w:eastAsia="en-US"/>
              </w:rPr>
            </w:pPr>
            <w:r w:rsidRPr="00D80A15">
              <w:rPr>
                <w:rFonts w:ascii="Calibri" w:hAnsi="Calibri" w:cs="Calibri"/>
                <w:color w:val="000000"/>
                <w:sz w:val="16"/>
                <w:szCs w:val="16"/>
                <w:lang w:eastAsia="en-US"/>
              </w:rPr>
              <w:t>0</w:t>
            </w:r>
          </w:p>
        </w:tc>
        <w:tc>
          <w:tcPr>
            <w:tcW w:w="968" w:type="pct"/>
            <w:tcBorders>
              <w:top w:val="nil"/>
              <w:left w:val="single" w:sz="4" w:space="0" w:color="979991"/>
              <w:bottom w:val="single" w:sz="4" w:space="0" w:color="979991"/>
              <w:right w:val="nil"/>
            </w:tcBorders>
            <w:shd w:val="clear" w:color="000000" w:fill="FFFFFF"/>
            <w:vAlign w:val="center"/>
            <w:hideMark/>
          </w:tcPr>
          <w:p w14:paraId="0E81144E" w14:textId="77777777" w:rsidR="00D80A15" w:rsidRPr="00D80A15" w:rsidRDefault="00D80A15" w:rsidP="00D80A15">
            <w:pPr>
              <w:overflowPunct/>
              <w:autoSpaceDE/>
              <w:autoSpaceDN/>
              <w:bidi w:val="0"/>
              <w:adjustRightInd/>
              <w:jc w:val="center"/>
              <w:textAlignment w:val="auto"/>
              <w:rPr>
                <w:rFonts w:ascii="Calibri" w:hAnsi="Calibri" w:cs="Calibri"/>
                <w:color w:val="000000"/>
                <w:sz w:val="16"/>
                <w:szCs w:val="16"/>
                <w:lang w:eastAsia="en-US"/>
              </w:rPr>
            </w:pPr>
            <w:r w:rsidRPr="00D80A15">
              <w:rPr>
                <w:rFonts w:ascii="Calibri" w:hAnsi="Calibri" w:cs="Calibri"/>
                <w:color w:val="000000"/>
                <w:sz w:val="16"/>
                <w:szCs w:val="16"/>
                <w:lang w:eastAsia="en-US"/>
              </w:rPr>
              <w:t>30,185</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08F4B11B" w14:textId="77777777" w:rsidR="00D80A15" w:rsidRPr="00D80A15" w:rsidRDefault="00D80A15" w:rsidP="00D80A15">
            <w:pPr>
              <w:overflowPunct/>
              <w:autoSpaceDE/>
              <w:autoSpaceDN/>
              <w:bidi w:val="0"/>
              <w:adjustRightInd/>
              <w:jc w:val="center"/>
              <w:textAlignment w:val="auto"/>
              <w:rPr>
                <w:rFonts w:ascii="Calibri" w:hAnsi="Calibri" w:cs="Calibri"/>
                <w:color w:val="000000"/>
                <w:sz w:val="16"/>
                <w:szCs w:val="16"/>
                <w:lang w:eastAsia="en-US"/>
              </w:rPr>
            </w:pPr>
            <w:r w:rsidRPr="00D80A15">
              <w:rPr>
                <w:rFonts w:ascii="Calibri" w:hAnsi="Calibri" w:cs="Calibri"/>
                <w:color w:val="000000"/>
                <w:sz w:val="16"/>
                <w:szCs w:val="16"/>
                <w:lang w:eastAsia="en-US"/>
              </w:rPr>
              <w:t>10,317</w:t>
            </w:r>
          </w:p>
        </w:tc>
      </w:tr>
    </w:tbl>
    <w:p w14:paraId="54D4D7FC" w14:textId="77777777" w:rsidR="00D80A15" w:rsidRDefault="00D80A15">
      <w:pPr>
        <w:rPr>
          <w:rFonts w:cs="FrankRuehl"/>
          <w:sz w:val="26"/>
          <w:szCs w:val="26"/>
          <w:rtl/>
        </w:rPr>
      </w:pPr>
    </w:p>
    <w:p w14:paraId="74A5FAB1" w14:textId="1E8F3B6F" w:rsidR="00D80A15" w:rsidRDefault="00D80A15">
      <w:pPr>
        <w:rPr>
          <w:rFonts w:cs="FrankRuehl"/>
          <w:sz w:val="26"/>
          <w:szCs w:val="26"/>
          <w:rtl/>
        </w:rPr>
      </w:pPr>
    </w:p>
    <w:p w14:paraId="77E7D0C9" w14:textId="1341A975" w:rsidR="00D80A15" w:rsidRDefault="00D80A15">
      <w:pPr>
        <w:rPr>
          <w:rFonts w:cs="FrankRuehl"/>
          <w:sz w:val="26"/>
          <w:szCs w:val="26"/>
          <w:rtl/>
        </w:rPr>
      </w:pPr>
    </w:p>
    <w:p w14:paraId="590E997C" w14:textId="20231BCA" w:rsidR="00D80A15" w:rsidRDefault="00D80A15">
      <w:pPr>
        <w:rPr>
          <w:rFonts w:cs="FrankRuehl"/>
          <w:sz w:val="26"/>
          <w:szCs w:val="26"/>
          <w:rtl/>
        </w:rPr>
      </w:pPr>
    </w:p>
    <w:p w14:paraId="7DEDE3E1" w14:textId="77777777" w:rsidR="00D80A15" w:rsidRPr="000A3FA0" w:rsidRDefault="00D80A15">
      <w:pPr>
        <w:rPr>
          <w:rFonts w:cs="FrankRuehl"/>
          <w:sz w:val="26"/>
          <w:szCs w:val="26"/>
          <w:rtl/>
        </w:rPr>
      </w:pPr>
    </w:p>
    <w:sectPr w:rsidR="00D80A15" w:rsidRPr="000A3FA0" w:rsidSect="00A32326">
      <w:headerReference w:type="even" r:id="rId7"/>
      <w:headerReference w:type="default" r:id="rId8"/>
      <w:footerReference w:type="even" r:id="rId9"/>
      <w:footerReference w:type="default" r:id="rId10"/>
      <w:headerReference w:type="first" r:id="rId11"/>
      <w:footerReference w:type="first" r:id="rId12"/>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38B0B" w14:textId="77777777" w:rsidR="00C24F7A" w:rsidRDefault="00C24F7A" w:rsidP="00A32326">
      <w:r>
        <w:separator/>
      </w:r>
    </w:p>
  </w:endnote>
  <w:endnote w:type="continuationSeparator" w:id="0">
    <w:p w14:paraId="769B85CB" w14:textId="77777777" w:rsidR="00C24F7A" w:rsidRDefault="00C24F7A" w:rsidP="00A32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rkisim">
    <w:altName w:val="FrankRuehl"/>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87D58" w14:textId="77777777" w:rsidR="0096594F" w:rsidRDefault="0096594F">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006C4" w14:textId="77777777" w:rsidR="0096594F" w:rsidRDefault="0096594F">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98EED" w14:textId="77777777" w:rsidR="0096594F" w:rsidRDefault="0096594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35FCA" w14:textId="77777777" w:rsidR="00C24F7A" w:rsidRDefault="00C24F7A" w:rsidP="00A32326">
      <w:r>
        <w:separator/>
      </w:r>
    </w:p>
  </w:footnote>
  <w:footnote w:type="continuationSeparator" w:id="0">
    <w:p w14:paraId="45EB62EC" w14:textId="77777777" w:rsidR="00C24F7A" w:rsidRDefault="00C24F7A" w:rsidP="00A32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99D95" w14:textId="77777777" w:rsidR="0096594F" w:rsidRDefault="0096594F">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D3740" w14:textId="77777777" w:rsidR="00A32326" w:rsidRPr="00CB5FFD" w:rsidRDefault="00C24F7A" w:rsidP="00A32326">
    <w:pPr>
      <w:pStyle w:val="a4"/>
      <w:jc w:val="right"/>
      <w:rPr>
        <w:color w:val="4F81BD"/>
        <w:rtl/>
        <w:cs/>
      </w:rPr>
    </w:pPr>
    <w:r>
      <w:rPr>
        <w:noProof/>
        <w:rtl/>
      </w:rPr>
      <w:pict w14:anchorId="425375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margin-left:-90pt;margin-top:-88.05pt;width:594.75pt;height:87.3pt;z-index:1;mso-position-horizontal-relative:margin;mso-position-vertical-relative:margin">
          <v:imagedata r:id="rId1" o:title="Header"/>
          <w10:wrap type="square" anchorx="margin" anchory="margin"/>
        </v:shape>
      </w:pict>
    </w:r>
  </w:p>
  <w:p w14:paraId="74CD7E85" w14:textId="77777777" w:rsidR="00A32326" w:rsidRPr="00CB5FFD" w:rsidRDefault="00A32326" w:rsidP="00A32326">
    <w:pPr>
      <w:pStyle w:val="a4"/>
      <w:jc w:val="right"/>
      <w:rPr>
        <w:color w:val="4F81BD"/>
        <w:rtl/>
        <w:cs/>
      </w:rPr>
    </w:pPr>
  </w:p>
  <w:p w14:paraId="0A7BA04B" w14:textId="77777777" w:rsidR="00A32326" w:rsidRDefault="00A32326" w:rsidP="00A32326">
    <w:pPr>
      <w:pStyle w:val="a4"/>
    </w:pPr>
  </w:p>
  <w:p w14:paraId="43C106FB" w14:textId="77777777" w:rsidR="00A32326" w:rsidRDefault="00A3232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7663C" w14:textId="77777777" w:rsidR="0096594F" w:rsidRDefault="0096594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421FF0"/>
    <w:multiLevelType w:val="multilevel"/>
    <w:tmpl w:val="74403CB4"/>
    <w:lvl w:ilvl="0">
      <w:start w:val="1"/>
      <w:numFmt w:val="decimal"/>
      <w:lvlText w:val="%1 ."/>
      <w:lvlJc w:val="left"/>
      <w:pPr>
        <w:tabs>
          <w:tab w:val="num" w:pos="397"/>
        </w:tabs>
        <w:ind w:left="397" w:hanging="397"/>
      </w:pPr>
    </w:lvl>
    <w:lvl w:ilvl="1">
      <w:start w:val="1"/>
      <w:numFmt w:val="hebrew1"/>
      <w:lvlText w:val="%2."/>
      <w:lvlJc w:val="left"/>
      <w:pPr>
        <w:tabs>
          <w:tab w:val="num" w:pos="794"/>
        </w:tabs>
        <w:ind w:left="794" w:hanging="397"/>
      </w:pPr>
    </w:lvl>
    <w:lvl w:ilvl="2">
      <w:start w:val="1"/>
      <w:numFmt w:val="decimal"/>
      <w:lvlText w:val="%3)"/>
      <w:lvlJc w:val="left"/>
      <w:pPr>
        <w:tabs>
          <w:tab w:val="num" w:pos="1247"/>
        </w:tabs>
        <w:ind w:left="1247" w:hanging="453"/>
      </w:pPr>
    </w:lvl>
    <w:lvl w:ilvl="3">
      <w:start w:val="1"/>
      <w:numFmt w:val="hebrew1"/>
      <w:lvlText w:val="%4)"/>
      <w:lvlJc w:val="left"/>
      <w:pPr>
        <w:tabs>
          <w:tab w:val="num" w:pos="1701"/>
        </w:tabs>
        <w:ind w:left="1701" w:hanging="454"/>
      </w:pPr>
    </w:lvl>
    <w:lvl w:ilvl="4">
      <w:start w:val="1"/>
      <w:numFmt w:val="decimal"/>
      <w:lvlText w:val="(%5)"/>
      <w:lvlJc w:val="left"/>
      <w:pPr>
        <w:tabs>
          <w:tab w:val="num" w:pos="2211"/>
        </w:tabs>
        <w:ind w:left="2211" w:hanging="510"/>
      </w:pPr>
    </w:lvl>
    <w:lvl w:ilvl="5">
      <w:start w:val="1"/>
      <w:numFmt w:val="hebrew1"/>
      <w:lvlText w:val="(%6)"/>
      <w:lvlJc w:val="left"/>
      <w:pPr>
        <w:tabs>
          <w:tab w:val="num" w:pos="2721"/>
        </w:tabs>
        <w:ind w:left="2721" w:hanging="510"/>
      </w:pPr>
    </w:lvl>
    <w:lvl w:ilvl="6">
      <w:start w:val="1"/>
      <w:numFmt w:val="upperLetter"/>
      <w:lvlText w:val="%7."/>
      <w:lvlJc w:val="left"/>
      <w:pPr>
        <w:tabs>
          <w:tab w:val="num" w:pos="3118"/>
        </w:tabs>
        <w:ind w:left="3118" w:hanging="397"/>
      </w:pPr>
    </w:lvl>
    <w:lvl w:ilvl="7">
      <w:start w:val="1"/>
      <w:numFmt w:val="lowerLetter"/>
      <w:lvlText w:val="%8."/>
      <w:lvlJc w:val="left"/>
      <w:pPr>
        <w:tabs>
          <w:tab w:val="num" w:pos="3685"/>
        </w:tabs>
        <w:ind w:left="3685" w:hanging="567"/>
      </w:pPr>
    </w:lvl>
    <w:lvl w:ilvl="8">
      <w:start w:val="1"/>
      <w:numFmt w:val="lowerRoman"/>
      <w:lvlText w:val="%9."/>
      <w:lvlJc w:val="left"/>
      <w:pPr>
        <w:tabs>
          <w:tab w:val="num" w:pos="4252"/>
        </w:tabs>
        <w:ind w:left="4252" w:hanging="567"/>
      </w:pPr>
    </w:lvl>
  </w:abstractNum>
  <w:abstractNum w:abstractNumId="1" w15:restartNumberingAfterBreak="0">
    <w:nsid w:val="17CA5AEE"/>
    <w:multiLevelType w:val="hybridMultilevel"/>
    <w:tmpl w:val="448E87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1496B"/>
    <w:rsid w:val="000062C3"/>
    <w:rsid w:val="000A3FA0"/>
    <w:rsid w:val="000D1A04"/>
    <w:rsid w:val="00411078"/>
    <w:rsid w:val="00507569"/>
    <w:rsid w:val="0051496B"/>
    <w:rsid w:val="00596B46"/>
    <w:rsid w:val="007332A2"/>
    <w:rsid w:val="0096594F"/>
    <w:rsid w:val="009B7E2B"/>
    <w:rsid w:val="009E3253"/>
    <w:rsid w:val="00A14A9C"/>
    <w:rsid w:val="00A32326"/>
    <w:rsid w:val="00A51CFB"/>
    <w:rsid w:val="00A6761F"/>
    <w:rsid w:val="00AC0FB8"/>
    <w:rsid w:val="00BE74E8"/>
    <w:rsid w:val="00C24F7A"/>
    <w:rsid w:val="00C81BEB"/>
    <w:rsid w:val="00D00A6A"/>
    <w:rsid w:val="00D02451"/>
    <w:rsid w:val="00D1564D"/>
    <w:rsid w:val="00D15DD5"/>
    <w:rsid w:val="00D80A15"/>
    <w:rsid w:val="00E15D12"/>
    <w:rsid w:val="00F200EE"/>
    <w:rsid w:val="00F7434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0C89C019"/>
  <w15:chartTrackingRefBased/>
  <w15:docId w15:val="{48F446EA-7D42-4FD9-9957-F309C84E1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bidi/>
      <w:adjustRightInd w:val="0"/>
      <w:textAlignment w:val="baseline"/>
    </w:pPr>
    <w:rPr>
      <w:rFonts w:cs="Narkisim"/>
      <w:szCs w:val="24"/>
      <w:lang w:eastAsia="he-IL"/>
    </w:rPr>
  </w:style>
  <w:style w:type="paragraph" w:styleId="1">
    <w:name w:val="heading 1"/>
    <w:basedOn w:val="a"/>
    <w:next w:val="a"/>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2">
    <w:name w:val="heading 2"/>
    <w:basedOn w:val="a"/>
    <w:next w:val="a"/>
    <w:qFormat/>
    <w:pPr>
      <w:tabs>
        <w:tab w:val="left" w:pos="276"/>
      </w:tabs>
      <w:spacing w:before="120" w:after="48"/>
      <w:ind w:left="278" w:right="357" w:hanging="2"/>
      <w:outlineLvl w:val="1"/>
    </w:pPr>
    <w:rPr>
      <w:rFonts w:ascii="Arial" w:hAnsi="Arial" w:cs="Guttman Haim-Condensed"/>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indentnumberedinabullet">
    <w:name w:val="normal indent numbered in a bullet"/>
    <w:basedOn w:val="a3"/>
    <w:pPr>
      <w:tabs>
        <w:tab w:val="left" w:pos="851"/>
        <w:tab w:val="left" w:pos="1418"/>
        <w:tab w:val="left" w:pos="2472"/>
        <w:tab w:val="left" w:pos="4498"/>
        <w:tab w:val="left" w:pos="6796"/>
        <w:tab w:val="left" w:pos="8856"/>
      </w:tabs>
      <w:ind w:left="618" w:right="510" w:hanging="170"/>
    </w:pPr>
  </w:style>
  <w:style w:type="paragraph" w:styleId="a3">
    <w:name w:val="Normal Indent"/>
    <w:basedOn w:val="a"/>
    <w:pPr>
      <w:ind w:left="720"/>
    </w:pPr>
  </w:style>
  <w:style w:type="paragraph" w:customStyle="1" w:styleId="Normalindentnumberindent">
    <w:name w:val="Normal indent number indent"/>
    <w:basedOn w:val="a"/>
    <w:pPr>
      <w:tabs>
        <w:tab w:val="left" w:pos="851"/>
        <w:tab w:val="left" w:pos="1418"/>
        <w:tab w:val="left" w:pos="2472"/>
        <w:tab w:val="left" w:pos="4498"/>
        <w:tab w:val="left" w:pos="6796"/>
        <w:tab w:val="left" w:pos="8856"/>
      </w:tabs>
      <w:ind w:left="702" w:right="510" w:hanging="872"/>
    </w:pPr>
  </w:style>
  <w:style w:type="paragraph" w:styleId="a4">
    <w:name w:val="header"/>
    <w:basedOn w:val="a"/>
    <w:link w:val="a5"/>
    <w:uiPriority w:val="99"/>
    <w:unhideWhenUsed/>
    <w:rsid w:val="00A32326"/>
    <w:pPr>
      <w:tabs>
        <w:tab w:val="center" w:pos="4153"/>
        <w:tab w:val="right" w:pos="8306"/>
      </w:tabs>
    </w:pPr>
  </w:style>
  <w:style w:type="paragraph" w:customStyle="1" w:styleId="a6">
    <w:name w:val="כותרת נדון"/>
    <w:basedOn w:val="a"/>
    <w:rPr>
      <w:bCs/>
      <w:szCs w:val="26"/>
      <w:u w:val="single"/>
    </w:rPr>
  </w:style>
  <w:style w:type="paragraph" w:customStyle="1" w:styleId="a7">
    <w:name w:val="מדינת ישראל"/>
    <w:basedOn w:val="a"/>
    <w:pPr>
      <w:jc w:val="center"/>
    </w:pPr>
    <w:rPr>
      <w:b/>
      <w:bCs/>
      <w:szCs w:val="28"/>
    </w:rPr>
  </w:style>
  <w:style w:type="character" w:customStyle="1" w:styleId="a5">
    <w:name w:val="כותרת עליונה תו"/>
    <w:link w:val="a4"/>
    <w:uiPriority w:val="99"/>
    <w:rsid w:val="00A32326"/>
    <w:rPr>
      <w:rFonts w:cs="Narkisim"/>
      <w:szCs w:val="24"/>
      <w:lang w:eastAsia="he-IL"/>
    </w:rPr>
  </w:style>
  <w:style w:type="paragraph" w:styleId="a8">
    <w:name w:val="footer"/>
    <w:basedOn w:val="a"/>
    <w:link w:val="a9"/>
    <w:uiPriority w:val="99"/>
    <w:unhideWhenUsed/>
    <w:rsid w:val="00A32326"/>
    <w:pPr>
      <w:tabs>
        <w:tab w:val="center" w:pos="4153"/>
        <w:tab w:val="right" w:pos="8306"/>
      </w:tabs>
    </w:pPr>
  </w:style>
  <w:style w:type="character" w:customStyle="1" w:styleId="a9">
    <w:name w:val="כותרת תחתונה תו"/>
    <w:link w:val="a8"/>
    <w:uiPriority w:val="99"/>
    <w:rsid w:val="00A32326"/>
    <w:rPr>
      <w:rFonts w:cs="Narkisim"/>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768308">
      <w:bodyDiv w:val="1"/>
      <w:marLeft w:val="0"/>
      <w:marRight w:val="0"/>
      <w:marTop w:val="0"/>
      <w:marBottom w:val="0"/>
      <w:divBdr>
        <w:top w:val="none" w:sz="0" w:space="0" w:color="auto"/>
        <w:left w:val="none" w:sz="0" w:space="0" w:color="auto"/>
        <w:bottom w:val="none" w:sz="0" w:space="0" w:color="auto"/>
        <w:right w:val="none" w:sz="0" w:space="0" w:color="auto"/>
      </w:divBdr>
    </w:div>
    <w:div w:id="170991630">
      <w:bodyDiv w:val="1"/>
      <w:marLeft w:val="0"/>
      <w:marRight w:val="0"/>
      <w:marTop w:val="0"/>
      <w:marBottom w:val="0"/>
      <w:divBdr>
        <w:top w:val="none" w:sz="0" w:space="0" w:color="auto"/>
        <w:left w:val="none" w:sz="0" w:space="0" w:color="auto"/>
        <w:bottom w:val="none" w:sz="0" w:space="0" w:color="auto"/>
        <w:right w:val="none" w:sz="0" w:space="0" w:color="auto"/>
      </w:divBdr>
    </w:div>
    <w:div w:id="76376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533</Words>
  <Characters>2665</Characters>
  <Application>Microsoft Office Word</Application>
  <DocSecurity>0</DocSecurity>
  <Lines>22</Lines>
  <Paragraphs>6</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dc:description/>
  <cp:lastModifiedBy>שמרית יצחקי</cp:lastModifiedBy>
  <cp:revision>6</cp:revision>
  <cp:lastPrinted>1899-12-31T22:00:00Z</cp:lastPrinted>
  <dcterms:created xsi:type="dcterms:W3CDTF">2026-04-28T11:34:00Z</dcterms:created>
  <dcterms:modified xsi:type="dcterms:W3CDTF">2026-04-30T03:46:00Z</dcterms:modified>
</cp:coreProperties>
</file>