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44054" w14:textId="77777777" w:rsidR="00436E4E" w:rsidRDefault="00436E4E">
      <w:pPr>
        <w:pStyle w:val="a6"/>
        <w:rPr>
          <w:rtl/>
        </w:rPr>
      </w:pPr>
    </w:p>
    <w:p w14:paraId="1C34CC61" w14:textId="77777777" w:rsidR="00436E4E" w:rsidRDefault="00436E4E">
      <w:pPr>
        <w:pStyle w:val="a6"/>
        <w:rPr>
          <w:rtl/>
        </w:rPr>
      </w:pPr>
      <w:r>
        <w:rPr>
          <w:rtl/>
        </w:rPr>
        <w:t>מדינת ישראל</w:t>
      </w:r>
    </w:p>
    <w:p w14:paraId="3091745D" w14:textId="77777777" w:rsidR="00436E4E" w:rsidRDefault="00436E4E">
      <w:pPr>
        <w:pStyle w:val="a6"/>
        <w:rPr>
          <w:szCs w:val="24"/>
          <w:rtl/>
        </w:rPr>
      </w:pPr>
      <w:r>
        <w:rPr>
          <w:rtl/>
        </w:rPr>
        <w:t>האוצר - אגף התקציבים</w:t>
      </w:r>
    </w:p>
    <w:p w14:paraId="5729E66E" w14:textId="77777777" w:rsidR="00436E4E" w:rsidRDefault="00436E4E">
      <w:pPr>
        <w:rPr>
          <w:rtl/>
        </w:rPr>
      </w:pPr>
    </w:p>
    <w:p w14:paraId="7D79F135" w14:textId="77777777" w:rsidR="00436E4E" w:rsidRDefault="00436E4E">
      <w:pPr>
        <w:rPr>
          <w:rtl/>
        </w:rPr>
      </w:pPr>
    </w:p>
    <w:p w14:paraId="4A2789FF" w14:textId="28BCCC14" w:rsidR="00436E4E" w:rsidRDefault="00436E4E">
      <w:pPr>
        <w:tabs>
          <w:tab w:val="left" w:pos="6300"/>
        </w:tabs>
        <w:rPr>
          <w:rtl/>
        </w:rPr>
      </w:pPr>
      <w:r>
        <w:rPr>
          <w:rtl/>
        </w:rPr>
        <w:tab/>
      </w:r>
      <w:bookmarkStart w:id="0" w:name="TAKZIV8"/>
      <w:r w:rsidR="00A70C4C">
        <w:rPr>
          <w:rtl/>
        </w:rPr>
        <w:t>תקציב רגיל</w:t>
      </w:r>
      <w:bookmarkEnd w:id="0"/>
    </w:p>
    <w:p w14:paraId="69E5CC55" w14:textId="77777777" w:rsidR="00436E4E" w:rsidRDefault="00436E4E">
      <w:pPr>
        <w:tabs>
          <w:tab w:val="left" w:pos="6300"/>
        </w:tabs>
        <w:rPr>
          <w:rtl/>
        </w:rPr>
      </w:pPr>
      <w:r>
        <w:rPr>
          <w:rtl/>
        </w:rPr>
        <w:tab/>
      </w:r>
    </w:p>
    <w:p w14:paraId="2FDCCAC5"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445BC501" w14:textId="2EC54F90" w:rsidR="00436E4E"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A70C4C">
        <w:rPr>
          <w:rFonts w:cs="FrankRuehl"/>
          <w:sz w:val="26"/>
          <w:szCs w:val="26"/>
          <w:rtl/>
        </w:rPr>
        <w:t>206</w:t>
      </w:r>
      <w:bookmarkEnd w:id="2"/>
      <w:r w:rsidRPr="002E1D22">
        <w:rPr>
          <w:rFonts w:cs="FrankRuehl"/>
          <w:sz w:val="26"/>
          <w:szCs w:val="26"/>
          <w:rtl/>
        </w:rPr>
        <w:t xml:space="preserve"> </w:t>
      </w:r>
      <w:r w:rsidR="00383CE6">
        <w:rPr>
          <w:rFonts w:cs="FrankRuehl"/>
          <w:sz w:val="26"/>
          <w:szCs w:val="26"/>
          <w:rtl/>
        </w:rPr>
        <w:t>–</w:t>
      </w:r>
      <w:r w:rsidRPr="002E1D22">
        <w:rPr>
          <w:rFonts w:cs="FrankRuehl"/>
          <w:sz w:val="26"/>
          <w:szCs w:val="26"/>
          <w:rtl/>
        </w:rPr>
        <w:t xml:space="preserve"> </w:t>
      </w:r>
      <w:bookmarkStart w:id="3" w:name="TAKZIV3"/>
      <w:r w:rsidR="00A70C4C">
        <w:rPr>
          <w:rFonts w:cs="FrankRuehl"/>
          <w:sz w:val="26"/>
          <w:szCs w:val="26"/>
          <w:rtl/>
        </w:rPr>
        <w:t>31</w:t>
      </w:r>
      <w:bookmarkEnd w:id="3"/>
      <w:r w:rsidR="00383CE6">
        <w:rPr>
          <w:rFonts w:cs="FrankRuehl" w:hint="cs"/>
          <w:sz w:val="26"/>
          <w:szCs w:val="26"/>
          <w:rtl/>
        </w:rPr>
        <w:t>,</w:t>
      </w:r>
    </w:p>
    <w:p w14:paraId="628A04D4" w14:textId="3C928693" w:rsidR="00383CE6" w:rsidRPr="002E1D22" w:rsidRDefault="00383CE6" w:rsidP="002E1D22">
      <w:pPr>
        <w:tabs>
          <w:tab w:val="left" w:pos="5755"/>
        </w:tabs>
        <w:rPr>
          <w:rFonts w:cs="FrankRuehl"/>
          <w:sz w:val="26"/>
          <w:szCs w:val="26"/>
          <w:rtl/>
        </w:rPr>
      </w:pPr>
      <w:r>
        <w:rPr>
          <w:rFonts w:cs="FrankRuehl"/>
          <w:sz w:val="26"/>
          <w:szCs w:val="26"/>
          <w:rtl/>
        </w:rPr>
        <w:tab/>
      </w:r>
      <w:r>
        <w:rPr>
          <w:rFonts w:cs="FrankRuehl"/>
          <w:sz w:val="26"/>
          <w:szCs w:val="26"/>
          <w:rtl/>
        </w:rPr>
        <w:tab/>
      </w:r>
      <w:r>
        <w:rPr>
          <w:rFonts w:cs="FrankRuehl" w:hint="cs"/>
          <w:sz w:val="26"/>
          <w:szCs w:val="26"/>
          <w:rtl/>
        </w:rPr>
        <w:t>54-208</w:t>
      </w:r>
    </w:p>
    <w:p w14:paraId="0FA17E40" w14:textId="16EB81E1" w:rsidR="00436E4E" w:rsidRPr="002E1D22"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 xml:space="preserve">מספר פניה </w:t>
      </w:r>
      <w:proofErr w:type="spellStart"/>
      <w:r w:rsidRPr="002E1D22">
        <w:rPr>
          <w:rFonts w:cs="FrankRuehl"/>
          <w:sz w:val="26"/>
          <w:szCs w:val="26"/>
          <w:rtl/>
        </w:rPr>
        <w:t>לועדה</w:t>
      </w:r>
      <w:proofErr w:type="spellEnd"/>
      <w:r w:rsidRPr="002E1D22">
        <w:rPr>
          <w:rFonts w:cs="FrankRuehl"/>
          <w:sz w:val="26"/>
          <w:szCs w:val="26"/>
          <w:rtl/>
        </w:rPr>
        <w:t>:</w:t>
      </w:r>
      <w:r w:rsidR="00383CE6">
        <w:rPr>
          <w:rFonts w:cs="FrankRuehl" w:hint="cs"/>
          <w:sz w:val="26"/>
          <w:szCs w:val="26"/>
          <w:rtl/>
        </w:rPr>
        <w:t xml:space="preserve"> 33 עד</w:t>
      </w:r>
      <w:r w:rsidRPr="002E1D22">
        <w:rPr>
          <w:rFonts w:cs="FrankRuehl"/>
          <w:sz w:val="26"/>
          <w:szCs w:val="26"/>
          <w:rtl/>
        </w:rPr>
        <w:t xml:space="preserve"> </w:t>
      </w:r>
      <w:bookmarkStart w:id="4" w:name="TAKZIV11"/>
      <w:r w:rsidR="00A70C4C">
        <w:rPr>
          <w:rFonts w:cs="FrankRuehl"/>
          <w:sz w:val="26"/>
          <w:szCs w:val="26"/>
          <w:rtl/>
        </w:rPr>
        <w:t>34</w:t>
      </w:r>
      <w:bookmarkEnd w:id="4"/>
      <w:r w:rsidRPr="002E1D22">
        <w:rPr>
          <w:rFonts w:cs="FrankRuehl"/>
          <w:sz w:val="26"/>
          <w:szCs w:val="26"/>
          <w:rtl/>
        </w:rPr>
        <w:tab/>
      </w:r>
    </w:p>
    <w:p w14:paraId="41750A48" w14:textId="77777777" w:rsidR="00436E4E" w:rsidRPr="002E1D22" w:rsidRDefault="00436E4E">
      <w:pPr>
        <w:rPr>
          <w:rFonts w:cs="FrankRuehl"/>
          <w:sz w:val="26"/>
          <w:szCs w:val="26"/>
          <w:rtl/>
        </w:rPr>
      </w:pPr>
      <w:r w:rsidRPr="002E1D22">
        <w:rPr>
          <w:rFonts w:cs="FrankRuehl"/>
          <w:sz w:val="26"/>
          <w:szCs w:val="26"/>
          <w:rtl/>
        </w:rPr>
        <w:t>לכבוד,</w:t>
      </w:r>
    </w:p>
    <w:p w14:paraId="42184C5D" w14:textId="77777777" w:rsidR="00436E4E" w:rsidRPr="002E1D22" w:rsidRDefault="00436E4E">
      <w:pPr>
        <w:rPr>
          <w:rFonts w:cs="FrankRuehl"/>
          <w:sz w:val="26"/>
          <w:szCs w:val="26"/>
          <w:rtl/>
        </w:rPr>
      </w:pPr>
      <w:r w:rsidRPr="002E1D22">
        <w:rPr>
          <w:rFonts w:cs="FrankRuehl"/>
          <w:sz w:val="26"/>
          <w:szCs w:val="26"/>
          <w:rtl/>
        </w:rPr>
        <w:t>יו"ר ועדת הכספים</w:t>
      </w:r>
    </w:p>
    <w:p w14:paraId="39366E51" w14:textId="77777777" w:rsidR="00436E4E" w:rsidRPr="002E1D22" w:rsidRDefault="00436E4E">
      <w:pPr>
        <w:rPr>
          <w:rFonts w:cs="FrankRuehl"/>
          <w:sz w:val="26"/>
          <w:szCs w:val="26"/>
          <w:rtl/>
        </w:rPr>
      </w:pPr>
      <w:r w:rsidRPr="002E1D22">
        <w:rPr>
          <w:rFonts w:cs="FrankRuehl"/>
          <w:sz w:val="26"/>
          <w:szCs w:val="26"/>
          <w:rtl/>
        </w:rPr>
        <w:t>של הכנסת</w:t>
      </w:r>
    </w:p>
    <w:p w14:paraId="7832EDCB" w14:textId="77777777" w:rsidR="00436E4E" w:rsidRPr="002E1D22" w:rsidRDefault="00436E4E">
      <w:pPr>
        <w:rPr>
          <w:rFonts w:cs="FrankRuehl"/>
          <w:sz w:val="26"/>
          <w:szCs w:val="26"/>
          <w:rtl/>
        </w:rPr>
      </w:pPr>
    </w:p>
    <w:p w14:paraId="54D972D1" w14:textId="77777777" w:rsidR="00436E4E" w:rsidRPr="002E1D22" w:rsidRDefault="00436E4E">
      <w:pPr>
        <w:rPr>
          <w:rFonts w:cs="FrankRuehl"/>
          <w:sz w:val="26"/>
          <w:szCs w:val="26"/>
          <w:rtl/>
        </w:rPr>
      </w:pPr>
      <w:r w:rsidRPr="002E1D22">
        <w:rPr>
          <w:rFonts w:cs="FrankRuehl"/>
          <w:sz w:val="26"/>
          <w:szCs w:val="26"/>
          <w:rtl/>
        </w:rPr>
        <w:t>א.נ.,</w:t>
      </w:r>
    </w:p>
    <w:p w14:paraId="35168F52" w14:textId="77777777" w:rsidR="00436E4E" w:rsidRPr="002E1D22" w:rsidRDefault="00436E4E" w:rsidP="0073672A">
      <w:pPr>
        <w:jc w:val="both"/>
        <w:rPr>
          <w:rFonts w:cs="FrankRuehl"/>
          <w:sz w:val="26"/>
          <w:szCs w:val="26"/>
          <w:rtl/>
        </w:rPr>
      </w:pPr>
    </w:p>
    <w:p w14:paraId="3D851CFF" w14:textId="77777777" w:rsidR="00436E4E" w:rsidRPr="002E1D22" w:rsidRDefault="00436E4E" w:rsidP="0073672A">
      <w:pPr>
        <w:pStyle w:val="a7"/>
        <w:jc w:val="both"/>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A70C4C">
        <w:rPr>
          <w:rFonts w:cs="FrankRuehl"/>
          <w:sz w:val="26"/>
          <w:rtl/>
        </w:rPr>
        <w:t>2026</w:t>
      </w:r>
      <w:bookmarkEnd w:id="5"/>
      <w:r w:rsidRPr="002E1D22">
        <w:rPr>
          <w:rFonts w:cs="FrankRuehl"/>
          <w:sz w:val="26"/>
          <w:rtl/>
        </w:rPr>
        <w:t xml:space="preserve">     </w:t>
      </w:r>
    </w:p>
    <w:p w14:paraId="36B6452B" w14:textId="77777777" w:rsidR="00436E4E" w:rsidRPr="002E1D22" w:rsidRDefault="00436E4E" w:rsidP="0073672A">
      <w:pPr>
        <w:jc w:val="both"/>
        <w:rPr>
          <w:rFonts w:cs="FrankRuehl"/>
          <w:sz w:val="26"/>
          <w:szCs w:val="26"/>
          <w:rtl/>
        </w:rPr>
      </w:pPr>
    </w:p>
    <w:p w14:paraId="098856FE" w14:textId="011915CB" w:rsidR="00436E4E" w:rsidRPr="002E1D22" w:rsidRDefault="00436E4E" w:rsidP="0073672A">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A70C4C">
        <w:rPr>
          <w:rFonts w:cs="FrankRuehl"/>
          <w:sz w:val="26"/>
          <w:szCs w:val="26"/>
          <w:rtl/>
        </w:rPr>
        <w:t>46,000</w:t>
      </w:r>
      <w:bookmarkEnd w:id="6"/>
      <w:r w:rsidRPr="002E1D22">
        <w:rPr>
          <w:rFonts w:cs="FrankRuehl"/>
          <w:sz w:val="26"/>
          <w:szCs w:val="26"/>
          <w:rtl/>
        </w:rPr>
        <w:t xml:space="preserve"> אלפי שקלים חדשים מסעיף</w:t>
      </w:r>
      <w:r w:rsidR="00383CE6">
        <w:rPr>
          <w:rFonts w:cs="FrankRuehl" w:hint="cs"/>
          <w:sz w:val="26"/>
          <w:szCs w:val="26"/>
          <w:rtl/>
        </w:rPr>
        <w:t xml:space="preserve"> 54 </w:t>
      </w:r>
      <w:r w:rsidR="00383CE6">
        <w:rPr>
          <w:rFonts w:cs="FrankRuehl"/>
          <w:sz w:val="26"/>
          <w:szCs w:val="26"/>
          <w:rtl/>
        </w:rPr>
        <w:t>–</w:t>
      </w:r>
      <w:r w:rsidR="00383CE6">
        <w:rPr>
          <w:rFonts w:cs="FrankRuehl" w:hint="cs"/>
          <w:sz w:val="26"/>
          <w:szCs w:val="26"/>
          <w:rtl/>
        </w:rPr>
        <w:t xml:space="preserve"> רשויות פיקוח לסעיף</w:t>
      </w:r>
      <w:r w:rsidRPr="002E1D22">
        <w:rPr>
          <w:rFonts w:cs="FrankRuehl"/>
          <w:sz w:val="26"/>
          <w:szCs w:val="26"/>
          <w:rtl/>
        </w:rPr>
        <w:t xml:space="preserve"> 47 - רזרבה כללית, בהתאם לסעיף 11 (ה) 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w:t>
      </w:r>
    </w:p>
    <w:p w14:paraId="4E7E15FB" w14:textId="77777777" w:rsidR="00436E4E" w:rsidRPr="002E1D22" w:rsidRDefault="00436E4E" w:rsidP="0073672A">
      <w:pPr>
        <w:jc w:val="both"/>
        <w:rPr>
          <w:rFonts w:cs="FrankRuehl"/>
          <w:sz w:val="26"/>
          <w:szCs w:val="26"/>
          <w:rtl/>
        </w:rPr>
      </w:pPr>
    </w:p>
    <w:p w14:paraId="561E1181" w14:textId="48D95DA5" w:rsidR="00436E4E" w:rsidRPr="002E1D22" w:rsidRDefault="00436E4E" w:rsidP="0073672A">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סכום </w:t>
      </w:r>
      <w:r w:rsidR="00383CE6" w:rsidRPr="002E1D22">
        <w:rPr>
          <w:rFonts w:cs="FrankRuehl"/>
          <w:sz w:val="26"/>
          <w:szCs w:val="26"/>
          <w:rtl/>
        </w:rPr>
        <w:t xml:space="preserve">של </w:t>
      </w:r>
      <w:r w:rsidR="00383CE6">
        <w:rPr>
          <w:rFonts w:cs="FrankRuehl"/>
          <w:sz w:val="26"/>
          <w:szCs w:val="26"/>
          <w:rtl/>
        </w:rPr>
        <w:t>46,000</w:t>
      </w:r>
      <w:r w:rsidR="00383CE6" w:rsidRPr="002E1D22">
        <w:rPr>
          <w:rFonts w:cs="FrankRuehl"/>
          <w:sz w:val="26"/>
          <w:szCs w:val="26"/>
          <w:rtl/>
        </w:rPr>
        <w:t xml:space="preserve"> אלפי </w:t>
      </w:r>
      <w:r w:rsidRPr="002E1D22">
        <w:rPr>
          <w:rFonts w:cs="FrankRuehl"/>
          <w:sz w:val="26"/>
          <w:szCs w:val="26"/>
          <w:rtl/>
        </w:rPr>
        <w:t xml:space="preserve">שקלים חדשים מסעיף 47 - רזרבה כללית </w:t>
      </w:r>
      <w:r w:rsidR="00383CE6" w:rsidRPr="002E1D22">
        <w:rPr>
          <w:rFonts w:cs="FrankRuehl"/>
          <w:sz w:val="26"/>
          <w:szCs w:val="26"/>
          <w:rtl/>
        </w:rPr>
        <w:t xml:space="preserve">לסעיף </w:t>
      </w:r>
      <w:bookmarkStart w:id="7" w:name="TAKZIV3_1"/>
      <w:r w:rsidR="00383CE6">
        <w:rPr>
          <w:rFonts w:cs="FrankRuehl"/>
          <w:sz w:val="26"/>
          <w:szCs w:val="26"/>
          <w:rtl/>
        </w:rPr>
        <w:t>31</w:t>
      </w:r>
      <w:bookmarkEnd w:id="7"/>
      <w:r w:rsidR="00383CE6" w:rsidRPr="002E1D22">
        <w:rPr>
          <w:rFonts w:cs="FrankRuehl"/>
          <w:sz w:val="26"/>
          <w:szCs w:val="26"/>
          <w:rtl/>
        </w:rPr>
        <w:t xml:space="preserve"> - </w:t>
      </w:r>
      <w:bookmarkStart w:id="8" w:name="TAKZIV6"/>
      <w:r w:rsidR="00383CE6">
        <w:rPr>
          <w:rFonts w:cs="FrankRuehl"/>
          <w:sz w:val="26"/>
          <w:szCs w:val="26"/>
          <w:rtl/>
        </w:rPr>
        <w:t>הוצאות ביטחוניות שונות</w:t>
      </w:r>
      <w:bookmarkEnd w:id="8"/>
      <w:r w:rsidR="00383CE6">
        <w:rPr>
          <w:rFonts w:cs="FrankRuehl" w:hint="cs"/>
          <w:sz w:val="26"/>
          <w:szCs w:val="26"/>
          <w:rtl/>
        </w:rPr>
        <w:t>,</w:t>
      </w:r>
      <w:r w:rsidR="00383CE6" w:rsidRPr="002E1D22">
        <w:rPr>
          <w:rFonts w:cs="FrankRuehl"/>
          <w:sz w:val="26"/>
          <w:szCs w:val="26"/>
          <w:rtl/>
        </w:rPr>
        <w:t xml:space="preserve"> </w:t>
      </w:r>
      <w:r w:rsidRPr="002E1D22">
        <w:rPr>
          <w:rFonts w:cs="FrankRuehl"/>
          <w:sz w:val="26"/>
          <w:szCs w:val="26"/>
          <w:rtl/>
        </w:rPr>
        <w:t>בהתאם לסעיף 12 (א)</w:t>
      </w:r>
    </w:p>
    <w:p w14:paraId="5A925B1A" w14:textId="77777777" w:rsidR="00436E4E" w:rsidRPr="002E1D22" w:rsidRDefault="00436E4E" w:rsidP="0073672A">
      <w:pPr>
        <w:jc w:val="both"/>
        <w:rPr>
          <w:rFonts w:cs="FrankRuehl"/>
          <w:sz w:val="26"/>
          <w:szCs w:val="26"/>
          <w:rtl/>
        </w:rPr>
      </w:pPr>
      <w:r w:rsidRPr="002E1D22">
        <w:rPr>
          <w:rFonts w:cs="FrankRuehl"/>
          <w:sz w:val="26"/>
          <w:szCs w:val="26"/>
          <w:rtl/>
        </w:rPr>
        <w:t xml:space="preserve">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 כמפורט בתדפיס המצורף בזה.</w:t>
      </w:r>
    </w:p>
    <w:p w14:paraId="3BBDDB19" w14:textId="77777777" w:rsidR="00436E4E" w:rsidRPr="002E1D22" w:rsidRDefault="00436E4E" w:rsidP="0073672A">
      <w:pPr>
        <w:jc w:val="both"/>
        <w:rPr>
          <w:rFonts w:cs="FrankRuehl"/>
          <w:sz w:val="26"/>
          <w:szCs w:val="26"/>
          <w:rtl/>
        </w:rPr>
      </w:pPr>
    </w:p>
    <w:p w14:paraId="1DF99F92" w14:textId="77777777" w:rsidR="00383CE6" w:rsidRDefault="00383CE6" w:rsidP="0073672A">
      <w:pPr>
        <w:contextualSpacing/>
        <w:jc w:val="both"/>
        <w:rPr>
          <w:rFonts w:cs="FrankRuehl"/>
          <w:sz w:val="26"/>
          <w:szCs w:val="26"/>
          <w:lang w:eastAsia="en-US"/>
        </w:rPr>
      </w:pPr>
      <w:r>
        <w:rPr>
          <w:rFonts w:cs="FrankRuehl" w:hint="cs"/>
          <w:b/>
          <w:bCs/>
          <w:sz w:val="26"/>
          <w:szCs w:val="26"/>
          <w:rtl/>
        </w:rPr>
        <w:t>הבקשה דנה בסעיף תקציבי:</w:t>
      </w:r>
      <w:r>
        <w:rPr>
          <w:rFonts w:cs="FrankRuehl" w:hint="cs"/>
          <w:sz w:val="26"/>
          <w:szCs w:val="26"/>
          <w:rtl/>
        </w:rPr>
        <w:t xml:space="preserve"> 31 – הוצאות ביטחוניות שונות</w:t>
      </w:r>
    </w:p>
    <w:p w14:paraId="0C6B6036" w14:textId="77777777" w:rsidR="00383CE6" w:rsidRDefault="00383CE6" w:rsidP="0073672A">
      <w:pPr>
        <w:contextualSpacing/>
        <w:jc w:val="both"/>
        <w:rPr>
          <w:rFonts w:cs="FrankRuehl"/>
          <w:sz w:val="26"/>
          <w:szCs w:val="26"/>
        </w:rPr>
      </w:pPr>
    </w:p>
    <w:p w14:paraId="0E56A5A0" w14:textId="77777777" w:rsidR="00383CE6" w:rsidRDefault="00383CE6" w:rsidP="0073672A">
      <w:pPr>
        <w:contextualSpacing/>
        <w:jc w:val="both"/>
        <w:rPr>
          <w:rFonts w:ascii="FrankRuehl" w:hAnsi="FrankRuehl" w:cs="FrankRuehl" w:hint="cs"/>
          <w:sz w:val="26"/>
          <w:szCs w:val="26"/>
          <w:rtl/>
        </w:rPr>
      </w:pPr>
      <w:r>
        <w:rPr>
          <w:rFonts w:ascii="Narkisim" w:hAnsi="Narkisim" w:cs="FrankRuehl" w:hint="cs"/>
          <w:b/>
          <w:bCs/>
          <w:sz w:val="26"/>
          <w:szCs w:val="26"/>
          <w:rtl/>
        </w:rPr>
        <w:t>עיקרי הפנייה</w:t>
      </w:r>
      <w:r>
        <w:rPr>
          <w:rFonts w:ascii="Narkisim" w:hAnsi="Narkisim" w:cs="FrankRuehl" w:hint="cs"/>
          <w:sz w:val="26"/>
          <w:szCs w:val="26"/>
          <w:rtl/>
        </w:rPr>
        <w:t xml:space="preserve">: </w:t>
      </w:r>
    </w:p>
    <w:p w14:paraId="2D1CB2D5" w14:textId="77777777" w:rsidR="00383CE6" w:rsidRDefault="00383CE6" w:rsidP="0073672A">
      <w:pPr>
        <w:contextualSpacing/>
        <w:jc w:val="both"/>
        <w:rPr>
          <w:rFonts w:ascii="FrankRuehl" w:hAnsi="FrankRuehl" w:cs="FrankRuehl" w:hint="cs"/>
          <w:sz w:val="26"/>
          <w:szCs w:val="26"/>
          <w:rtl/>
        </w:rPr>
      </w:pPr>
      <w:r>
        <w:rPr>
          <w:rFonts w:ascii="FrankRuehl" w:hAnsi="FrankRuehl" w:cs="FrankRuehl" w:hint="cs"/>
          <w:sz w:val="26"/>
          <w:szCs w:val="26"/>
          <w:rtl/>
        </w:rPr>
        <w:t>הפנייה התקציבית נועדה לתקצוב סעיף הוצאות ביטחוניות שונות ב</w:t>
      </w:r>
      <w:r>
        <w:rPr>
          <w:rFonts w:cs="FrankRuehl" w:hint="cs"/>
          <w:sz w:val="26"/>
          <w:szCs w:val="26"/>
          <w:rtl/>
        </w:rPr>
        <w:t>סך של</w:t>
      </w:r>
      <w:r>
        <w:rPr>
          <w:rFonts w:ascii="FrankRuehl" w:hAnsi="FrankRuehl" w:cs="FrankRuehl" w:hint="cs"/>
          <w:sz w:val="26"/>
          <w:szCs w:val="26"/>
          <w:rtl/>
        </w:rPr>
        <w:t xml:space="preserve"> 46,000 אלפי ש"ח  בהוצאה.</w:t>
      </w:r>
    </w:p>
    <w:p w14:paraId="410568B3" w14:textId="77777777" w:rsidR="00383CE6" w:rsidRDefault="00383CE6" w:rsidP="0073672A">
      <w:pPr>
        <w:contextualSpacing/>
        <w:jc w:val="both"/>
        <w:rPr>
          <w:rFonts w:ascii="FrankRuehl" w:hAnsi="FrankRuehl" w:cs="FrankRuehl" w:hint="cs"/>
          <w:sz w:val="26"/>
          <w:szCs w:val="26"/>
          <w:rtl/>
        </w:rPr>
      </w:pPr>
    </w:p>
    <w:p w14:paraId="078E7445" w14:textId="77777777" w:rsidR="00383CE6" w:rsidRDefault="00383CE6" w:rsidP="0073672A">
      <w:pPr>
        <w:contextualSpacing/>
        <w:jc w:val="both"/>
        <w:rPr>
          <w:rFonts w:ascii="FrankRuehl" w:hAnsi="FrankRuehl" w:cs="FrankRuehl" w:hint="cs"/>
          <w:b/>
          <w:bCs/>
          <w:sz w:val="26"/>
          <w:szCs w:val="26"/>
        </w:rPr>
      </w:pPr>
      <w:r>
        <w:rPr>
          <w:rFonts w:ascii="FrankRuehl" w:hAnsi="FrankRuehl" w:cs="FrankRuehl" w:hint="cs"/>
          <w:b/>
          <w:bCs/>
          <w:sz w:val="26"/>
          <w:szCs w:val="26"/>
          <w:rtl/>
        </w:rPr>
        <w:t xml:space="preserve">עיקרי הפנייה בחלוקה </w:t>
      </w:r>
      <w:proofErr w:type="spellStart"/>
      <w:r>
        <w:rPr>
          <w:rFonts w:ascii="FrankRuehl" w:hAnsi="FrankRuehl" w:cs="FrankRuehl" w:hint="cs"/>
          <w:b/>
          <w:bCs/>
          <w:sz w:val="26"/>
          <w:szCs w:val="26"/>
          <w:rtl/>
        </w:rPr>
        <w:t>לתכניות</w:t>
      </w:r>
      <w:proofErr w:type="spellEnd"/>
      <w:r>
        <w:rPr>
          <w:rFonts w:ascii="FrankRuehl" w:hAnsi="FrankRuehl" w:cs="FrankRuehl" w:hint="cs"/>
          <w:b/>
          <w:bCs/>
          <w:sz w:val="26"/>
          <w:szCs w:val="26"/>
          <w:rtl/>
        </w:rPr>
        <w:t xml:space="preserve"> מובאים להלן:</w:t>
      </w:r>
    </w:p>
    <w:p w14:paraId="7F0F3B5A" w14:textId="77777777" w:rsidR="00383CE6" w:rsidRDefault="00383CE6" w:rsidP="0073672A">
      <w:pPr>
        <w:contextualSpacing/>
        <w:jc w:val="both"/>
        <w:rPr>
          <w:rFonts w:ascii="Narkisim" w:hAnsi="Narkisim" w:cs="FrankRuehl" w:hint="cs"/>
          <w:b/>
          <w:bCs/>
          <w:sz w:val="26"/>
          <w:szCs w:val="26"/>
          <w:rtl/>
        </w:rPr>
      </w:pPr>
      <w:r>
        <w:rPr>
          <w:rFonts w:ascii="Narkisim" w:hAnsi="Narkisim" w:cs="FrankRuehl" w:hint="cs"/>
          <w:b/>
          <w:bCs/>
          <w:sz w:val="26"/>
          <w:szCs w:val="26"/>
          <w:rtl/>
        </w:rPr>
        <w:t xml:space="preserve">תכנית 310101: תקציב הביטחון שונות – סך של </w:t>
      </w:r>
      <w:r>
        <w:rPr>
          <w:rFonts w:ascii="FrankRuehl" w:hAnsi="FrankRuehl" w:cs="FrankRuehl" w:hint="cs"/>
          <w:b/>
          <w:bCs/>
          <w:sz w:val="26"/>
          <w:szCs w:val="26"/>
          <w:rtl/>
        </w:rPr>
        <w:t>46,000</w:t>
      </w:r>
      <w:r>
        <w:rPr>
          <w:rFonts w:ascii="Narkisim" w:hAnsi="Narkisim" w:cs="FrankRuehl" w:hint="cs"/>
          <w:b/>
          <w:bCs/>
          <w:sz w:val="26"/>
          <w:szCs w:val="26"/>
          <w:rtl/>
        </w:rPr>
        <w:t xml:space="preserve"> אלפי ש"ח בהוצאה</w:t>
      </w:r>
    </w:p>
    <w:p w14:paraId="0664E60F" w14:textId="77777777" w:rsidR="00383CE6" w:rsidRDefault="00383CE6" w:rsidP="0073672A">
      <w:pPr>
        <w:contextualSpacing/>
        <w:jc w:val="both"/>
        <w:rPr>
          <w:rFonts w:ascii="FrankRuehl" w:hAnsi="FrankRuehl" w:cs="FrankRuehl" w:hint="cs"/>
          <w:sz w:val="26"/>
          <w:szCs w:val="26"/>
          <w:rtl/>
        </w:rPr>
      </w:pPr>
      <w:r>
        <w:rPr>
          <w:rFonts w:ascii="FrankRuehl" w:hAnsi="FrankRuehl" w:cs="FrankRuehl" w:hint="cs"/>
          <w:sz w:val="26"/>
          <w:szCs w:val="26"/>
          <w:rtl/>
        </w:rPr>
        <w:t>תוספת עבור יישום החלטת ממשלה 3643 מתאריך ה-14 בדצמבר 2025 שעניינה "</w:t>
      </w:r>
      <w:proofErr w:type="spellStart"/>
      <w:r>
        <w:rPr>
          <w:rFonts w:ascii="FrankRuehl" w:hAnsi="FrankRuehl" w:cs="FrankRuehl" w:hint="cs"/>
          <w:sz w:val="26"/>
          <w:szCs w:val="26"/>
          <w:rtl/>
        </w:rPr>
        <w:t>התכנית</w:t>
      </w:r>
      <w:proofErr w:type="spellEnd"/>
      <w:r>
        <w:rPr>
          <w:rFonts w:ascii="FrankRuehl" w:hAnsi="FrankRuehl" w:cs="FrankRuehl" w:hint="cs"/>
          <w:sz w:val="26"/>
          <w:szCs w:val="26"/>
          <w:rtl/>
        </w:rPr>
        <w:t xml:space="preserve"> הכלכלית לצמצום פערים בחברה הערבית עד לשנת 2026- תיקון החלטת ממשלה".  יצוין כי התקציב הינו מזומן בגין הרשאה להתחייב וכי חלק מהתקציב המוקצה, יוקצה בכפוף לאישור ועדת הכספים של הכנסת וזאת בהתאם להוראות סעיף 153 לחוק ההתייעלות הכלכלית (תיקוני חקיקה ליישום </w:t>
      </w:r>
      <w:proofErr w:type="spellStart"/>
      <w:r>
        <w:rPr>
          <w:rFonts w:ascii="FrankRuehl" w:hAnsi="FrankRuehl" w:cs="FrankRuehl" w:hint="cs"/>
          <w:sz w:val="26"/>
          <w:szCs w:val="26"/>
          <w:rtl/>
        </w:rPr>
        <w:t>התכנית</w:t>
      </w:r>
      <w:proofErr w:type="spellEnd"/>
      <w:r>
        <w:rPr>
          <w:rFonts w:ascii="FrankRuehl" w:hAnsi="FrankRuehl" w:cs="FrankRuehl" w:hint="cs"/>
          <w:sz w:val="26"/>
          <w:szCs w:val="26"/>
          <w:rtl/>
        </w:rPr>
        <w:t xml:space="preserve"> הכלכלית לשנים 2029 ו-2010), התשס"ט-2009.</w:t>
      </w:r>
    </w:p>
    <w:p w14:paraId="67DA7263" w14:textId="77777777" w:rsidR="00383CE6" w:rsidRDefault="00383CE6" w:rsidP="0073672A">
      <w:pPr>
        <w:contextualSpacing/>
        <w:jc w:val="both"/>
        <w:rPr>
          <w:rFonts w:ascii="FrankRuehl" w:hAnsi="FrankRuehl" w:cs="FrankRuehl" w:hint="cs"/>
          <w:sz w:val="26"/>
          <w:szCs w:val="26"/>
          <w:rtl/>
        </w:rPr>
      </w:pPr>
      <w:r>
        <w:rPr>
          <w:rFonts w:ascii="FrankRuehl" w:hAnsi="FrankRuehl" w:cs="FrankRuehl" w:hint="cs"/>
          <w:sz w:val="26"/>
          <w:szCs w:val="26"/>
          <w:rtl/>
        </w:rPr>
        <w:t>מטעמי סיווג, הסברים נוספים נוגע לשימושים יינתנו בוועדה המשותפת לתקציב הביטחון</w:t>
      </w:r>
      <w:r>
        <w:rPr>
          <w:rFonts w:ascii="Narkisim" w:hAnsi="Narkisim" w:cs="FrankRuehl" w:hint="cs"/>
          <w:sz w:val="26"/>
          <w:szCs w:val="26"/>
          <w:rtl/>
        </w:rPr>
        <w:t xml:space="preserve">. </w:t>
      </w:r>
    </w:p>
    <w:p w14:paraId="42632EDC" w14:textId="77777777" w:rsidR="00383CE6" w:rsidRDefault="00383CE6" w:rsidP="0073672A">
      <w:pPr>
        <w:contextualSpacing/>
        <w:jc w:val="both"/>
        <w:rPr>
          <w:rFonts w:cs="FrankRuehl" w:hint="cs"/>
          <w:sz w:val="26"/>
          <w:szCs w:val="26"/>
          <w:rtl/>
        </w:rPr>
      </w:pPr>
    </w:p>
    <w:p w14:paraId="7209812A" w14:textId="77777777" w:rsidR="00383CE6" w:rsidRDefault="00383CE6" w:rsidP="0073672A">
      <w:pPr>
        <w:contextualSpacing/>
        <w:jc w:val="both"/>
        <w:rPr>
          <w:rFonts w:cs="FrankRuehl" w:hint="cs"/>
          <w:sz w:val="26"/>
          <w:szCs w:val="26"/>
          <w:rtl/>
        </w:rPr>
      </w:pPr>
      <w:r>
        <w:rPr>
          <w:rFonts w:cs="FrankRuehl" w:hint="cs"/>
          <w:b/>
          <w:bCs/>
          <w:sz w:val="26"/>
          <w:szCs w:val="26"/>
          <w:rtl/>
        </w:rPr>
        <w:t xml:space="preserve">השפעה על </w:t>
      </w:r>
      <w:proofErr w:type="spellStart"/>
      <w:r>
        <w:rPr>
          <w:rFonts w:cs="FrankRuehl" w:hint="cs"/>
          <w:b/>
          <w:bCs/>
          <w:sz w:val="26"/>
          <w:szCs w:val="26"/>
          <w:rtl/>
        </w:rPr>
        <w:t>כח</w:t>
      </w:r>
      <w:proofErr w:type="spellEnd"/>
      <w:r>
        <w:rPr>
          <w:rFonts w:cs="FrankRuehl" w:hint="cs"/>
          <w:b/>
          <w:bCs/>
          <w:sz w:val="26"/>
          <w:szCs w:val="26"/>
          <w:rtl/>
        </w:rPr>
        <w:t xml:space="preserve"> אדם:</w:t>
      </w:r>
      <w:r>
        <w:rPr>
          <w:rFonts w:cs="FrankRuehl" w:hint="cs"/>
          <w:sz w:val="26"/>
          <w:szCs w:val="26"/>
          <w:rtl/>
        </w:rPr>
        <w:t xml:space="preserve"> אין.</w:t>
      </w:r>
    </w:p>
    <w:p w14:paraId="7D8B2213" w14:textId="77777777" w:rsidR="00436E4E" w:rsidRPr="002E1D22" w:rsidRDefault="00436E4E">
      <w:pPr>
        <w:rPr>
          <w:rFonts w:cs="FrankRuehl"/>
          <w:sz w:val="26"/>
          <w:szCs w:val="26"/>
          <w:rtl/>
        </w:rPr>
      </w:pPr>
    </w:p>
    <w:p w14:paraId="5DA7247E" w14:textId="77777777" w:rsidR="00436E4E" w:rsidRPr="002E1D22" w:rsidRDefault="00436E4E">
      <w:pPr>
        <w:tabs>
          <w:tab w:val="center" w:pos="6867"/>
        </w:tabs>
        <w:rPr>
          <w:rFonts w:cs="FrankRuehl"/>
          <w:sz w:val="26"/>
          <w:szCs w:val="26"/>
          <w:rtl/>
        </w:rPr>
      </w:pPr>
    </w:p>
    <w:p w14:paraId="702FDDB2"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7758F364" w14:textId="77777777" w:rsidR="00436E4E" w:rsidRDefault="00C13197">
      <w:pPr>
        <w:tabs>
          <w:tab w:val="center" w:pos="6867"/>
        </w:tabs>
        <w:rPr>
          <w:rFonts w:cs="FrankRuehl"/>
          <w:sz w:val="26"/>
          <w:szCs w:val="26"/>
          <w:rtl/>
        </w:rPr>
      </w:pPr>
      <w:r>
        <w:rPr>
          <w:rFonts w:cs="FrankRuehl"/>
          <w:sz w:val="26"/>
          <w:szCs w:val="26"/>
          <w:rtl/>
        </w:rPr>
        <w:tab/>
      </w:r>
    </w:p>
    <w:p w14:paraId="2A7E3BBD" w14:textId="77777777" w:rsidR="00C13197" w:rsidRPr="002E1D22" w:rsidRDefault="00C13197">
      <w:pPr>
        <w:tabs>
          <w:tab w:val="center" w:pos="6867"/>
        </w:tabs>
        <w:rPr>
          <w:rFonts w:cs="FrankRuehl"/>
          <w:sz w:val="26"/>
          <w:szCs w:val="26"/>
        </w:rPr>
      </w:pPr>
      <w:r>
        <w:rPr>
          <w:rFonts w:cs="FrankRuehl"/>
          <w:sz w:val="26"/>
          <w:szCs w:val="26"/>
          <w:rtl/>
        </w:rPr>
        <w:tab/>
      </w:r>
      <w:bookmarkStart w:id="9" w:name="Sign_Image"/>
      <w:bookmarkEnd w:id="9"/>
    </w:p>
    <w:p w14:paraId="47C6979A"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28B2D5E6"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6FC4A20F"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6589FA8E" w14:textId="77777777" w:rsidR="00436E4E" w:rsidRPr="002E1D22" w:rsidRDefault="00436E4E">
      <w:pPr>
        <w:rPr>
          <w:rFonts w:cs="FrankRuehl"/>
          <w:sz w:val="26"/>
          <w:szCs w:val="26"/>
          <w:rtl/>
        </w:rPr>
      </w:pPr>
      <w:r w:rsidRPr="002E1D22">
        <w:rPr>
          <w:rFonts w:cs="FrankRuehl"/>
          <w:sz w:val="26"/>
          <w:szCs w:val="26"/>
          <w:rtl/>
        </w:rPr>
        <w:t>העתק:</w:t>
      </w:r>
    </w:p>
    <w:p w14:paraId="795E0302" w14:textId="77777777" w:rsidR="00436E4E" w:rsidRPr="002E1D22" w:rsidRDefault="00436E4E">
      <w:pPr>
        <w:rPr>
          <w:rFonts w:cs="FrankRuehl"/>
          <w:sz w:val="26"/>
          <w:szCs w:val="26"/>
          <w:rtl/>
        </w:rPr>
      </w:pPr>
      <w:r w:rsidRPr="002E1D22">
        <w:rPr>
          <w:rFonts w:cs="FrankRuehl"/>
          <w:sz w:val="26"/>
          <w:szCs w:val="26"/>
          <w:rtl/>
        </w:rPr>
        <w:lastRenderedPageBreak/>
        <w:t>החשב הכללי</w:t>
      </w:r>
    </w:p>
    <w:p w14:paraId="26A6535F" w14:textId="77777777" w:rsidR="00436E4E" w:rsidRPr="002E1D22" w:rsidRDefault="00436E4E">
      <w:pPr>
        <w:rPr>
          <w:rFonts w:cs="FrankRuehl"/>
          <w:sz w:val="26"/>
          <w:szCs w:val="26"/>
          <w:rtl/>
        </w:rPr>
      </w:pPr>
      <w:r w:rsidRPr="002E1D22">
        <w:rPr>
          <w:rFonts w:cs="FrankRuehl"/>
          <w:sz w:val="26"/>
          <w:szCs w:val="26"/>
          <w:rtl/>
        </w:rPr>
        <w:t>מבקר המדינה (2)</w:t>
      </w:r>
    </w:p>
    <w:p w14:paraId="55D92FDD" w14:textId="595D26F5" w:rsidR="00436E4E" w:rsidRPr="002E1D22" w:rsidRDefault="00A70C4C">
      <w:pPr>
        <w:rPr>
          <w:rFonts w:cs="FrankRuehl"/>
          <w:sz w:val="26"/>
          <w:szCs w:val="26"/>
          <w:rtl/>
        </w:rPr>
      </w:pPr>
      <w:bookmarkStart w:id="10" w:name="TAKZIV22"/>
      <w:r>
        <w:rPr>
          <w:rFonts w:cs="FrankRuehl"/>
          <w:sz w:val="26"/>
          <w:szCs w:val="26"/>
          <w:rtl/>
        </w:rPr>
        <w:t>חשב החשב הכללי</w:t>
      </w:r>
      <w:bookmarkEnd w:id="10"/>
    </w:p>
    <w:p w14:paraId="080E0EA6" w14:textId="70B68FAB" w:rsidR="00436E4E" w:rsidRPr="002E1D22" w:rsidRDefault="00436E4E">
      <w:pPr>
        <w:rPr>
          <w:rFonts w:cs="FrankRuehl"/>
          <w:sz w:val="26"/>
          <w:szCs w:val="26"/>
          <w:rtl/>
        </w:rPr>
      </w:pPr>
      <w:r w:rsidRPr="002E1D22">
        <w:rPr>
          <w:rFonts w:cs="FrankRuehl"/>
          <w:sz w:val="26"/>
          <w:szCs w:val="26"/>
          <w:rtl/>
        </w:rPr>
        <w:t xml:space="preserve">קצין תקציבים </w:t>
      </w:r>
      <w:bookmarkStart w:id="11" w:name="TAKZIV6_1"/>
      <w:r w:rsidR="00A70C4C">
        <w:rPr>
          <w:rFonts w:cs="FrankRuehl"/>
          <w:sz w:val="26"/>
          <w:szCs w:val="26"/>
          <w:rtl/>
        </w:rPr>
        <w:t>הוצאות ביטחוניות שונות</w:t>
      </w:r>
      <w:bookmarkEnd w:id="11"/>
    </w:p>
    <w:p w14:paraId="1E54B639" w14:textId="26B27EF2" w:rsidR="00436E4E" w:rsidRPr="002E1D22" w:rsidRDefault="00436E4E">
      <w:pPr>
        <w:rPr>
          <w:rFonts w:cs="FrankRuehl"/>
          <w:sz w:val="26"/>
          <w:szCs w:val="26"/>
          <w:rtl/>
        </w:rPr>
      </w:pPr>
      <w:r w:rsidRPr="002E1D22">
        <w:rPr>
          <w:rFonts w:cs="FrankRuehl"/>
          <w:sz w:val="26"/>
          <w:szCs w:val="26"/>
          <w:rtl/>
        </w:rPr>
        <w:t xml:space="preserve">רפרנט </w:t>
      </w:r>
      <w:bookmarkStart w:id="12" w:name="TAKZIV6_2"/>
      <w:r w:rsidR="00A70C4C">
        <w:rPr>
          <w:rFonts w:cs="FrankRuehl"/>
          <w:sz w:val="26"/>
          <w:szCs w:val="26"/>
          <w:rtl/>
        </w:rPr>
        <w:t>הוצאות ביטחוניות שונות</w:t>
      </w:r>
      <w:bookmarkEnd w:id="12"/>
    </w:p>
    <w:p w14:paraId="32DF59DC" w14:textId="77777777" w:rsidR="00436E4E" w:rsidRPr="002E1D22" w:rsidRDefault="00436E4E">
      <w:pPr>
        <w:rPr>
          <w:rFonts w:cs="FrankRuehl"/>
          <w:sz w:val="26"/>
          <w:szCs w:val="26"/>
          <w:rtl/>
        </w:rPr>
      </w:pPr>
      <w:bookmarkStart w:id="13" w:name="TAKZIV23"/>
      <w:bookmarkEnd w:id="13"/>
    </w:p>
    <w:p w14:paraId="3D872CC1" w14:textId="77777777" w:rsidR="00436E4E" w:rsidRPr="002E1D22" w:rsidRDefault="00436E4E">
      <w:pPr>
        <w:rPr>
          <w:rFonts w:cs="FrankRuehl"/>
          <w:sz w:val="26"/>
          <w:szCs w:val="26"/>
          <w:rtl/>
        </w:rPr>
      </w:pPr>
    </w:p>
    <w:p w14:paraId="3EF8A9F1" w14:textId="77777777" w:rsidR="00383CE6" w:rsidRDefault="00383CE6" w:rsidP="00383CE6">
      <w:pPr>
        <w:contextualSpacing/>
        <w:rPr>
          <w:rFonts w:cs="FrankRuehl" w:hint="cs"/>
          <w:sz w:val="26"/>
          <w:szCs w:val="26"/>
          <w:rtl/>
        </w:rPr>
      </w:pPr>
      <w:bookmarkStart w:id="14" w:name="TAKZIV25"/>
      <w:bookmarkEnd w:id="14"/>
    </w:p>
    <w:p w14:paraId="649C4F47" w14:textId="77777777" w:rsidR="00383CE6" w:rsidRDefault="00383CE6" w:rsidP="00383CE6">
      <w:pPr>
        <w:ind w:left="1440" w:firstLine="720"/>
        <w:rPr>
          <w:rFonts w:ascii="Calibri" w:hAnsi="Calibri" w:cs="Calibri" w:hint="cs"/>
          <w:b/>
          <w:bCs/>
          <w:color w:val="000000"/>
          <w:sz w:val="24"/>
          <w:szCs w:val="20"/>
          <w:rtl/>
        </w:rPr>
      </w:pPr>
      <w:r>
        <w:rPr>
          <w:rFonts w:ascii="Calibri" w:hAnsi="Calibri" w:cs="Calibri"/>
          <w:b/>
          <w:bCs/>
          <w:color w:val="000000"/>
          <w:szCs w:val="20"/>
          <w:rtl/>
        </w:rPr>
        <w:t>היסטוריה תקציבית של הפנייה - הוצאה נטו</w:t>
      </w:r>
    </w:p>
    <w:tbl>
      <w:tblPr>
        <w:tblW w:w="8776" w:type="dxa"/>
        <w:tblInd w:w="113" w:type="dxa"/>
        <w:tblLook w:val="04A0" w:firstRow="1" w:lastRow="0" w:firstColumn="1" w:lastColumn="0" w:noHBand="0" w:noVBand="1"/>
      </w:tblPr>
      <w:tblGrid>
        <w:gridCol w:w="926"/>
        <w:gridCol w:w="1097"/>
        <w:gridCol w:w="945"/>
        <w:gridCol w:w="991"/>
        <w:gridCol w:w="945"/>
        <w:gridCol w:w="991"/>
        <w:gridCol w:w="945"/>
        <w:gridCol w:w="991"/>
        <w:gridCol w:w="945"/>
      </w:tblGrid>
      <w:tr w:rsidR="00383CE6" w14:paraId="17BE43C8" w14:textId="77777777" w:rsidTr="00A33043">
        <w:trPr>
          <w:trHeight w:val="754"/>
        </w:trPr>
        <w:tc>
          <w:tcPr>
            <w:tcW w:w="1007" w:type="dxa"/>
            <w:tcBorders>
              <w:top w:val="single" w:sz="4" w:space="0" w:color="979991"/>
              <w:left w:val="single" w:sz="4" w:space="0" w:color="979991"/>
              <w:bottom w:val="nil"/>
              <w:right w:val="nil"/>
            </w:tcBorders>
            <w:shd w:val="clear" w:color="auto" w:fill="F0F4FA"/>
            <w:vAlign w:val="center"/>
            <w:hideMark/>
          </w:tcPr>
          <w:p w14:paraId="5B9A30A1" w14:textId="77777777" w:rsidR="00383CE6" w:rsidRDefault="00383CE6" w:rsidP="00A33043">
            <w:pPr>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1242" w:type="dxa"/>
            <w:tcBorders>
              <w:top w:val="single" w:sz="4" w:space="0" w:color="979991"/>
              <w:left w:val="single" w:sz="4" w:space="0" w:color="979991"/>
              <w:bottom w:val="single" w:sz="4" w:space="0" w:color="979991"/>
              <w:right w:val="nil"/>
            </w:tcBorders>
            <w:shd w:val="clear" w:color="auto" w:fill="F0F4FA"/>
            <w:vAlign w:val="center"/>
            <w:hideMark/>
          </w:tcPr>
          <w:p w14:paraId="45488886" w14:textId="77777777" w:rsidR="00383CE6" w:rsidRDefault="00383CE6" w:rsidP="00A33043">
            <w:pPr>
              <w:jc w:val="cente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889" w:type="dxa"/>
            <w:tcBorders>
              <w:top w:val="single" w:sz="4" w:space="0" w:color="979991"/>
              <w:left w:val="single" w:sz="4" w:space="0" w:color="979991"/>
              <w:bottom w:val="single" w:sz="4" w:space="0" w:color="979991"/>
              <w:right w:val="nil"/>
            </w:tcBorders>
            <w:shd w:val="clear" w:color="auto" w:fill="F0F4FA"/>
            <w:vAlign w:val="center"/>
            <w:hideMark/>
          </w:tcPr>
          <w:p w14:paraId="0AAA5613" w14:textId="77777777" w:rsidR="00383CE6" w:rsidRDefault="00383CE6" w:rsidP="00A33043">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1007" w:type="dxa"/>
            <w:tcBorders>
              <w:top w:val="single" w:sz="4" w:space="0" w:color="979991"/>
              <w:left w:val="single" w:sz="4" w:space="0" w:color="979991"/>
              <w:bottom w:val="single" w:sz="4" w:space="0" w:color="979991"/>
              <w:right w:val="nil"/>
            </w:tcBorders>
            <w:shd w:val="clear" w:color="auto" w:fill="F0F4FA"/>
            <w:vAlign w:val="center"/>
            <w:hideMark/>
          </w:tcPr>
          <w:p w14:paraId="43B4BEC4" w14:textId="77777777" w:rsidR="00383CE6" w:rsidRDefault="00383CE6" w:rsidP="00A33043">
            <w:pPr>
              <w:jc w:val="cente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889" w:type="dxa"/>
            <w:tcBorders>
              <w:top w:val="single" w:sz="4" w:space="0" w:color="979991"/>
              <w:left w:val="single" w:sz="4" w:space="0" w:color="979991"/>
              <w:bottom w:val="single" w:sz="4" w:space="0" w:color="979991"/>
              <w:right w:val="nil"/>
            </w:tcBorders>
            <w:shd w:val="clear" w:color="auto" w:fill="F0F4FA"/>
            <w:vAlign w:val="center"/>
            <w:hideMark/>
          </w:tcPr>
          <w:p w14:paraId="080730F6" w14:textId="77777777" w:rsidR="00383CE6" w:rsidRDefault="00383CE6" w:rsidP="00A33043">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1007" w:type="dxa"/>
            <w:tcBorders>
              <w:top w:val="single" w:sz="4" w:space="0" w:color="979991"/>
              <w:left w:val="single" w:sz="4" w:space="0" w:color="979991"/>
              <w:bottom w:val="single" w:sz="4" w:space="0" w:color="979991"/>
              <w:right w:val="nil"/>
            </w:tcBorders>
            <w:shd w:val="clear" w:color="auto" w:fill="F0F4FA"/>
            <w:vAlign w:val="center"/>
            <w:hideMark/>
          </w:tcPr>
          <w:p w14:paraId="16EDF2FC" w14:textId="77777777" w:rsidR="00383CE6" w:rsidRDefault="00383CE6" w:rsidP="00A33043">
            <w:pPr>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889" w:type="dxa"/>
            <w:tcBorders>
              <w:top w:val="single" w:sz="4" w:space="0" w:color="979991"/>
              <w:left w:val="single" w:sz="4" w:space="0" w:color="979991"/>
              <w:bottom w:val="single" w:sz="4" w:space="0" w:color="979991"/>
              <w:right w:val="nil"/>
            </w:tcBorders>
            <w:shd w:val="clear" w:color="auto" w:fill="F0F4FA"/>
            <w:vAlign w:val="center"/>
            <w:hideMark/>
          </w:tcPr>
          <w:p w14:paraId="418F6811" w14:textId="77777777" w:rsidR="00383CE6" w:rsidRDefault="00383CE6" w:rsidP="00A33043">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1007" w:type="dxa"/>
            <w:tcBorders>
              <w:top w:val="single" w:sz="4" w:space="0" w:color="979991"/>
              <w:left w:val="single" w:sz="4" w:space="0" w:color="979991"/>
              <w:bottom w:val="single" w:sz="4" w:space="0" w:color="979991"/>
              <w:right w:val="nil"/>
            </w:tcBorders>
            <w:shd w:val="clear" w:color="auto" w:fill="F0F4FA"/>
            <w:vAlign w:val="center"/>
            <w:hideMark/>
          </w:tcPr>
          <w:p w14:paraId="359828B2" w14:textId="77777777" w:rsidR="00383CE6" w:rsidRDefault="00383CE6" w:rsidP="00A33043">
            <w:pPr>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839"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295E0A4F" w14:textId="77777777" w:rsidR="00383CE6" w:rsidRDefault="00383CE6" w:rsidP="00A33043">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383CE6" w14:paraId="4B05730F" w14:textId="77777777" w:rsidTr="00A33043">
        <w:trPr>
          <w:trHeight w:val="347"/>
        </w:trPr>
        <w:tc>
          <w:tcPr>
            <w:tcW w:w="1007" w:type="dxa"/>
            <w:tcBorders>
              <w:top w:val="single" w:sz="4" w:space="0" w:color="979991"/>
              <w:left w:val="single" w:sz="4" w:space="0" w:color="979991"/>
              <w:bottom w:val="single" w:sz="4" w:space="0" w:color="979991"/>
              <w:right w:val="nil"/>
            </w:tcBorders>
            <w:shd w:val="clear" w:color="auto" w:fill="F0F4FA"/>
            <w:vAlign w:val="center"/>
            <w:hideMark/>
          </w:tcPr>
          <w:p w14:paraId="793B0347" w14:textId="77777777" w:rsidR="00383CE6" w:rsidRDefault="00383CE6" w:rsidP="00A33043">
            <w:pPr>
              <w:bidi w:val="0"/>
              <w:jc w:val="center"/>
              <w:rPr>
                <w:rFonts w:ascii="Calibri" w:hAnsi="Calibri" w:cs="Times New Roman"/>
                <w:color w:val="000000"/>
                <w:sz w:val="16"/>
                <w:szCs w:val="16"/>
                <w:rtl/>
              </w:rPr>
            </w:pPr>
            <w:r>
              <w:rPr>
                <w:rFonts w:ascii="Calibri" w:hAnsi="Calibri" w:cs="Times New Roman"/>
                <w:color w:val="000000"/>
                <w:sz w:val="16"/>
                <w:szCs w:val="16"/>
              </w:rPr>
              <w:t>310101</w:t>
            </w:r>
          </w:p>
        </w:tc>
        <w:tc>
          <w:tcPr>
            <w:tcW w:w="1242" w:type="dxa"/>
            <w:tcBorders>
              <w:top w:val="nil"/>
              <w:left w:val="single" w:sz="4" w:space="0" w:color="979991"/>
              <w:bottom w:val="single" w:sz="4" w:space="0" w:color="979991"/>
              <w:right w:val="nil"/>
            </w:tcBorders>
            <w:shd w:val="clear" w:color="auto" w:fill="FFFFFF"/>
            <w:vAlign w:val="center"/>
            <w:hideMark/>
          </w:tcPr>
          <w:p w14:paraId="67F9C0C3" w14:textId="77777777" w:rsidR="00383CE6" w:rsidRDefault="00383CE6" w:rsidP="00A33043">
            <w:pPr>
              <w:bidi w:val="0"/>
              <w:jc w:val="center"/>
              <w:rPr>
                <w:rFonts w:ascii="Calibri" w:hAnsi="Calibri" w:cs="Times New Roman" w:hint="cs"/>
                <w:color w:val="000000"/>
                <w:sz w:val="16"/>
                <w:szCs w:val="16"/>
                <w:rtl/>
              </w:rPr>
            </w:pPr>
            <w:r>
              <w:rPr>
                <w:rFonts w:ascii="Calibri" w:hAnsi="Calibri" w:cs="Times New Roman"/>
                <w:color w:val="000000"/>
                <w:sz w:val="16"/>
                <w:szCs w:val="16"/>
              </w:rPr>
              <w:t>46,000</w:t>
            </w:r>
          </w:p>
        </w:tc>
        <w:tc>
          <w:tcPr>
            <w:tcW w:w="889" w:type="dxa"/>
            <w:tcBorders>
              <w:top w:val="nil"/>
              <w:left w:val="single" w:sz="4" w:space="0" w:color="979991"/>
              <w:bottom w:val="single" w:sz="4" w:space="0" w:color="979991"/>
              <w:right w:val="nil"/>
            </w:tcBorders>
            <w:shd w:val="clear" w:color="auto" w:fill="FFFFFF"/>
            <w:vAlign w:val="center"/>
            <w:hideMark/>
          </w:tcPr>
          <w:p w14:paraId="7364F059" w14:textId="77777777" w:rsidR="00383CE6" w:rsidRDefault="00383CE6" w:rsidP="00A33043">
            <w:pPr>
              <w:bidi w:val="0"/>
              <w:jc w:val="center"/>
              <w:rPr>
                <w:rFonts w:ascii="Calibri" w:hAnsi="Calibri" w:cs="Times New Roman"/>
                <w:color w:val="000000"/>
                <w:sz w:val="16"/>
                <w:szCs w:val="16"/>
              </w:rPr>
            </w:pPr>
            <w:r>
              <w:rPr>
                <w:rFonts w:ascii="Calibri" w:hAnsi="Calibri" w:cs="Times New Roman"/>
                <w:color w:val="000000"/>
                <w:sz w:val="16"/>
                <w:szCs w:val="16"/>
              </w:rPr>
              <w:t>21,904,048</w:t>
            </w:r>
          </w:p>
        </w:tc>
        <w:tc>
          <w:tcPr>
            <w:tcW w:w="1007" w:type="dxa"/>
            <w:tcBorders>
              <w:top w:val="nil"/>
              <w:left w:val="single" w:sz="4" w:space="0" w:color="979991"/>
              <w:bottom w:val="single" w:sz="4" w:space="0" w:color="979991"/>
              <w:right w:val="nil"/>
            </w:tcBorders>
            <w:shd w:val="clear" w:color="auto" w:fill="FFFFFF"/>
            <w:vAlign w:val="center"/>
            <w:hideMark/>
          </w:tcPr>
          <w:p w14:paraId="02657BAD" w14:textId="77777777" w:rsidR="00383CE6" w:rsidRDefault="00383CE6" w:rsidP="00A33043">
            <w:pPr>
              <w:bidi w:val="0"/>
              <w:jc w:val="center"/>
              <w:rPr>
                <w:rFonts w:ascii="Calibri" w:hAnsi="Calibri" w:cs="Times New Roman"/>
                <w:color w:val="000000"/>
                <w:sz w:val="16"/>
                <w:szCs w:val="16"/>
              </w:rPr>
            </w:pPr>
            <w:r>
              <w:rPr>
                <w:rFonts w:ascii="Calibri" w:hAnsi="Calibri" w:cs="Times New Roman"/>
                <w:color w:val="000000"/>
                <w:sz w:val="16"/>
                <w:szCs w:val="16"/>
              </w:rPr>
              <w:t>14,504,241</w:t>
            </w:r>
          </w:p>
        </w:tc>
        <w:tc>
          <w:tcPr>
            <w:tcW w:w="889" w:type="dxa"/>
            <w:tcBorders>
              <w:top w:val="nil"/>
              <w:left w:val="single" w:sz="4" w:space="0" w:color="979991"/>
              <w:bottom w:val="single" w:sz="4" w:space="0" w:color="979991"/>
              <w:right w:val="nil"/>
            </w:tcBorders>
            <w:shd w:val="clear" w:color="auto" w:fill="FFFFFF"/>
            <w:vAlign w:val="center"/>
            <w:hideMark/>
          </w:tcPr>
          <w:p w14:paraId="0A463A59" w14:textId="77777777" w:rsidR="00383CE6" w:rsidRDefault="00383CE6" w:rsidP="00A33043">
            <w:pPr>
              <w:bidi w:val="0"/>
              <w:jc w:val="center"/>
              <w:rPr>
                <w:rFonts w:ascii="Calibri" w:hAnsi="Calibri" w:cs="Times New Roman"/>
                <w:color w:val="000000"/>
                <w:sz w:val="16"/>
                <w:szCs w:val="16"/>
              </w:rPr>
            </w:pPr>
            <w:r>
              <w:rPr>
                <w:rFonts w:ascii="Calibri" w:hAnsi="Calibri" w:cs="Times New Roman"/>
                <w:color w:val="000000"/>
                <w:sz w:val="16"/>
                <w:szCs w:val="16"/>
              </w:rPr>
              <w:t>19,912,202</w:t>
            </w:r>
          </w:p>
        </w:tc>
        <w:tc>
          <w:tcPr>
            <w:tcW w:w="1007" w:type="dxa"/>
            <w:tcBorders>
              <w:top w:val="nil"/>
              <w:left w:val="single" w:sz="4" w:space="0" w:color="979991"/>
              <w:bottom w:val="single" w:sz="4" w:space="0" w:color="979991"/>
              <w:right w:val="nil"/>
            </w:tcBorders>
            <w:shd w:val="clear" w:color="auto" w:fill="FFFFFF"/>
            <w:vAlign w:val="center"/>
            <w:hideMark/>
          </w:tcPr>
          <w:p w14:paraId="4339190A" w14:textId="77777777" w:rsidR="00383CE6" w:rsidRDefault="00383CE6" w:rsidP="00A33043">
            <w:pPr>
              <w:bidi w:val="0"/>
              <w:jc w:val="center"/>
              <w:rPr>
                <w:rFonts w:ascii="Calibri" w:hAnsi="Calibri" w:cs="Times New Roman"/>
                <w:color w:val="000000"/>
                <w:sz w:val="16"/>
                <w:szCs w:val="16"/>
              </w:rPr>
            </w:pPr>
            <w:r>
              <w:rPr>
                <w:rFonts w:ascii="Calibri" w:hAnsi="Calibri" w:cs="Times New Roman"/>
                <w:color w:val="000000"/>
                <w:sz w:val="16"/>
                <w:szCs w:val="16"/>
              </w:rPr>
              <w:t>12,018,755</w:t>
            </w:r>
          </w:p>
        </w:tc>
        <w:tc>
          <w:tcPr>
            <w:tcW w:w="889" w:type="dxa"/>
            <w:tcBorders>
              <w:top w:val="nil"/>
              <w:left w:val="single" w:sz="4" w:space="0" w:color="979991"/>
              <w:bottom w:val="single" w:sz="4" w:space="0" w:color="979991"/>
              <w:right w:val="nil"/>
            </w:tcBorders>
            <w:shd w:val="clear" w:color="auto" w:fill="FFFFFF"/>
            <w:vAlign w:val="center"/>
            <w:hideMark/>
          </w:tcPr>
          <w:p w14:paraId="008261A7" w14:textId="77777777" w:rsidR="00383CE6" w:rsidRDefault="00383CE6" w:rsidP="00A33043">
            <w:pPr>
              <w:bidi w:val="0"/>
              <w:jc w:val="center"/>
              <w:rPr>
                <w:rFonts w:ascii="Calibri" w:hAnsi="Calibri" w:cs="Times New Roman"/>
                <w:color w:val="000000"/>
                <w:sz w:val="16"/>
                <w:szCs w:val="16"/>
              </w:rPr>
            </w:pPr>
            <w:r>
              <w:rPr>
                <w:rFonts w:ascii="Calibri" w:hAnsi="Calibri" w:cs="Times New Roman"/>
                <w:color w:val="000000"/>
                <w:sz w:val="16"/>
                <w:szCs w:val="16"/>
              </w:rPr>
              <w:t>14,287,904</w:t>
            </w:r>
          </w:p>
        </w:tc>
        <w:tc>
          <w:tcPr>
            <w:tcW w:w="1007" w:type="dxa"/>
            <w:tcBorders>
              <w:top w:val="nil"/>
              <w:left w:val="single" w:sz="4" w:space="0" w:color="979991"/>
              <w:bottom w:val="single" w:sz="4" w:space="0" w:color="979991"/>
              <w:right w:val="nil"/>
            </w:tcBorders>
            <w:shd w:val="clear" w:color="auto" w:fill="FFFFFF"/>
            <w:vAlign w:val="center"/>
            <w:hideMark/>
          </w:tcPr>
          <w:p w14:paraId="24E903BC" w14:textId="77777777" w:rsidR="00383CE6" w:rsidRDefault="00383CE6" w:rsidP="00A33043">
            <w:pPr>
              <w:bidi w:val="0"/>
              <w:jc w:val="center"/>
              <w:rPr>
                <w:rFonts w:ascii="Calibri" w:hAnsi="Calibri" w:cs="Times New Roman"/>
                <w:color w:val="000000"/>
                <w:sz w:val="16"/>
                <w:szCs w:val="16"/>
              </w:rPr>
            </w:pPr>
            <w:r>
              <w:rPr>
                <w:rFonts w:ascii="Calibri" w:hAnsi="Calibri" w:cs="Times New Roman"/>
                <w:color w:val="000000"/>
                <w:sz w:val="16"/>
                <w:szCs w:val="16"/>
              </w:rPr>
              <w:t>10,529,298</w:t>
            </w:r>
          </w:p>
        </w:tc>
        <w:tc>
          <w:tcPr>
            <w:tcW w:w="839" w:type="dxa"/>
            <w:tcBorders>
              <w:top w:val="nil"/>
              <w:left w:val="single" w:sz="4" w:space="0" w:color="979991"/>
              <w:bottom w:val="single" w:sz="4" w:space="0" w:color="979991"/>
              <w:right w:val="single" w:sz="4" w:space="0" w:color="979991"/>
            </w:tcBorders>
            <w:shd w:val="clear" w:color="auto" w:fill="FFFFFF"/>
            <w:vAlign w:val="center"/>
            <w:hideMark/>
          </w:tcPr>
          <w:p w14:paraId="1A410264" w14:textId="77777777" w:rsidR="00383CE6" w:rsidRDefault="00383CE6" w:rsidP="00A33043">
            <w:pPr>
              <w:bidi w:val="0"/>
              <w:jc w:val="center"/>
              <w:rPr>
                <w:rFonts w:ascii="Calibri" w:hAnsi="Calibri" w:cs="Times New Roman"/>
                <w:color w:val="000000"/>
                <w:sz w:val="16"/>
                <w:szCs w:val="16"/>
              </w:rPr>
            </w:pPr>
            <w:r>
              <w:rPr>
                <w:rFonts w:ascii="Calibri" w:hAnsi="Calibri" w:cs="Times New Roman"/>
                <w:color w:val="000000"/>
                <w:sz w:val="16"/>
                <w:szCs w:val="16"/>
              </w:rPr>
              <w:t>13,462,289</w:t>
            </w:r>
          </w:p>
        </w:tc>
      </w:tr>
    </w:tbl>
    <w:p w14:paraId="2B1BD58A" w14:textId="77777777" w:rsidR="00383CE6" w:rsidRDefault="00383CE6" w:rsidP="00383CE6">
      <w:pPr>
        <w:rPr>
          <w:rFonts w:eastAsia="Calibri" w:cs="David"/>
          <w:sz w:val="24"/>
        </w:rPr>
      </w:pPr>
    </w:p>
    <w:p w14:paraId="05CCCE2B" w14:textId="77777777" w:rsidR="00436E4E" w:rsidRPr="002E1D22" w:rsidRDefault="00436E4E">
      <w:pPr>
        <w:rPr>
          <w:rFonts w:cs="FrankRuehl"/>
          <w:sz w:val="26"/>
          <w:szCs w:val="26"/>
          <w:rtl/>
        </w:rPr>
      </w:pPr>
    </w:p>
    <w:sectPr w:rsidR="00436E4E" w:rsidRPr="002E1D22" w:rsidSect="004374A5">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BBD29" w14:textId="77777777" w:rsidR="005C5C03" w:rsidRDefault="005C5C03" w:rsidP="004374A5">
      <w:r>
        <w:separator/>
      </w:r>
    </w:p>
  </w:endnote>
  <w:endnote w:type="continuationSeparator" w:id="0">
    <w:p w14:paraId="1BC08709" w14:textId="77777777" w:rsidR="005C5C03" w:rsidRDefault="005C5C03"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95531"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DE2B8"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7A211"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1FCF5" w14:textId="77777777" w:rsidR="005C5C03" w:rsidRDefault="005C5C03" w:rsidP="004374A5">
      <w:r>
        <w:separator/>
      </w:r>
    </w:p>
  </w:footnote>
  <w:footnote w:type="continuationSeparator" w:id="0">
    <w:p w14:paraId="6281241A" w14:textId="77777777" w:rsidR="005C5C03" w:rsidRDefault="005C5C03"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B1FEB"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8130E" w14:textId="77777777" w:rsidR="004374A5" w:rsidRDefault="005C5C03">
    <w:pPr>
      <w:pStyle w:val="a4"/>
    </w:pPr>
    <w:r>
      <w:rPr>
        <w:noProof/>
      </w:rPr>
      <w:pict w14:anchorId="4AD07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3081B" w14:textId="77777777" w:rsidR="00EF0529" w:rsidRDefault="00EF052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147D0B"/>
    <w:rsid w:val="00235242"/>
    <w:rsid w:val="002634E4"/>
    <w:rsid w:val="002E1D22"/>
    <w:rsid w:val="00383CE6"/>
    <w:rsid w:val="00436E4E"/>
    <w:rsid w:val="004374A5"/>
    <w:rsid w:val="005C5C03"/>
    <w:rsid w:val="0073672A"/>
    <w:rsid w:val="007847C9"/>
    <w:rsid w:val="007C275A"/>
    <w:rsid w:val="00A70C4C"/>
    <w:rsid w:val="00AC2EE6"/>
    <w:rsid w:val="00B0145B"/>
    <w:rsid w:val="00B42666"/>
    <w:rsid w:val="00B61EA5"/>
    <w:rsid w:val="00BB3BA1"/>
    <w:rsid w:val="00C13197"/>
    <w:rsid w:val="00EF05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714A9752"/>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81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310</Words>
  <Characters>1551</Characters>
  <Application>Microsoft Office Word</Application>
  <DocSecurity>0</DocSecurity>
  <Lines>12</Lines>
  <Paragraphs>3</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4</cp:revision>
  <cp:lastPrinted>1899-12-31T22:00:00Z</cp:lastPrinted>
  <dcterms:created xsi:type="dcterms:W3CDTF">2026-06-09T10:11:00Z</dcterms:created>
  <dcterms:modified xsi:type="dcterms:W3CDTF">2026-06-09T10:13:00Z</dcterms:modified>
</cp:coreProperties>
</file>