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3A40" w14:textId="77777777" w:rsidR="00436E4E" w:rsidRDefault="00436E4E">
      <w:pPr>
        <w:pStyle w:val="a"/>
        <w:rPr>
          <w:rtl/>
        </w:rPr>
      </w:pPr>
    </w:p>
    <w:p w14:paraId="635F52D5" w14:textId="77777777" w:rsidR="00436E4E" w:rsidRDefault="00436E4E">
      <w:pPr>
        <w:pStyle w:val="a"/>
        <w:rPr>
          <w:rtl/>
        </w:rPr>
      </w:pPr>
      <w:r>
        <w:rPr>
          <w:rtl/>
        </w:rPr>
        <w:t>מדינת ישראל</w:t>
      </w:r>
    </w:p>
    <w:p w14:paraId="5AF9AE50" w14:textId="77777777" w:rsidR="00436E4E" w:rsidRDefault="00436E4E">
      <w:pPr>
        <w:pStyle w:val="a"/>
        <w:rPr>
          <w:szCs w:val="24"/>
          <w:rtl/>
        </w:rPr>
      </w:pPr>
      <w:r>
        <w:rPr>
          <w:rtl/>
        </w:rPr>
        <w:t>האוצר - אגף התקציבים</w:t>
      </w:r>
    </w:p>
    <w:p w14:paraId="37A11359" w14:textId="77777777" w:rsidR="00436E4E" w:rsidRDefault="00436E4E">
      <w:pPr>
        <w:rPr>
          <w:rtl/>
        </w:rPr>
      </w:pPr>
    </w:p>
    <w:p w14:paraId="39700078" w14:textId="77777777" w:rsidR="00436E4E" w:rsidRDefault="00436E4E">
      <w:pPr>
        <w:rPr>
          <w:rtl/>
        </w:rPr>
      </w:pPr>
    </w:p>
    <w:p w14:paraId="18CECBD8" w14:textId="6CBB9A46" w:rsidR="00436E4E" w:rsidRDefault="00436E4E">
      <w:pPr>
        <w:tabs>
          <w:tab w:val="left" w:pos="6300"/>
        </w:tabs>
        <w:rPr>
          <w:rtl/>
        </w:rPr>
      </w:pPr>
      <w:r>
        <w:rPr>
          <w:rtl/>
        </w:rPr>
        <w:tab/>
      </w:r>
      <w:bookmarkStart w:id="0" w:name="TAKZIV8"/>
      <w:r w:rsidR="00762B91">
        <w:rPr>
          <w:rtl/>
        </w:rPr>
        <w:t>תקציב רגיל</w:t>
      </w:r>
      <w:bookmarkEnd w:id="0"/>
    </w:p>
    <w:p w14:paraId="506EE58D" w14:textId="77777777" w:rsidR="00436E4E" w:rsidRDefault="00436E4E">
      <w:pPr>
        <w:tabs>
          <w:tab w:val="left" w:pos="6300"/>
        </w:tabs>
        <w:rPr>
          <w:rtl/>
        </w:rPr>
      </w:pPr>
      <w:r>
        <w:rPr>
          <w:rtl/>
        </w:rPr>
        <w:tab/>
      </w:r>
    </w:p>
    <w:p w14:paraId="49692205"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614B04D0" w14:textId="2F1627F8" w:rsidR="00436E4E" w:rsidRDefault="00436E4E" w:rsidP="002E1D22">
      <w:pPr>
        <w:tabs>
          <w:tab w:val="left" w:pos="5755"/>
        </w:tabs>
        <w:rPr>
          <w:rFonts w:cs="FrankRuehl"/>
          <w:sz w:val="26"/>
          <w:szCs w:val="26"/>
        </w:rPr>
      </w:pPr>
      <w:r w:rsidRPr="002E1D22">
        <w:rPr>
          <w:rFonts w:cs="FrankRuehl"/>
          <w:sz w:val="26"/>
          <w:szCs w:val="26"/>
          <w:rtl/>
        </w:rPr>
        <w:tab/>
        <w:t xml:space="preserve">בקשה מספר </w:t>
      </w:r>
      <w:bookmarkStart w:id="2" w:name="TAKZIV4"/>
      <w:r w:rsidR="00762B91">
        <w:rPr>
          <w:rFonts w:cs="FrankRuehl"/>
          <w:sz w:val="26"/>
          <w:szCs w:val="26"/>
          <w:rtl/>
        </w:rPr>
        <w:t>206</w:t>
      </w:r>
      <w:bookmarkEnd w:id="2"/>
      <w:r w:rsidRPr="002E1D22">
        <w:rPr>
          <w:rFonts w:cs="FrankRuehl"/>
          <w:sz w:val="26"/>
          <w:szCs w:val="26"/>
          <w:rtl/>
        </w:rPr>
        <w:t xml:space="preserve"> </w:t>
      </w:r>
      <w:r w:rsidR="00456F67">
        <w:rPr>
          <w:rFonts w:cs="FrankRuehl"/>
          <w:sz w:val="26"/>
          <w:szCs w:val="26"/>
          <w:rtl/>
        </w:rPr>
        <w:t>–</w:t>
      </w:r>
      <w:r w:rsidRPr="002E1D22">
        <w:rPr>
          <w:rFonts w:cs="FrankRuehl"/>
          <w:sz w:val="26"/>
          <w:szCs w:val="26"/>
          <w:rtl/>
        </w:rPr>
        <w:t xml:space="preserve"> </w:t>
      </w:r>
      <w:bookmarkStart w:id="3" w:name="TAKZIV3"/>
      <w:r w:rsidR="00762B91">
        <w:rPr>
          <w:rFonts w:cs="FrankRuehl"/>
          <w:sz w:val="26"/>
          <w:szCs w:val="26"/>
          <w:rtl/>
        </w:rPr>
        <w:t>30</w:t>
      </w:r>
      <w:bookmarkEnd w:id="3"/>
    </w:p>
    <w:p w14:paraId="0625BA12" w14:textId="6A3A06C5" w:rsidR="00456F67" w:rsidRPr="002E1D22" w:rsidRDefault="00456F67" w:rsidP="002E1D22">
      <w:pPr>
        <w:tabs>
          <w:tab w:val="left" w:pos="5755"/>
        </w:tabs>
        <w:rPr>
          <w:rFonts w:cs="FrankRuehl"/>
          <w:sz w:val="26"/>
          <w:szCs w:val="26"/>
          <w:rtl/>
        </w:rPr>
      </w:pPr>
      <w:r>
        <w:rPr>
          <w:rFonts w:cs="FrankRuehl"/>
          <w:sz w:val="26"/>
          <w:szCs w:val="26"/>
        </w:rPr>
        <w:tab/>
      </w:r>
      <w:r>
        <w:rPr>
          <w:rFonts w:cs="FrankRuehl" w:hint="cs"/>
          <w:sz w:val="26"/>
          <w:szCs w:val="26"/>
          <w:rtl/>
        </w:rPr>
        <w:t>04-214</w:t>
      </w:r>
    </w:p>
    <w:p w14:paraId="16048817" w14:textId="0206D214" w:rsidR="00436E4E" w:rsidRPr="002E1D22"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מספר פניה לועדה:</w:t>
      </w:r>
      <w:r w:rsidR="00456F67">
        <w:rPr>
          <w:rFonts w:cs="FrankRuehl"/>
          <w:sz w:val="26"/>
          <w:szCs w:val="26"/>
        </w:rPr>
        <w:t xml:space="preserve"> </w:t>
      </w:r>
      <w:r w:rsidR="00456F67">
        <w:rPr>
          <w:rFonts w:cs="FrankRuehl" w:hint="cs"/>
          <w:sz w:val="26"/>
          <w:szCs w:val="26"/>
          <w:rtl/>
        </w:rPr>
        <w:t>52 עד</w:t>
      </w:r>
      <w:r w:rsidRPr="002E1D22">
        <w:rPr>
          <w:rFonts w:cs="FrankRuehl"/>
          <w:sz w:val="26"/>
          <w:szCs w:val="26"/>
          <w:rtl/>
        </w:rPr>
        <w:t xml:space="preserve"> </w:t>
      </w:r>
      <w:bookmarkStart w:id="4" w:name="TAKZIV11"/>
      <w:r w:rsidR="00762B91">
        <w:rPr>
          <w:rFonts w:cs="FrankRuehl"/>
          <w:sz w:val="26"/>
          <w:szCs w:val="26"/>
          <w:rtl/>
        </w:rPr>
        <w:t>53</w:t>
      </w:r>
      <w:bookmarkEnd w:id="4"/>
      <w:r w:rsidRPr="002E1D22">
        <w:rPr>
          <w:rFonts w:cs="FrankRuehl"/>
          <w:sz w:val="26"/>
          <w:szCs w:val="26"/>
          <w:rtl/>
        </w:rPr>
        <w:tab/>
      </w:r>
    </w:p>
    <w:p w14:paraId="46E59CBE" w14:textId="77777777" w:rsidR="00436E4E" w:rsidRPr="002E1D22" w:rsidRDefault="00436E4E">
      <w:pPr>
        <w:rPr>
          <w:rFonts w:cs="FrankRuehl"/>
          <w:sz w:val="26"/>
          <w:szCs w:val="26"/>
          <w:rtl/>
        </w:rPr>
      </w:pPr>
      <w:r w:rsidRPr="002E1D22">
        <w:rPr>
          <w:rFonts w:cs="FrankRuehl"/>
          <w:sz w:val="26"/>
          <w:szCs w:val="26"/>
          <w:rtl/>
        </w:rPr>
        <w:t>לכבוד,</w:t>
      </w:r>
    </w:p>
    <w:p w14:paraId="71BAFC50" w14:textId="77777777" w:rsidR="00436E4E" w:rsidRPr="002E1D22" w:rsidRDefault="00436E4E">
      <w:pPr>
        <w:rPr>
          <w:rFonts w:cs="FrankRuehl"/>
          <w:sz w:val="26"/>
          <w:szCs w:val="26"/>
          <w:rtl/>
        </w:rPr>
      </w:pPr>
      <w:r w:rsidRPr="002E1D22">
        <w:rPr>
          <w:rFonts w:cs="FrankRuehl"/>
          <w:sz w:val="26"/>
          <w:szCs w:val="26"/>
          <w:rtl/>
        </w:rPr>
        <w:t>יו"ר ועדת הכספים</w:t>
      </w:r>
    </w:p>
    <w:p w14:paraId="2D6E7A5B" w14:textId="77777777" w:rsidR="00436E4E" w:rsidRPr="002E1D22" w:rsidRDefault="00436E4E">
      <w:pPr>
        <w:rPr>
          <w:rFonts w:cs="FrankRuehl"/>
          <w:sz w:val="26"/>
          <w:szCs w:val="26"/>
          <w:rtl/>
        </w:rPr>
      </w:pPr>
      <w:r w:rsidRPr="002E1D22">
        <w:rPr>
          <w:rFonts w:cs="FrankRuehl"/>
          <w:sz w:val="26"/>
          <w:szCs w:val="26"/>
          <w:rtl/>
        </w:rPr>
        <w:t>של הכנסת</w:t>
      </w:r>
    </w:p>
    <w:p w14:paraId="0258C11D" w14:textId="77777777" w:rsidR="00436E4E" w:rsidRPr="002E1D22" w:rsidRDefault="00436E4E">
      <w:pPr>
        <w:rPr>
          <w:rFonts w:cs="FrankRuehl"/>
          <w:sz w:val="26"/>
          <w:szCs w:val="26"/>
          <w:rtl/>
        </w:rPr>
      </w:pPr>
    </w:p>
    <w:p w14:paraId="21F53706" w14:textId="77777777" w:rsidR="00436E4E" w:rsidRPr="002E1D22" w:rsidRDefault="00436E4E">
      <w:pPr>
        <w:rPr>
          <w:rFonts w:cs="FrankRuehl"/>
          <w:sz w:val="26"/>
          <w:szCs w:val="26"/>
          <w:rtl/>
        </w:rPr>
      </w:pPr>
      <w:r w:rsidRPr="002E1D22">
        <w:rPr>
          <w:rFonts w:cs="FrankRuehl"/>
          <w:sz w:val="26"/>
          <w:szCs w:val="26"/>
          <w:rtl/>
        </w:rPr>
        <w:t>א.נ.,</w:t>
      </w:r>
    </w:p>
    <w:p w14:paraId="574CB194" w14:textId="77777777" w:rsidR="00436E4E" w:rsidRPr="002E1D22" w:rsidRDefault="00436E4E">
      <w:pPr>
        <w:rPr>
          <w:rFonts w:cs="FrankRuehl"/>
          <w:sz w:val="26"/>
          <w:szCs w:val="26"/>
          <w:rtl/>
        </w:rPr>
      </w:pPr>
    </w:p>
    <w:p w14:paraId="344567CA" w14:textId="77777777" w:rsidR="00436E4E" w:rsidRPr="002E1D22" w:rsidRDefault="00436E4E">
      <w:pPr>
        <w:pStyle w:val="a0"/>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762B91">
        <w:rPr>
          <w:rFonts w:cs="FrankRuehl"/>
          <w:sz w:val="26"/>
          <w:rtl/>
        </w:rPr>
        <w:t>2026</w:t>
      </w:r>
      <w:bookmarkEnd w:id="5"/>
      <w:r w:rsidRPr="002E1D22">
        <w:rPr>
          <w:rFonts w:cs="FrankRuehl"/>
          <w:sz w:val="26"/>
          <w:rtl/>
        </w:rPr>
        <w:t xml:space="preserve">     </w:t>
      </w:r>
    </w:p>
    <w:p w14:paraId="65AB6EDF" w14:textId="77777777" w:rsidR="00436E4E" w:rsidRPr="002E1D22" w:rsidRDefault="00436E4E" w:rsidP="002E1D22">
      <w:pPr>
        <w:jc w:val="both"/>
        <w:rPr>
          <w:rFonts w:cs="FrankRuehl"/>
          <w:sz w:val="26"/>
          <w:szCs w:val="26"/>
          <w:rtl/>
        </w:rPr>
      </w:pPr>
    </w:p>
    <w:p w14:paraId="7CC94D94" w14:textId="79E3C77A" w:rsidR="00436E4E" w:rsidRPr="002E1D22" w:rsidRDefault="00436E4E" w:rsidP="005836FE">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762B91">
        <w:rPr>
          <w:rFonts w:cs="FrankRuehl"/>
          <w:sz w:val="26"/>
          <w:szCs w:val="26"/>
          <w:rtl/>
        </w:rPr>
        <w:t>29,100</w:t>
      </w:r>
      <w:bookmarkEnd w:id="6"/>
      <w:r w:rsidRPr="002E1D22">
        <w:rPr>
          <w:rFonts w:cs="FrankRuehl"/>
          <w:sz w:val="26"/>
          <w:szCs w:val="26"/>
          <w:rtl/>
        </w:rPr>
        <w:t xml:space="preserve"> אלפי שקלים חדשים מסעיף</w:t>
      </w:r>
      <w:r w:rsidR="005836FE">
        <w:rPr>
          <w:rFonts w:cs="FrankRuehl" w:hint="cs"/>
          <w:sz w:val="26"/>
          <w:szCs w:val="26"/>
          <w:rtl/>
        </w:rPr>
        <w:t xml:space="preserve"> 04 </w:t>
      </w:r>
      <w:r w:rsidR="005836FE">
        <w:rPr>
          <w:rFonts w:cs="FrankRuehl"/>
          <w:sz w:val="26"/>
          <w:szCs w:val="26"/>
          <w:rtl/>
        </w:rPr>
        <w:t>–</w:t>
      </w:r>
      <w:r w:rsidR="005836FE">
        <w:rPr>
          <w:rFonts w:cs="FrankRuehl" w:hint="cs"/>
          <w:sz w:val="26"/>
          <w:szCs w:val="26"/>
          <w:rtl/>
        </w:rPr>
        <w:t xml:space="preserve"> משרד ראש הממשלה לסעיף</w:t>
      </w:r>
      <w:r w:rsidRPr="002E1D22">
        <w:rPr>
          <w:rFonts w:cs="FrankRuehl"/>
          <w:sz w:val="26"/>
          <w:szCs w:val="26"/>
          <w:rtl/>
        </w:rPr>
        <w:t xml:space="preserve"> 47 - רזרבה כללית, בהתאם לסעיף 11 (ה) לחוק יסודות התקציב התשמ"ה - 1985.</w:t>
      </w:r>
    </w:p>
    <w:p w14:paraId="51B22E89" w14:textId="77777777" w:rsidR="00436E4E" w:rsidRPr="002E1D22" w:rsidRDefault="00436E4E" w:rsidP="005836FE">
      <w:pPr>
        <w:jc w:val="both"/>
        <w:rPr>
          <w:rFonts w:cs="FrankRuehl"/>
          <w:sz w:val="26"/>
          <w:szCs w:val="26"/>
          <w:rtl/>
        </w:rPr>
      </w:pPr>
    </w:p>
    <w:p w14:paraId="3BB01CB4" w14:textId="14FBC19C" w:rsidR="00436E4E" w:rsidRPr="002E1D22" w:rsidRDefault="00436E4E" w:rsidP="005836FE">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w:t>
      </w:r>
      <w:r w:rsidR="005836FE" w:rsidRPr="002E1D22">
        <w:rPr>
          <w:rFonts w:cs="FrankRuehl"/>
          <w:sz w:val="26"/>
          <w:szCs w:val="26"/>
          <w:rtl/>
        </w:rPr>
        <w:t xml:space="preserve">סכום של </w:t>
      </w:r>
      <w:r w:rsidR="005836FE">
        <w:rPr>
          <w:rFonts w:cs="FrankRuehl"/>
          <w:sz w:val="26"/>
          <w:szCs w:val="26"/>
          <w:rtl/>
        </w:rPr>
        <w:t>29,100</w:t>
      </w:r>
      <w:r w:rsidR="005836FE"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5836FE" w:rsidRPr="002E1D22">
        <w:rPr>
          <w:rFonts w:cs="FrankRuehl"/>
          <w:sz w:val="26"/>
          <w:szCs w:val="26"/>
          <w:rtl/>
        </w:rPr>
        <w:t xml:space="preserve">לסעיף </w:t>
      </w:r>
      <w:bookmarkStart w:id="7" w:name="TAKZIV3_1"/>
      <w:r w:rsidR="005836FE">
        <w:rPr>
          <w:rFonts w:cs="FrankRuehl"/>
          <w:sz w:val="26"/>
          <w:szCs w:val="26"/>
          <w:rtl/>
        </w:rPr>
        <w:t>30</w:t>
      </w:r>
      <w:bookmarkEnd w:id="7"/>
      <w:r w:rsidR="005836FE" w:rsidRPr="002E1D22">
        <w:rPr>
          <w:rFonts w:cs="FrankRuehl"/>
          <w:sz w:val="26"/>
          <w:szCs w:val="26"/>
          <w:rtl/>
        </w:rPr>
        <w:t xml:space="preserve"> - </w:t>
      </w:r>
      <w:bookmarkStart w:id="8" w:name="TAKZIV6"/>
      <w:r w:rsidR="005836FE">
        <w:rPr>
          <w:rFonts w:cs="FrankRuehl"/>
          <w:sz w:val="26"/>
          <w:szCs w:val="26"/>
          <w:rtl/>
        </w:rPr>
        <w:t>משרד העלייה והקליטה</w:t>
      </w:r>
      <w:bookmarkEnd w:id="8"/>
      <w:r w:rsidR="005836FE" w:rsidRPr="002E1D22">
        <w:rPr>
          <w:rFonts w:cs="FrankRuehl"/>
          <w:sz w:val="26"/>
          <w:szCs w:val="26"/>
          <w:rtl/>
        </w:rPr>
        <w:t xml:space="preserve"> </w:t>
      </w:r>
      <w:r w:rsidRPr="002E1D22">
        <w:rPr>
          <w:rFonts w:cs="FrankRuehl"/>
          <w:sz w:val="26"/>
          <w:szCs w:val="26"/>
          <w:rtl/>
        </w:rPr>
        <w:t>בהתאם לסעיף 12 (א)</w:t>
      </w:r>
    </w:p>
    <w:p w14:paraId="6E4A048C" w14:textId="77777777" w:rsidR="00436E4E" w:rsidRPr="002E1D22" w:rsidRDefault="00436E4E" w:rsidP="005836FE">
      <w:pPr>
        <w:jc w:val="both"/>
        <w:rPr>
          <w:rFonts w:cs="FrankRuehl"/>
          <w:sz w:val="26"/>
          <w:szCs w:val="26"/>
          <w:rtl/>
        </w:rPr>
      </w:pPr>
      <w:r w:rsidRPr="002E1D22">
        <w:rPr>
          <w:rFonts w:cs="FrankRuehl"/>
          <w:sz w:val="26"/>
          <w:szCs w:val="26"/>
          <w:rtl/>
        </w:rPr>
        <w:t>לחוק יסודות התקציב, התשמ"ה - 1985, כמפורט בתדפיס המצורף בזה.</w:t>
      </w:r>
    </w:p>
    <w:p w14:paraId="289D62ED" w14:textId="77777777" w:rsidR="00436E4E" w:rsidRPr="002E1D22" w:rsidRDefault="00436E4E" w:rsidP="005836FE">
      <w:pPr>
        <w:jc w:val="both"/>
        <w:rPr>
          <w:rFonts w:cs="FrankRuehl"/>
          <w:sz w:val="26"/>
          <w:szCs w:val="26"/>
          <w:rtl/>
        </w:rPr>
      </w:pPr>
    </w:p>
    <w:p w14:paraId="053F31B7" w14:textId="77777777" w:rsidR="00456F67" w:rsidRDefault="00456F67" w:rsidP="005836FE">
      <w:pPr>
        <w:contextualSpacing/>
        <w:jc w:val="both"/>
        <w:rPr>
          <w:rFonts w:ascii="FrankRuehl" w:hAnsi="FrankRuehl" w:cs="FrankRuehl"/>
          <w:sz w:val="26"/>
          <w:szCs w:val="26"/>
          <w:lang w:eastAsia="en-US"/>
        </w:rPr>
      </w:pPr>
      <w:r>
        <w:rPr>
          <w:rFonts w:ascii="FrankRuehl" w:hAnsi="FrankRuehl" w:cs="FrankRuehl"/>
          <w:b/>
          <w:bCs/>
          <w:sz w:val="26"/>
          <w:szCs w:val="26"/>
          <w:rtl/>
        </w:rPr>
        <w:t>הבקשה דנה בסעיף תקציבי:</w:t>
      </w:r>
      <w:r>
        <w:rPr>
          <w:rFonts w:ascii="FrankRuehl" w:hAnsi="FrankRuehl" w:cs="FrankRuehl"/>
          <w:sz w:val="26"/>
          <w:szCs w:val="26"/>
          <w:rtl/>
        </w:rPr>
        <w:t xml:space="preserve"> 30 – משרד העלייה והקליטה</w:t>
      </w:r>
    </w:p>
    <w:p w14:paraId="6462DFFE" w14:textId="77777777" w:rsidR="00456F67" w:rsidRDefault="00456F67" w:rsidP="005836FE">
      <w:pPr>
        <w:contextualSpacing/>
        <w:jc w:val="both"/>
        <w:rPr>
          <w:rFonts w:ascii="FrankRuehl" w:hAnsi="FrankRuehl" w:cs="FrankRuehl"/>
          <w:sz w:val="26"/>
          <w:szCs w:val="26"/>
          <w:rtl/>
        </w:rPr>
      </w:pPr>
    </w:p>
    <w:p w14:paraId="4037FB0D" w14:textId="77777777" w:rsidR="00456F67" w:rsidRDefault="00456F67" w:rsidP="005836FE">
      <w:pPr>
        <w:contextualSpacing/>
        <w:jc w:val="both"/>
        <w:rPr>
          <w:rFonts w:ascii="FrankRuehl" w:hAnsi="FrankRuehl" w:cs="FrankRuehl"/>
          <w:b/>
          <w:bCs/>
          <w:sz w:val="26"/>
          <w:szCs w:val="26"/>
          <w:rtl/>
        </w:rPr>
      </w:pPr>
      <w:r>
        <w:rPr>
          <w:rFonts w:ascii="FrankRuehl" w:hAnsi="FrankRuehl" w:cs="FrankRuehl"/>
          <w:b/>
          <w:bCs/>
          <w:sz w:val="26"/>
          <w:szCs w:val="26"/>
          <w:rtl/>
        </w:rPr>
        <w:t xml:space="preserve">עיקרי הפנייה: </w:t>
      </w:r>
    </w:p>
    <w:p w14:paraId="3EA6EB27" w14:textId="77777777" w:rsidR="00456F67" w:rsidRDefault="00456F67" w:rsidP="005836FE">
      <w:pPr>
        <w:contextualSpacing/>
        <w:jc w:val="both"/>
        <w:rPr>
          <w:rFonts w:ascii="FrankRuehl" w:hAnsi="FrankRuehl" w:cs="FrankRuehl"/>
          <w:sz w:val="26"/>
          <w:szCs w:val="26"/>
          <w:rtl/>
        </w:rPr>
      </w:pPr>
      <w:r>
        <w:rPr>
          <w:rFonts w:ascii="FrankRuehl" w:hAnsi="FrankRuehl" w:cs="FrankRuehl"/>
          <w:sz w:val="26"/>
          <w:szCs w:val="26"/>
          <w:rtl/>
        </w:rPr>
        <w:t>הפנייה</w:t>
      </w:r>
      <w:r>
        <w:rPr>
          <w:rFonts w:ascii="FrankRuehl" w:hAnsi="FrankRuehl" w:cs="FrankRuehl"/>
          <w:sz w:val="26"/>
          <w:szCs w:val="26"/>
        </w:rPr>
        <w:t xml:space="preserve"> </w:t>
      </w:r>
      <w:r>
        <w:rPr>
          <w:rFonts w:ascii="FrankRuehl" w:hAnsi="FrankRuehl" w:cs="FrankRuehl"/>
          <w:sz w:val="26"/>
          <w:szCs w:val="26"/>
          <w:rtl/>
        </w:rPr>
        <w:t>התקציבית</w:t>
      </w:r>
      <w:r>
        <w:rPr>
          <w:rFonts w:ascii="FrankRuehl" w:hAnsi="FrankRuehl" w:cs="FrankRuehl"/>
          <w:sz w:val="26"/>
          <w:szCs w:val="26"/>
        </w:rPr>
        <w:t xml:space="preserve"> </w:t>
      </w:r>
      <w:r>
        <w:rPr>
          <w:rFonts w:ascii="FrankRuehl" w:hAnsi="FrankRuehl" w:cs="FrankRuehl"/>
          <w:sz w:val="26"/>
          <w:szCs w:val="26"/>
          <w:rtl/>
        </w:rPr>
        <w:t>נועדה להעברת סך של 29,100 אלפי ש"ח בהוצאה למשרד העלייה והקליטה.</w:t>
      </w:r>
    </w:p>
    <w:p w14:paraId="2498114F" w14:textId="77777777" w:rsidR="00456F67" w:rsidRDefault="00456F67" w:rsidP="005836FE">
      <w:pPr>
        <w:contextualSpacing/>
        <w:jc w:val="both"/>
        <w:rPr>
          <w:rFonts w:ascii="FrankRuehl" w:hAnsi="FrankRuehl" w:cs="FrankRuehl"/>
          <w:sz w:val="26"/>
          <w:szCs w:val="26"/>
          <w:rtl/>
        </w:rPr>
      </w:pPr>
    </w:p>
    <w:p w14:paraId="78DCCAE1" w14:textId="77777777" w:rsidR="00456F67" w:rsidRDefault="00456F67" w:rsidP="005836FE">
      <w:pPr>
        <w:contextualSpacing/>
        <w:jc w:val="both"/>
        <w:rPr>
          <w:rFonts w:ascii="FrankRuehl" w:hAnsi="FrankRuehl" w:cs="FrankRuehl"/>
          <w:sz w:val="26"/>
          <w:szCs w:val="26"/>
          <w:rtl/>
        </w:rPr>
      </w:pPr>
      <w:r>
        <w:rPr>
          <w:rFonts w:ascii="FrankRuehl" w:hAnsi="FrankRuehl" w:cs="FrankRuehl"/>
          <w:sz w:val="26"/>
          <w:szCs w:val="26"/>
          <w:rtl/>
        </w:rPr>
        <w:t>עיקרי הפנייה התקציבית בחלוקה לתוכניות מובאים להלן:</w:t>
      </w:r>
    </w:p>
    <w:p w14:paraId="49600902" w14:textId="77777777" w:rsidR="00456F67" w:rsidRDefault="00456F67" w:rsidP="005836FE">
      <w:pPr>
        <w:contextualSpacing/>
        <w:jc w:val="both"/>
        <w:rPr>
          <w:rFonts w:ascii="FrankRuehl" w:hAnsi="FrankRuehl" w:cs="FrankRuehl"/>
          <w:b/>
          <w:bCs/>
          <w:sz w:val="26"/>
          <w:szCs w:val="26"/>
          <w:rtl/>
        </w:rPr>
      </w:pPr>
      <w:r>
        <w:rPr>
          <w:rFonts w:ascii="FrankRuehl" w:hAnsi="FrankRuehl" w:cs="FrankRuehl"/>
          <w:b/>
          <w:bCs/>
          <w:sz w:val="26"/>
          <w:szCs w:val="26"/>
          <w:rtl/>
        </w:rPr>
        <w:t>301204: חטיבת רשויות, ארגונים וקהילה – 29,100 אלפי ש"ח בהוצאה.</w:t>
      </w:r>
    </w:p>
    <w:p w14:paraId="04466187" w14:textId="77777777" w:rsidR="00456F67" w:rsidRDefault="00456F67" w:rsidP="005836FE">
      <w:pPr>
        <w:contextualSpacing/>
        <w:jc w:val="both"/>
        <w:rPr>
          <w:rFonts w:ascii="FrankRuehl" w:hAnsi="FrankRuehl" w:cs="FrankRuehl"/>
          <w:sz w:val="26"/>
          <w:szCs w:val="26"/>
        </w:rPr>
      </w:pPr>
      <w:r>
        <w:rPr>
          <w:rFonts w:ascii="FrankRuehl" w:hAnsi="FrankRuehl" w:cs="FrankRuehl"/>
          <w:b/>
          <w:bCs/>
          <w:sz w:val="26"/>
          <w:szCs w:val="26"/>
          <w:rtl/>
        </w:rPr>
        <w:t xml:space="preserve">תיאור התוכנית: </w:t>
      </w:r>
      <w:r>
        <w:rPr>
          <w:rFonts w:ascii="FrankRuehl" w:hAnsi="FrankRuehl" w:cs="FrankRuehl"/>
          <w:sz w:val="26"/>
          <w:szCs w:val="26"/>
          <w:rtl/>
        </w:rPr>
        <w:t>תחומי הפעילות בחטיבת רשויות, ארגונים וקהילה כוללים סיוע במגוון תחומים ובטווח גילאים נרחב; סיוע בהפעלת סל תרבות באולפנים; פרויקטים לילדים ונוער; פרויקטים להנחלת השפה העברית וביסוסה; פרויקטים בתחום הזהות היהודית, הזהות הישראלית ושילוב תרבויות.</w:t>
      </w:r>
    </w:p>
    <w:p w14:paraId="1B183CAE" w14:textId="39247B7F" w:rsidR="00456F67" w:rsidRDefault="00456F67" w:rsidP="005836FE">
      <w:pPr>
        <w:contextualSpacing/>
        <w:jc w:val="both"/>
        <w:rPr>
          <w:rFonts w:ascii="FrankRuehl" w:hAnsi="FrankRuehl" w:cs="FrankRuehl"/>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 xml:space="preserve">הקצאת תקציב קואליציוני </w:t>
      </w:r>
      <w:r w:rsidR="00BF4EA6">
        <w:rPr>
          <w:rFonts w:ascii="FrankRuehl" w:hAnsi="FrankRuehl" w:cs="FrankRuehl" w:hint="cs"/>
          <w:sz w:val="26"/>
          <w:szCs w:val="26"/>
          <w:rtl/>
        </w:rPr>
        <w:t>לצורך</w:t>
      </w:r>
      <w:r>
        <w:rPr>
          <w:rFonts w:ascii="FrankRuehl" w:hAnsi="FrankRuehl" w:cs="FrankRuehl"/>
          <w:sz w:val="26"/>
          <w:szCs w:val="26"/>
          <w:rtl/>
        </w:rPr>
        <w:t xml:space="preserve"> תגבור התמיכה ברשויות מקומיות קולטות עלייה.</w:t>
      </w:r>
    </w:p>
    <w:p w14:paraId="0BDCA160" w14:textId="77777777" w:rsidR="00456F67" w:rsidRDefault="00456F67" w:rsidP="005836FE">
      <w:pPr>
        <w:contextualSpacing/>
        <w:jc w:val="both"/>
        <w:rPr>
          <w:rFonts w:ascii="FrankRuehl" w:hAnsi="FrankRuehl" w:cs="FrankRuehl"/>
          <w:b/>
          <w:bCs/>
          <w:sz w:val="26"/>
          <w:szCs w:val="26"/>
          <w:rtl/>
        </w:rPr>
      </w:pPr>
    </w:p>
    <w:p w14:paraId="2A27A243" w14:textId="77777777" w:rsidR="00456F67" w:rsidRDefault="00456F67" w:rsidP="005836FE">
      <w:pPr>
        <w:contextualSpacing/>
        <w:jc w:val="both"/>
        <w:rPr>
          <w:rFonts w:ascii="FrankRuehl" w:hAnsi="FrankRuehl" w:cs="FrankRuehl"/>
          <w:b/>
          <w:bCs/>
          <w:sz w:val="26"/>
          <w:szCs w:val="26"/>
          <w:rtl/>
        </w:rPr>
      </w:pPr>
      <w:r>
        <w:rPr>
          <w:rFonts w:ascii="FrankRuehl" w:hAnsi="FrankRuehl" w:cs="FrankRuehl"/>
          <w:b/>
          <w:bCs/>
          <w:sz w:val="26"/>
          <w:szCs w:val="26"/>
          <w:rtl/>
        </w:rPr>
        <w:t xml:space="preserve">יישום הסכמים פוליטיים בעלי משמעות תקציבית: </w:t>
      </w:r>
    </w:p>
    <w:p w14:paraId="4D88BBA1" w14:textId="193F3BF1" w:rsidR="00456F67" w:rsidRDefault="00456F67" w:rsidP="005836FE">
      <w:pPr>
        <w:contextualSpacing/>
        <w:jc w:val="both"/>
        <w:rPr>
          <w:rFonts w:ascii="FrankRuehl" w:hAnsi="FrankRuehl" w:cs="FrankRuehl"/>
          <w:sz w:val="26"/>
          <w:szCs w:val="26"/>
          <w:rtl/>
        </w:rPr>
      </w:pPr>
      <w:r>
        <w:rPr>
          <w:rFonts w:ascii="FrankRuehl" w:hAnsi="FrankRuehl" w:cs="FrankRuehl"/>
          <w:sz w:val="26"/>
          <w:szCs w:val="26"/>
          <w:rtl/>
        </w:rPr>
        <w:t>הפנייה נועדה לתקצב סך של 29,100 אלפי ש"ח עבור הנושאים המפורטים להלן, בהתאם להחלטת ממשלה מספר 3610 מיום 04.12.2025 להקצאת תקציבים עבור יישום הסכמים קואליציוניים והחלטות נוספות בשנת 2026, ולהחלטת ממשלה מספר 3971 מיום 10.03.2026 ליישום הסכמים קואליציוניים בשנת הכספים 2026. מכיוון שבעת קבלת החלטות הממשלה האמורות ובעת הצגת ההסכמים טרם הושלמו הבדיקות המקצועיות והמשפטיות הנחוצות לצורך הקצאת התקציבים הנדרשים על פי הנחיית היועץ המשפטי לממשלה מספר 1.180, התקציב טרם הוקצה בתוכניות הייעודיות עד להשלמתן. כעת, משהושלמו הבדיקות המקצועיות והמשפטיות הנחוצות, מוצע להעביר את הסכומים האמורים, בהתאם להחלטות הממשלה האמורות וההסכמים האמורים, לתוכניות הייעודיות, כמפורט להלן:</w:t>
      </w:r>
    </w:p>
    <w:p w14:paraId="29EB3DDB" w14:textId="40B0C1F7" w:rsidR="005836FE" w:rsidRDefault="005836FE" w:rsidP="005836FE">
      <w:pPr>
        <w:contextualSpacing/>
        <w:jc w:val="both"/>
        <w:rPr>
          <w:rFonts w:ascii="FrankRuehl" w:hAnsi="FrankRuehl" w:cs="FrankRuehl"/>
          <w:sz w:val="26"/>
          <w:szCs w:val="26"/>
          <w:rtl/>
        </w:rPr>
      </w:pPr>
    </w:p>
    <w:p w14:paraId="580DFE8A" w14:textId="2BEADDDC" w:rsidR="005836FE" w:rsidRDefault="005836FE" w:rsidP="005836FE">
      <w:pPr>
        <w:contextualSpacing/>
        <w:jc w:val="both"/>
        <w:rPr>
          <w:rFonts w:ascii="FrankRuehl" w:hAnsi="FrankRuehl" w:cs="FrankRuehl"/>
          <w:sz w:val="26"/>
          <w:szCs w:val="26"/>
          <w:rtl/>
        </w:rPr>
      </w:pPr>
    </w:p>
    <w:p w14:paraId="6C4DFFB6" w14:textId="77777777" w:rsidR="005836FE" w:rsidRDefault="005836FE" w:rsidP="005836FE">
      <w:pPr>
        <w:contextualSpacing/>
        <w:jc w:val="both"/>
        <w:rPr>
          <w:rFonts w:ascii="FrankRuehl" w:hAnsi="FrankRuehl" w:cs="FrankRuehl"/>
          <w:sz w:val="26"/>
          <w:szCs w:val="26"/>
        </w:rPr>
      </w:pPr>
    </w:p>
    <w:p w14:paraId="119300C8" w14:textId="77777777" w:rsidR="00456F67" w:rsidRDefault="00456F67" w:rsidP="005836FE">
      <w:pPr>
        <w:contextualSpacing/>
        <w:jc w:val="both"/>
        <w:rPr>
          <w:rFonts w:ascii="FrankRuehl" w:hAnsi="FrankRuehl" w:cs="FrankRuehl"/>
          <w:sz w:val="26"/>
          <w:szCs w:val="26"/>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2778"/>
        <w:gridCol w:w="3182"/>
        <w:gridCol w:w="1163"/>
      </w:tblGrid>
      <w:tr w:rsidR="00456F67" w14:paraId="75D7757C" w14:textId="77777777" w:rsidTr="00456F67">
        <w:trPr>
          <w:trHeight w:val="54"/>
        </w:trPr>
        <w:tc>
          <w:tcPr>
            <w:tcW w:w="821" w:type="pct"/>
            <w:tcBorders>
              <w:top w:val="single" w:sz="4" w:space="0" w:color="auto"/>
              <w:left w:val="single" w:sz="4" w:space="0" w:color="auto"/>
              <w:bottom w:val="single" w:sz="4" w:space="0" w:color="auto"/>
              <w:right w:val="single" w:sz="4" w:space="0" w:color="auto"/>
            </w:tcBorders>
            <w:hideMark/>
          </w:tcPr>
          <w:p w14:paraId="4F91C4B5" w14:textId="77777777" w:rsidR="00456F67" w:rsidRDefault="00456F67" w:rsidP="005836FE">
            <w:pPr>
              <w:contextualSpacing/>
              <w:jc w:val="both"/>
              <w:rPr>
                <w:rFonts w:ascii="FrankRuehl" w:hAnsi="FrankRuehl" w:cs="FrankRuehl"/>
                <w:sz w:val="26"/>
                <w:szCs w:val="26"/>
                <w:rtl/>
              </w:rPr>
            </w:pPr>
            <w:r>
              <w:rPr>
                <w:rFonts w:ascii="FrankRuehl" w:hAnsi="FrankRuehl" w:cs="FrankRuehl"/>
                <w:b/>
                <w:bCs/>
                <w:sz w:val="26"/>
                <w:szCs w:val="26"/>
                <w:rtl/>
              </w:rPr>
              <w:t>מספר תכנית</w:t>
            </w:r>
          </w:p>
        </w:tc>
        <w:tc>
          <w:tcPr>
            <w:tcW w:w="1630" w:type="pct"/>
            <w:tcBorders>
              <w:top w:val="single" w:sz="4" w:space="0" w:color="auto"/>
              <w:left w:val="single" w:sz="4" w:space="0" w:color="auto"/>
              <w:bottom w:val="single" w:sz="4" w:space="0" w:color="auto"/>
              <w:right w:val="single" w:sz="4" w:space="0" w:color="auto"/>
            </w:tcBorders>
            <w:hideMark/>
          </w:tcPr>
          <w:p w14:paraId="26343B9B" w14:textId="77777777" w:rsidR="00456F67" w:rsidRDefault="00456F67" w:rsidP="005836FE">
            <w:pPr>
              <w:contextualSpacing/>
              <w:jc w:val="both"/>
              <w:rPr>
                <w:rFonts w:ascii="FrankRuehl" w:hAnsi="FrankRuehl" w:cs="FrankRuehl"/>
                <w:sz w:val="26"/>
                <w:szCs w:val="26"/>
                <w:rtl/>
              </w:rPr>
            </w:pPr>
            <w:r>
              <w:rPr>
                <w:rFonts w:ascii="FrankRuehl" w:hAnsi="FrankRuehl" w:cs="FrankRuehl"/>
                <w:b/>
                <w:bCs/>
                <w:sz w:val="26"/>
                <w:szCs w:val="26"/>
                <w:rtl/>
              </w:rPr>
              <w:t>שם תכנית</w:t>
            </w:r>
          </w:p>
        </w:tc>
        <w:tc>
          <w:tcPr>
            <w:tcW w:w="1867" w:type="pct"/>
            <w:tcBorders>
              <w:top w:val="single" w:sz="4" w:space="0" w:color="auto"/>
              <w:left w:val="single" w:sz="4" w:space="0" w:color="auto"/>
              <w:bottom w:val="single" w:sz="4" w:space="0" w:color="auto"/>
              <w:right w:val="single" w:sz="4" w:space="0" w:color="auto"/>
            </w:tcBorders>
            <w:hideMark/>
          </w:tcPr>
          <w:p w14:paraId="3CDF79B5" w14:textId="77777777" w:rsidR="00456F67" w:rsidRDefault="00456F67" w:rsidP="005836FE">
            <w:pPr>
              <w:contextualSpacing/>
              <w:jc w:val="both"/>
              <w:rPr>
                <w:rFonts w:ascii="FrankRuehl" w:hAnsi="FrankRuehl" w:cs="FrankRuehl"/>
                <w:sz w:val="26"/>
                <w:szCs w:val="26"/>
                <w:rtl/>
              </w:rPr>
            </w:pPr>
            <w:r>
              <w:rPr>
                <w:rFonts w:ascii="FrankRuehl" w:hAnsi="FrankRuehl" w:cs="FrankRuehl"/>
                <w:b/>
                <w:bCs/>
                <w:sz w:val="26"/>
                <w:szCs w:val="26"/>
                <w:rtl/>
              </w:rPr>
              <w:t>נושא</w:t>
            </w:r>
          </w:p>
        </w:tc>
        <w:tc>
          <w:tcPr>
            <w:tcW w:w="682" w:type="pct"/>
            <w:tcBorders>
              <w:top w:val="single" w:sz="4" w:space="0" w:color="auto"/>
              <w:left w:val="single" w:sz="4" w:space="0" w:color="auto"/>
              <w:bottom w:val="single" w:sz="4" w:space="0" w:color="auto"/>
              <w:right w:val="single" w:sz="4" w:space="0" w:color="auto"/>
            </w:tcBorders>
            <w:hideMark/>
          </w:tcPr>
          <w:p w14:paraId="644CEAC5" w14:textId="77777777" w:rsidR="00456F67" w:rsidRDefault="00456F67" w:rsidP="005836FE">
            <w:pPr>
              <w:contextualSpacing/>
              <w:jc w:val="both"/>
              <w:rPr>
                <w:rFonts w:ascii="FrankRuehl" w:hAnsi="FrankRuehl" w:cs="FrankRuehl"/>
                <w:sz w:val="26"/>
                <w:szCs w:val="26"/>
                <w:rtl/>
              </w:rPr>
            </w:pPr>
            <w:r>
              <w:rPr>
                <w:rFonts w:ascii="FrankRuehl" w:hAnsi="FrankRuehl" w:cs="FrankRuehl"/>
                <w:b/>
                <w:bCs/>
                <w:sz w:val="26"/>
                <w:szCs w:val="26"/>
                <w:rtl/>
              </w:rPr>
              <w:t>סכום</w:t>
            </w:r>
          </w:p>
        </w:tc>
      </w:tr>
      <w:tr w:rsidR="00456F67" w14:paraId="0FA02D9F" w14:textId="77777777" w:rsidTr="00456F67">
        <w:trPr>
          <w:trHeight w:val="556"/>
        </w:trPr>
        <w:tc>
          <w:tcPr>
            <w:tcW w:w="821" w:type="pct"/>
            <w:tcBorders>
              <w:top w:val="single" w:sz="4" w:space="0" w:color="auto"/>
              <w:left w:val="single" w:sz="4" w:space="0" w:color="auto"/>
              <w:bottom w:val="single" w:sz="4" w:space="0" w:color="auto"/>
              <w:right w:val="single" w:sz="4" w:space="0" w:color="auto"/>
            </w:tcBorders>
            <w:hideMark/>
          </w:tcPr>
          <w:p w14:paraId="65C301CB" w14:textId="77777777" w:rsidR="00456F67" w:rsidRDefault="00456F67" w:rsidP="005836FE">
            <w:pPr>
              <w:contextualSpacing/>
              <w:jc w:val="both"/>
              <w:rPr>
                <w:rFonts w:ascii="FrankRuehl" w:hAnsi="FrankRuehl" w:cs="FrankRuehl"/>
                <w:sz w:val="26"/>
                <w:szCs w:val="26"/>
                <w:rtl/>
              </w:rPr>
            </w:pPr>
            <w:r>
              <w:rPr>
                <w:rFonts w:ascii="FrankRuehl" w:hAnsi="FrankRuehl" w:cs="FrankRuehl"/>
                <w:color w:val="000000"/>
                <w:sz w:val="26"/>
                <w:szCs w:val="26"/>
              </w:rPr>
              <w:t>301204</w:t>
            </w:r>
          </w:p>
        </w:tc>
        <w:tc>
          <w:tcPr>
            <w:tcW w:w="1630" w:type="pct"/>
            <w:tcBorders>
              <w:top w:val="single" w:sz="4" w:space="0" w:color="auto"/>
              <w:left w:val="single" w:sz="4" w:space="0" w:color="auto"/>
              <w:bottom w:val="single" w:sz="4" w:space="0" w:color="auto"/>
              <w:right w:val="single" w:sz="4" w:space="0" w:color="auto"/>
            </w:tcBorders>
            <w:hideMark/>
          </w:tcPr>
          <w:p w14:paraId="0528AA62" w14:textId="77777777" w:rsidR="00456F67" w:rsidRDefault="00456F67" w:rsidP="005836FE">
            <w:pPr>
              <w:contextualSpacing/>
              <w:jc w:val="both"/>
              <w:rPr>
                <w:rFonts w:ascii="FrankRuehl" w:hAnsi="FrankRuehl" w:cs="FrankRuehl"/>
                <w:sz w:val="26"/>
                <w:szCs w:val="26"/>
                <w:rtl/>
              </w:rPr>
            </w:pPr>
            <w:r>
              <w:rPr>
                <w:rFonts w:ascii="FrankRuehl" w:hAnsi="FrankRuehl" w:cs="FrankRuehl"/>
                <w:color w:val="000000"/>
                <w:sz w:val="26"/>
                <w:szCs w:val="26"/>
                <w:rtl/>
              </w:rPr>
              <w:t>חטיבות רשויות, ארגונים וקהילה</w:t>
            </w:r>
          </w:p>
        </w:tc>
        <w:tc>
          <w:tcPr>
            <w:tcW w:w="1867" w:type="pct"/>
            <w:tcBorders>
              <w:top w:val="single" w:sz="4" w:space="0" w:color="auto"/>
              <w:left w:val="single" w:sz="4" w:space="0" w:color="auto"/>
              <w:bottom w:val="single" w:sz="4" w:space="0" w:color="auto"/>
              <w:right w:val="single" w:sz="4" w:space="0" w:color="auto"/>
            </w:tcBorders>
            <w:hideMark/>
          </w:tcPr>
          <w:p w14:paraId="041D18B8" w14:textId="77777777" w:rsidR="00456F67" w:rsidRDefault="00456F67" w:rsidP="005836FE">
            <w:pPr>
              <w:contextualSpacing/>
              <w:jc w:val="both"/>
              <w:rPr>
                <w:rFonts w:ascii="FrankRuehl" w:hAnsi="FrankRuehl" w:cs="FrankRuehl"/>
                <w:sz w:val="26"/>
                <w:szCs w:val="26"/>
                <w:rtl/>
              </w:rPr>
            </w:pPr>
            <w:r>
              <w:rPr>
                <w:rFonts w:ascii="FrankRuehl" w:hAnsi="FrankRuehl" w:cs="FrankRuehl"/>
                <w:sz w:val="26"/>
                <w:szCs w:val="26"/>
                <w:rtl/>
              </w:rPr>
              <w:t>עידוד ערים קולטות עליה</w:t>
            </w:r>
          </w:p>
        </w:tc>
        <w:tc>
          <w:tcPr>
            <w:tcW w:w="682" w:type="pct"/>
            <w:tcBorders>
              <w:top w:val="single" w:sz="4" w:space="0" w:color="auto"/>
              <w:left w:val="single" w:sz="4" w:space="0" w:color="auto"/>
              <w:bottom w:val="single" w:sz="4" w:space="0" w:color="auto"/>
              <w:right w:val="single" w:sz="4" w:space="0" w:color="auto"/>
            </w:tcBorders>
            <w:hideMark/>
          </w:tcPr>
          <w:p w14:paraId="6B49F746" w14:textId="77777777" w:rsidR="00456F67" w:rsidRDefault="00456F67" w:rsidP="005836FE">
            <w:pPr>
              <w:contextualSpacing/>
              <w:jc w:val="both"/>
              <w:rPr>
                <w:rFonts w:ascii="FrankRuehl" w:hAnsi="FrankRuehl" w:cs="FrankRuehl"/>
                <w:color w:val="000000"/>
                <w:sz w:val="26"/>
                <w:szCs w:val="26"/>
                <w:rtl/>
              </w:rPr>
            </w:pPr>
            <w:r>
              <w:rPr>
                <w:rFonts w:ascii="FrankRuehl" w:hAnsi="FrankRuehl" w:cs="FrankRuehl"/>
                <w:color w:val="000000"/>
                <w:sz w:val="26"/>
                <w:szCs w:val="26"/>
                <w:rtl/>
              </w:rPr>
              <w:t>29,100</w:t>
            </w:r>
          </w:p>
        </w:tc>
      </w:tr>
    </w:tbl>
    <w:p w14:paraId="0F02E38A" w14:textId="77777777" w:rsidR="00456F67" w:rsidRDefault="00456F67" w:rsidP="005836FE">
      <w:pPr>
        <w:contextualSpacing/>
        <w:jc w:val="both"/>
        <w:rPr>
          <w:rFonts w:ascii="FrankRuehl" w:hAnsi="FrankRuehl" w:cs="FrankRuehl"/>
          <w:sz w:val="26"/>
          <w:szCs w:val="26"/>
          <w:rtl/>
          <w:lang w:eastAsia="en-US"/>
        </w:rPr>
      </w:pPr>
    </w:p>
    <w:p w14:paraId="7CDFD023" w14:textId="77777777" w:rsidR="00456F67" w:rsidRDefault="00456F67" w:rsidP="005836FE">
      <w:pPr>
        <w:contextualSpacing/>
        <w:jc w:val="both"/>
        <w:rPr>
          <w:rFonts w:ascii="FrankRuehl" w:hAnsi="FrankRuehl" w:cs="FrankRuehl"/>
          <w:sz w:val="26"/>
          <w:szCs w:val="26"/>
          <w:rtl/>
        </w:rPr>
      </w:pPr>
      <w:r>
        <w:rPr>
          <w:rFonts w:ascii="FrankRuehl" w:hAnsi="FrankRuehl" w:cs="FrankRuehl"/>
          <w:b/>
          <w:bCs/>
          <w:sz w:val="26"/>
          <w:szCs w:val="26"/>
          <w:rtl/>
        </w:rPr>
        <w:t>השפעה על כוח אדם:</w:t>
      </w:r>
      <w:r>
        <w:rPr>
          <w:rFonts w:ascii="FrankRuehl" w:hAnsi="FrankRuehl" w:cs="FrankRuehl"/>
          <w:sz w:val="26"/>
          <w:szCs w:val="26"/>
          <w:rtl/>
        </w:rPr>
        <w:t xml:space="preserve"> אין.</w:t>
      </w:r>
    </w:p>
    <w:p w14:paraId="42308FF5"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5C0F712F" w14:textId="77777777" w:rsidR="00436E4E" w:rsidRDefault="00C13197">
      <w:pPr>
        <w:tabs>
          <w:tab w:val="center" w:pos="6867"/>
        </w:tabs>
        <w:rPr>
          <w:rFonts w:cs="FrankRuehl"/>
          <w:sz w:val="26"/>
          <w:szCs w:val="26"/>
          <w:rtl/>
        </w:rPr>
      </w:pPr>
      <w:r>
        <w:rPr>
          <w:rFonts w:cs="FrankRuehl"/>
          <w:sz w:val="26"/>
          <w:szCs w:val="26"/>
          <w:rtl/>
        </w:rPr>
        <w:tab/>
      </w:r>
    </w:p>
    <w:p w14:paraId="57760757" w14:textId="77777777" w:rsidR="00C13197" w:rsidRPr="002E1D22" w:rsidRDefault="00C13197">
      <w:pPr>
        <w:tabs>
          <w:tab w:val="center" w:pos="6867"/>
        </w:tabs>
        <w:rPr>
          <w:rFonts w:cs="FrankRuehl"/>
          <w:sz w:val="26"/>
          <w:szCs w:val="26"/>
        </w:rPr>
      </w:pPr>
      <w:r>
        <w:rPr>
          <w:rFonts w:cs="FrankRuehl"/>
          <w:sz w:val="26"/>
          <w:szCs w:val="26"/>
          <w:rtl/>
        </w:rPr>
        <w:tab/>
      </w:r>
      <w:bookmarkStart w:id="9" w:name="Sign_Image"/>
      <w:bookmarkEnd w:id="9"/>
    </w:p>
    <w:p w14:paraId="66048AB1"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57498C54"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3B995F2A"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05E49046" w14:textId="77777777" w:rsidR="00436E4E" w:rsidRPr="002E1D22" w:rsidRDefault="00436E4E">
      <w:pPr>
        <w:rPr>
          <w:rFonts w:cs="FrankRuehl"/>
          <w:sz w:val="26"/>
          <w:szCs w:val="26"/>
          <w:rtl/>
        </w:rPr>
      </w:pPr>
      <w:r w:rsidRPr="002E1D22">
        <w:rPr>
          <w:rFonts w:cs="FrankRuehl"/>
          <w:sz w:val="26"/>
          <w:szCs w:val="26"/>
          <w:rtl/>
        </w:rPr>
        <w:t>העתק:</w:t>
      </w:r>
    </w:p>
    <w:p w14:paraId="2C7F81E2" w14:textId="77777777" w:rsidR="00436E4E" w:rsidRPr="002E1D22" w:rsidRDefault="00436E4E">
      <w:pPr>
        <w:rPr>
          <w:rFonts w:cs="FrankRuehl"/>
          <w:sz w:val="26"/>
          <w:szCs w:val="26"/>
          <w:rtl/>
        </w:rPr>
      </w:pPr>
      <w:r w:rsidRPr="002E1D22">
        <w:rPr>
          <w:rFonts w:cs="FrankRuehl"/>
          <w:sz w:val="26"/>
          <w:szCs w:val="26"/>
          <w:rtl/>
        </w:rPr>
        <w:t>החשב הכללי</w:t>
      </w:r>
    </w:p>
    <w:p w14:paraId="32A67446" w14:textId="77777777" w:rsidR="00436E4E" w:rsidRPr="002E1D22" w:rsidRDefault="00436E4E">
      <w:pPr>
        <w:rPr>
          <w:rFonts w:cs="FrankRuehl"/>
          <w:sz w:val="26"/>
          <w:szCs w:val="26"/>
          <w:rtl/>
        </w:rPr>
      </w:pPr>
      <w:r w:rsidRPr="002E1D22">
        <w:rPr>
          <w:rFonts w:cs="FrankRuehl"/>
          <w:sz w:val="26"/>
          <w:szCs w:val="26"/>
          <w:rtl/>
        </w:rPr>
        <w:t>מבקר המדינה (2)</w:t>
      </w:r>
    </w:p>
    <w:p w14:paraId="5F544D9B" w14:textId="77777777" w:rsidR="00762B91" w:rsidRDefault="00762B91">
      <w:pPr>
        <w:rPr>
          <w:rFonts w:cs="FrankRuehl"/>
          <w:sz w:val="26"/>
          <w:szCs w:val="26"/>
          <w:rtl/>
        </w:rPr>
      </w:pPr>
      <w:bookmarkStart w:id="10" w:name="TAKZIV22"/>
      <w:r>
        <w:rPr>
          <w:rFonts w:cs="FrankRuehl"/>
          <w:sz w:val="26"/>
          <w:szCs w:val="26"/>
          <w:rtl/>
        </w:rPr>
        <w:t>חשב משרד הקליטה</w:t>
      </w:r>
    </w:p>
    <w:p w14:paraId="36C76B9C" w14:textId="40321B02" w:rsidR="00436E4E" w:rsidRPr="002E1D22" w:rsidRDefault="00762B91">
      <w:pPr>
        <w:rPr>
          <w:rFonts w:cs="FrankRuehl"/>
          <w:sz w:val="26"/>
          <w:szCs w:val="26"/>
          <w:rtl/>
        </w:rPr>
      </w:pPr>
      <w:r>
        <w:rPr>
          <w:rFonts w:cs="FrankRuehl"/>
          <w:sz w:val="26"/>
          <w:szCs w:val="26"/>
          <w:rtl/>
        </w:rPr>
        <w:t>חשב החשב הכללי</w:t>
      </w:r>
      <w:bookmarkEnd w:id="10"/>
    </w:p>
    <w:p w14:paraId="1B7812C5" w14:textId="04F7BAE1" w:rsidR="00436E4E" w:rsidRPr="002E1D22" w:rsidRDefault="00436E4E">
      <w:pPr>
        <w:rPr>
          <w:rFonts w:cs="FrankRuehl"/>
          <w:sz w:val="26"/>
          <w:szCs w:val="26"/>
          <w:rtl/>
        </w:rPr>
      </w:pPr>
      <w:r w:rsidRPr="002E1D22">
        <w:rPr>
          <w:rFonts w:cs="FrankRuehl"/>
          <w:sz w:val="26"/>
          <w:szCs w:val="26"/>
          <w:rtl/>
        </w:rPr>
        <w:t xml:space="preserve">קצין תקציבים </w:t>
      </w:r>
      <w:bookmarkStart w:id="11" w:name="TAKZIV6_1"/>
      <w:r w:rsidR="00762B91">
        <w:rPr>
          <w:rFonts w:cs="FrankRuehl"/>
          <w:sz w:val="26"/>
          <w:szCs w:val="26"/>
          <w:rtl/>
        </w:rPr>
        <w:t>משרד העלייה והקליטה</w:t>
      </w:r>
      <w:bookmarkEnd w:id="11"/>
    </w:p>
    <w:p w14:paraId="6874D3E6" w14:textId="2EC8E9BC" w:rsidR="00436E4E" w:rsidRPr="002E1D22" w:rsidRDefault="00436E4E">
      <w:pPr>
        <w:rPr>
          <w:rFonts w:cs="FrankRuehl"/>
          <w:sz w:val="26"/>
          <w:szCs w:val="26"/>
          <w:rtl/>
        </w:rPr>
      </w:pPr>
      <w:r w:rsidRPr="002E1D22">
        <w:rPr>
          <w:rFonts w:cs="FrankRuehl"/>
          <w:sz w:val="26"/>
          <w:szCs w:val="26"/>
          <w:rtl/>
        </w:rPr>
        <w:t xml:space="preserve">רפרנט </w:t>
      </w:r>
      <w:bookmarkStart w:id="12" w:name="TAKZIV6_2"/>
      <w:r w:rsidR="00762B91">
        <w:rPr>
          <w:rFonts w:cs="FrankRuehl"/>
          <w:sz w:val="26"/>
          <w:szCs w:val="26"/>
          <w:rtl/>
        </w:rPr>
        <w:t>משרד העלייה והקליטה</w:t>
      </w:r>
      <w:bookmarkEnd w:id="12"/>
    </w:p>
    <w:p w14:paraId="64F21191" w14:textId="77777777" w:rsidR="00436E4E" w:rsidRPr="002E1D22" w:rsidRDefault="00436E4E">
      <w:pPr>
        <w:rPr>
          <w:rFonts w:cs="FrankRuehl"/>
          <w:sz w:val="26"/>
          <w:szCs w:val="26"/>
          <w:rtl/>
        </w:rPr>
      </w:pPr>
      <w:bookmarkStart w:id="13" w:name="TAKZIV23"/>
      <w:bookmarkEnd w:id="13"/>
    </w:p>
    <w:p w14:paraId="3598E0E9" w14:textId="77777777" w:rsidR="00436E4E" w:rsidRPr="002E1D22" w:rsidRDefault="00436E4E">
      <w:pPr>
        <w:rPr>
          <w:rFonts w:cs="FrankRuehl"/>
          <w:sz w:val="26"/>
          <w:szCs w:val="26"/>
          <w:rtl/>
        </w:rPr>
      </w:pPr>
    </w:p>
    <w:p w14:paraId="70D180FE" w14:textId="77777777" w:rsidR="00456F67" w:rsidRDefault="00456F67" w:rsidP="00456F67">
      <w:pPr>
        <w:contextualSpacing/>
        <w:rPr>
          <w:rFonts w:ascii="FrankRuehl" w:hAnsi="FrankRuehl" w:cs="FrankRuehl"/>
          <w:sz w:val="26"/>
          <w:szCs w:val="26"/>
          <w:rtl/>
        </w:rPr>
      </w:pPr>
      <w:bookmarkStart w:id="14" w:name="TAKZIV25"/>
      <w:bookmarkEnd w:id="14"/>
    </w:p>
    <w:tbl>
      <w:tblPr>
        <w:tblW w:w="10020" w:type="dxa"/>
        <w:jc w:val="center"/>
        <w:tblLook w:val="04A0" w:firstRow="1" w:lastRow="0" w:firstColumn="1" w:lastColumn="0" w:noHBand="0" w:noVBand="1"/>
      </w:tblPr>
      <w:tblGrid>
        <w:gridCol w:w="1160"/>
        <w:gridCol w:w="1440"/>
        <w:gridCol w:w="1000"/>
        <w:gridCol w:w="1160"/>
        <w:gridCol w:w="1000"/>
        <w:gridCol w:w="1160"/>
        <w:gridCol w:w="1000"/>
        <w:gridCol w:w="1160"/>
        <w:gridCol w:w="940"/>
      </w:tblGrid>
      <w:tr w:rsidR="00456F67" w14:paraId="2C91F19D" w14:textId="77777777" w:rsidTr="001723BD">
        <w:trPr>
          <w:trHeight w:val="288"/>
          <w:jc w:val="center"/>
        </w:trPr>
        <w:tc>
          <w:tcPr>
            <w:tcW w:w="9080" w:type="dxa"/>
            <w:gridSpan w:val="8"/>
            <w:vAlign w:val="center"/>
            <w:hideMark/>
          </w:tcPr>
          <w:p w14:paraId="304E84DD" w14:textId="77777777" w:rsidR="00456F67" w:rsidRDefault="00456F67" w:rsidP="001723BD">
            <w:pPr>
              <w:contextualSpacing/>
              <w:jc w:val="center"/>
              <w:rPr>
                <w:rFonts w:ascii="Calibri" w:hAnsi="Calibri" w:cs="Calibri"/>
                <w:b/>
                <w:bCs/>
                <w:color w:val="000000"/>
                <w:szCs w:val="20"/>
                <w:rtl/>
                <w:lang w:val="en-IL" w:eastAsia="en-IL"/>
              </w:rPr>
            </w:pPr>
            <w:r>
              <w:rPr>
                <w:rFonts w:ascii="Calibri" w:hAnsi="Calibri" w:cs="Calibri"/>
                <w:b/>
                <w:bCs/>
                <w:color w:val="000000"/>
                <w:szCs w:val="20"/>
                <w:rtl/>
                <w:lang w:val="en-IL" w:eastAsia="en-IL"/>
              </w:rPr>
              <w:t>היסטוריה תקציבית של הפנייה - הוצאה נטו</w:t>
            </w:r>
          </w:p>
        </w:tc>
        <w:tc>
          <w:tcPr>
            <w:tcW w:w="940" w:type="dxa"/>
            <w:noWrap/>
            <w:vAlign w:val="bottom"/>
            <w:hideMark/>
          </w:tcPr>
          <w:p w14:paraId="4F4BDE09" w14:textId="77777777" w:rsidR="00456F67" w:rsidRDefault="00456F67" w:rsidP="001723BD">
            <w:pPr>
              <w:rPr>
                <w:rFonts w:ascii="Calibri" w:hAnsi="Calibri" w:cs="Calibri"/>
                <w:b/>
                <w:bCs/>
                <w:color w:val="000000"/>
                <w:szCs w:val="20"/>
                <w:lang w:val="en-IL" w:eastAsia="en-IL"/>
              </w:rPr>
            </w:pPr>
          </w:p>
        </w:tc>
      </w:tr>
      <w:tr w:rsidR="00456F67" w14:paraId="1B6553A5" w14:textId="77777777" w:rsidTr="001723BD">
        <w:trPr>
          <w:trHeight w:val="288"/>
          <w:jc w:val="center"/>
        </w:trPr>
        <w:tc>
          <w:tcPr>
            <w:tcW w:w="1160" w:type="dxa"/>
            <w:vAlign w:val="center"/>
            <w:hideMark/>
          </w:tcPr>
          <w:p w14:paraId="75EECE8D" w14:textId="77777777" w:rsidR="00456F67" w:rsidRDefault="00456F67" w:rsidP="001723BD">
            <w:pPr>
              <w:bidi w:val="0"/>
              <w:rPr>
                <w:rFonts w:ascii="Calibri" w:hAnsi="Calibri" w:cs="Arial"/>
                <w:szCs w:val="20"/>
                <w:lang w:val="en-IL" w:eastAsia="en-IL"/>
              </w:rPr>
            </w:pPr>
          </w:p>
        </w:tc>
        <w:tc>
          <w:tcPr>
            <w:tcW w:w="1440" w:type="dxa"/>
            <w:noWrap/>
            <w:vAlign w:val="bottom"/>
            <w:hideMark/>
          </w:tcPr>
          <w:p w14:paraId="6576F21A" w14:textId="77777777" w:rsidR="00456F67" w:rsidRDefault="00456F67" w:rsidP="001723BD">
            <w:pPr>
              <w:bidi w:val="0"/>
              <w:rPr>
                <w:rFonts w:ascii="Calibri" w:hAnsi="Calibri" w:cs="Arial"/>
                <w:szCs w:val="20"/>
                <w:lang w:val="en-IL" w:eastAsia="en-IL"/>
              </w:rPr>
            </w:pPr>
          </w:p>
        </w:tc>
        <w:tc>
          <w:tcPr>
            <w:tcW w:w="1000" w:type="dxa"/>
            <w:noWrap/>
            <w:vAlign w:val="bottom"/>
            <w:hideMark/>
          </w:tcPr>
          <w:p w14:paraId="1F32CB74" w14:textId="77777777" w:rsidR="00456F67" w:rsidRDefault="00456F67" w:rsidP="001723BD">
            <w:pPr>
              <w:bidi w:val="0"/>
              <w:rPr>
                <w:rFonts w:ascii="Calibri" w:hAnsi="Calibri" w:cs="Arial"/>
                <w:szCs w:val="20"/>
                <w:lang w:val="en-IL" w:eastAsia="en-IL"/>
              </w:rPr>
            </w:pPr>
          </w:p>
        </w:tc>
        <w:tc>
          <w:tcPr>
            <w:tcW w:w="1160" w:type="dxa"/>
            <w:noWrap/>
            <w:vAlign w:val="bottom"/>
            <w:hideMark/>
          </w:tcPr>
          <w:p w14:paraId="7AB3EC37" w14:textId="77777777" w:rsidR="00456F67" w:rsidRDefault="00456F67" w:rsidP="001723BD">
            <w:pPr>
              <w:bidi w:val="0"/>
              <w:rPr>
                <w:rFonts w:ascii="Calibri" w:hAnsi="Calibri" w:cs="Arial"/>
                <w:szCs w:val="20"/>
                <w:lang w:val="en-IL" w:eastAsia="en-IL"/>
              </w:rPr>
            </w:pPr>
          </w:p>
        </w:tc>
        <w:tc>
          <w:tcPr>
            <w:tcW w:w="1000" w:type="dxa"/>
            <w:noWrap/>
            <w:vAlign w:val="bottom"/>
            <w:hideMark/>
          </w:tcPr>
          <w:p w14:paraId="6379FA55" w14:textId="77777777" w:rsidR="00456F67" w:rsidRDefault="00456F67" w:rsidP="001723BD">
            <w:pPr>
              <w:bidi w:val="0"/>
              <w:rPr>
                <w:rFonts w:ascii="Calibri" w:hAnsi="Calibri" w:cs="Arial"/>
                <w:szCs w:val="20"/>
                <w:lang w:val="en-IL" w:eastAsia="en-IL"/>
              </w:rPr>
            </w:pPr>
          </w:p>
        </w:tc>
        <w:tc>
          <w:tcPr>
            <w:tcW w:w="1160" w:type="dxa"/>
            <w:noWrap/>
            <w:vAlign w:val="bottom"/>
            <w:hideMark/>
          </w:tcPr>
          <w:p w14:paraId="59856E90" w14:textId="77777777" w:rsidR="00456F67" w:rsidRDefault="00456F67" w:rsidP="001723BD">
            <w:pPr>
              <w:bidi w:val="0"/>
              <w:rPr>
                <w:rFonts w:ascii="Calibri" w:hAnsi="Calibri" w:cs="Arial"/>
                <w:szCs w:val="20"/>
                <w:lang w:val="en-IL" w:eastAsia="en-IL"/>
              </w:rPr>
            </w:pPr>
          </w:p>
        </w:tc>
        <w:tc>
          <w:tcPr>
            <w:tcW w:w="1000" w:type="dxa"/>
            <w:noWrap/>
            <w:vAlign w:val="bottom"/>
            <w:hideMark/>
          </w:tcPr>
          <w:p w14:paraId="6EEF626D" w14:textId="77777777" w:rsidR="00456F67" w:rsidRDefault="00456F67" w:rsidP="001723BD">
            <w:pPr>
              <w:bidi w:val="0"/>
              <w:rPr>
                <w:rFonts w:ascii="Calibri" w:hAnsi="Calibri" w:cs="Arial"/>
                <w:szCs w:val="20"/>
                <w:lang w:val="en-IL" w:eastAsia="en-IL"/>
              </w:rPr>
            </w:pPr>
          </w:p>
        </w:tc>
        <w:tc>
          <w:tcPr>
            <w:tcW w:w="1160" w:type="dxa"/>
            <w:noWrap/>
            <w:vAlign w:val="bottom"/>
            <w:hideMark/>
          </w:tcPr>
          <w:p w14:paraId="709FE0D0" w14:textId="77777777" w:rsidR="00456F67" w:rsidRDefault="00456F67" w:rsidP="001723BD">
            <w:pPr>
              <w:bidi w:val="0"/>
              <w:rPr>
                <w:rFonts w:ascii="Calibri" w:hAnsi="Calibri" w:cs="Arial"/>
                <w:szCs w:val="20"/>
                <w:lang w:val="en-IL" w:eastAsia="en-IL"/>
              </w:rPr>
            </w:pPr>
          </w:p>
        </w:tc>
        <w:tc>
          <w:tcPr>
            <w:tcW w:w="940" w:type="dxa"/>
            <w:noWrap/>
            <w:vAlign w:val="bottom"/>
            <w:hideMark/>
          </w:tcPr>
          <w:p w14:paraId="40807716" w14:textId="77777777" w:rsidR="00456F67" w:rsidRDefault="00456F67" w:rsidP="001723BD">
            <w:pPr>
              <w:bidi w:val="0"/>
              <w:rPr>
                <w:rFonts w:ascii="Calibri" w:hAnsi="Calibri" w:cs="Arial"/>
                <w:szCs w:val="20"/>
                <w:lang w:val="en-IL" w:eastAsia="en-IL"/>
              </w:rPr>
            </w:pPr>
          </w:p>
        </w:tc>
      </w:tr>
      <w:tr w:rsidR="00456F67" w14:paraId="224D001F" w14:textId="77777777" w:rsidTr="001723BD">
        <w:trPr>
          <w:trHeight w:val="612"/>
          <w:jc w:val="center"/>
        </w:trPr>
        <w:tc>
          <w:tcPr>
            <w:tcW w:w="1160" w:type="dxa"/>
            <w:tcBorders>
              <w:top w:val="single" w:sz="4" w:space="0" w:color="979991"/>
              <w:left w:val="single" w:sz="4" w:space="0" w:color="979991"/>
              <w:bottom w:val="nil"/>
              <w:right w:val="nil"/>
            </w:tcBorders>
            <w:shd w:val="clear" w:color="auto" w:fill="F0F4FA"/>
            <w:vAlign w:val="center"/>
            <w:hideMark/>
          </w:tcPr>
          <w:p w14:paraId="1946B3D1" w14:textId="77777777" w:rsidR="00456F67" w:rsidRDefault="00456F67" w:rsidP="001723BD">
            <w:pPr>
              <w:contextualSpacing/>
              <w:jc w:val="center"/>
              <w:rPr>
                <w:rFonts w:ascii="Calibri" w:hAnsi="Calibri" w:cs="Calibri"/>
                <w:b/>
                <w:bCs/>
                <w:color w:val="000000"/>
                <w:sz w:val="16"/>
                <w:szCs w:val="16"/>
                <w:lang w:val="en-IL" w:eastAsia="en-IL"/>
              </w:rPr>
            </w:pPr>
            <w:r>
              <w:rPr>
                <w:rFonts w:ascii="Calibri" w:hAnsi="Calibri" w:cs="Calibri"/>
                <w:b/>
                <w:bCs/>
                <w:color w:val="000000"/>
                <w:sz w:val="16"/>
                <w:szCs w:val="16"/>
                <w:rtl/>
                <w:lang w:val="en-IL" w:eastAsia="en-IL"/>
              </w:rPr>
              <w:t>קוד תוכנית</w:t>
            </w:r>
          </w:p>
        </w:tc>
        <w:tc>
          <w:tcPr>
            <w:tcW w:w="1440" w:type="dxa"/>
            <w:tcBorders>
              <w:top w:val="single" w:sz="4" w:space="0" w:color="979991"/>
              <w:left w:val="single" w:sz="4" w:space="0" w:color="979991"/>
              <w:bottom w:val="single" w:sz="4" w:space="0" w:color="979991"/>
              <w:right w:val="nil"/>
            </w:tcBorders>
            <w:shd w:val="clear" w:color="auto" w:fill="F0F4FA"/>
            <w:vAlign w:val="center"/>
            <w:hideMark/>
          </w:tcPr>
          <w:p w14:paraId="486D085B" w14:textId="77777777" w:rsidR="00456F67" w:rsidRDefault="00456F67" w:rsidP="001723BD">
            <w:pPr>
              <w:contextualSpacing/>
              <w:jc w:val="center"/>
              <w:rPr>
                <w:rFonts w:ascii="Calibri" w:hAnsi="Calibri" w:cs="Calibri"/>
                <w:b/>
                <w:bCs/>
                <w:color w:val="000000"/>
                <w:sz w:val="16"/>
                <w:szCs w:val="16"/>
                <w:lang w:val="en-IL" w:eastAsia="en-IL"/>
              </w:rPr>
            </w:pPr>
            <w:r>
              <w:rPr>
                <w:rFonts w:ascii="Calibri" w:hAnsi="Calibri" w:cs="Calibri"/>
                <w:b/>
                <w:bCs/>
                <w:color w:val="000000"/>
                <w:sz w:val="16"/>
                <w:szCs w:val="16"/>
                <w:rtl/>
                <w:lang w:val="en-IL" w:eastAsia="en-IL"/>
              </w:rPr>
              <w:t>השינוי התקציב המוצע בפנייה הוצאות נטו</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19E66413" w14:textId="77777777" w:rsidR="00456F67" w:rsidRDefault="00456F67" w:rsidP="001723BD">
            <w:pPr>
              <w:contextualSpacing/>
              <w:jc w:val="center"/>
              <w:rPr>
                <w:rFonts w:ascii="Calibri" w:hAnsi="Calibri" w:cs="Calibri"/>
                <w:b/>
                <w:bCs/>
                <w:color w:val="000000"/>
                <w:sz w:val="16"/>
                <w:szCs w:val="16"/>
                <w:rtl/>
                <w:lang w:val="en-IL" w:eastAsia="en-IL"/>
              </w:rPr>
            </w:pPr>
            <w:r>
              <w:rPr>
                <w:rFonts w:ascii="Calibri" w:hAnsi="Calibri" w:cs="Calibri"/>
                <w:b/>
                <w:bCs/>
                <w:color w:val="000000"/>
                <w:sz w:val="16"/>
                <w:szCs w:val="16"/>
                <w:rtl/>
                <w:lang w:val="en-IL" w:eastAsia="en-IL"/>
              </w:rPr>
              <w:t>מקורי 2026</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3699FEA6" w14:textId="77777777" w:rsidR="00456F67" w:rsidRDefault="00456F67" w:rsidP="001723BD">
            <w:pPr>
              <w:contextualSpacing/>
              <w:jc w:val="center"/>
              <w:rPr>
                <w:rFonts w:ascii="Calibri" w:hAnsi="Calibri" w:cs="Calibri"/>
                <w:b/>
                <w:bCs/>
                <w:color w:val="000000"/>
                <w:sz w:val="16"/>
                <w:szCs w:val="16"/>
                <w:rtl/>
                <w:lang w:val="en-IL" w:eastAsia="en-IL"/>
              </w:rPr>
            </w:pPr>
            <w:r>
              <w:rPr>
                <w:rFonts w:ascii="Calibri" w:hAnsi="Calibri" w:cs="Calibri"/>
                <w:b/>
                <w:bCs/>
                <w:color w:val="000000"/>
                <w:sz w:val="16"/>
                <w:szCs w:val="16"/>
                <w:rtl/>
                <w:lang w:val="en-IL" w:eastAsia="en-IL"/>
              </w:rPr>
              <w:t xml:space="preserve">מאושר 2025 בניכוי עודפים שעברו ב-2025 </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4CCB06A9" w14:textId="77777777" w:rsidR="00456F67" w:rsidRDefault="00456F67" w:rsidP="001723BD">
            <w:pPr>
              <w:contextualSpacing/>
              <w:jc w:val="center"/>
              <w:rPr>
                <w:rFonts w:ascii="Calibri" w:hAnsi="Calibri" w:cs="Calibri"/>
                <w:b/>
                <w:bCs/>
                <w:color w:val="000000"/>
                <w:sz w:val="16"/>
                <w:szCs w:val="16"/>
                <w:rtl/>
                <w:lang w:val="en-IL" w:eastAsia="en-IL"/>
              </w:rPr>
            </w:pPr>
            <w:r>
              <w:rPr>
                <w:rFonts w:ascii="Calibri" w:hAnsi="Calibri" w:cs="Calibri"/>
                <w:b/>
                <w:bCs/>
                <w:color w:val="000000"/>
                <w:sz w:val="16"/>
                <w:szCs w:val="16"/>
                <w:rtl/>
                <w:lang w:val="en-IL" w:eastAsia="en-IL"/>
              </w:rPr>
              <w:t>מקורי 2025</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23CB71DD" w14:textId="77777777" w:rsidR="00456F67" w:rsidRDefault="00456F67" w:rsidP="001723BD">
            <w:pPr>
              <w:contextualSpacing/>
              <w:jc w:val="center"/>
              <w:rPr>
                <w:rFonts w:ascii="Calibri" w:hAnsi="Calibri" w:cs="Calibri"/>
                <w:b/>
                <w:bCs/>
                <w:color w:val="000000"/>
                <w:sz w:val="16"/>
                <w:szCs w:val="16"/>
                <w:rtl/>
                <w:lang w:val="en-IL" w:eastAsia="en-IL"/>
              </w:rPr>
            </w:pPr>
            <w:r>
              <w:rPr>
                <w:rFonts w:ascii="Calibri" w:hAnsi="Calibri" w:cs="Calibri"/>
                <w:b/>
                <w:bCs/>
                <w:color w:val="000000"/>
                <w:sz w:val="16"/>
                <w:szCs w:val="16"/>
                <w:rtl/>
                <w:lang w:val="en-IL" w:eastAsia="en-IL"/>
              </w:rPr>
              <w:t>מאושר 2024 בניכוי עודפים שעברו ב-2024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4EDBF769" w14:textId="77777777" w:rsidR="00456F67" w:rsidRDefault="00456F67" w:rsidP="001723BD">
            <w:pPr>
              <w:contextualSpacing/>
              <w:jc w:val="center"/>
              <w:rPr>
                <w:rFonts w:ascii="Calibri" w:hAnsi="Calibri" w:cs="Calibri"/>
                <w:b/>
                <w:bCs/>
                <w:color w:val="000000"/>
                <w:sz w:val="16"/>
                <w:szCs w:val="16"/>
                <w:rtl/>
                <w:lang w:val="en-IL" w:eastAsia="en-IL"/>
              </w:rPr>
            </w:pPr>
            <w:r>
              <w:rPr>
                <w:rFonts w:ascii="Calibri" w:hAnsi="Calibri" w:cs="Calibri"/>
                <w:b/>
                <w:bCs/>
                <w:color w:val="000000"/>
                <w:sz w:val="16"/>
                <w:szCs w:val="16"/>
                <w:rtl/>
                <w:lang w:val="en-IL" w:eastAsia="en-IL"/>
              </w:rPr>
              <w:t>מקורי 2024</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67AF65F6" w14:textId="77777777" w:rsidR="00456F67" w:rsidRDefault="00456F67" w:rsidP="001723BD">
            <w:pPr>
              <w:contextualSpacing/>
              <w:jc w:val="center"/>
              <w:rPr>
                <w:rFonts w:ascii="Calibri" w:hAnsi="Calibri" w:cs="Calibri"/>
                <w:b/>
                <w:bCs/>
                <w:color w:val="000000"/>
                <w:sz w:val="16"/>
                <w:szCs w:val="16"/>
                <w:rtl/>
                <w:lang w:val="en-IL" w:eastAsia="en-IL"/>
              </w:rPr>
            </w:pPr>
            <w:r>
              <w:rPr>
                <w:rFonts w:ascii="Calibri" w:hAnsi="Calibri" w:cs="Calibri"/>
                <w:b/>
                <w:bCs/>
                <w:color w:val="000000"/>
                <w:sz w:val="16"/>
                <w:szCs w:val="16"/>
                <w:rtl/>
                <w:lang w:val="en-IL" w:eastAsia="en-IL"/>
              </w:rPr>
              <w:t>מאושר 2023 בניכוי עודפים שעברו ב-2023</w:t>
            </w:r>
          </w:p>
        </w:tc>
        <w:tc>
          <w:tcPr>
            <w:tcW w:w="94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4EE78102" w14:textId="77777777" w:rsidR="00456F67" w:rsidRDefault="00456F67" w:rsidP="001723BD">
            <w:pPr>
              <w:contextualSpacing/>
              <w:jc w:val="center"/>
              <w:rPr>
                <w:rFonts w:ascii="Calibri" w:hAnsi="Calibri" w:cs="Calibri"/>
                <w:b/>
                <w:bCs/>
                <w:color w:val="000000"/>
                <w:sz w:val="16"/>
                <w:szCs w:val="16"/>
                <w:rtl/>
                <w:lang w:val="en-IL" w:eastAsia="en-IL"/>
              </w:rPr>
            </w:pPr>
            <w:r>
              <w:rPr>
                <w:rFonts w:ascii="Calibri" w:hAnsi="Calibri" w:cs="Calibri"/>
                <w:b/>
                <w:bCs/>
                <w:color w:val="000000"/>
                <w:sz w:val="16"/>
                <w:szCs w:val="16"/>
                <w:rtl/>
                <w:lang w:val="en-IL" w:eastAsia="en-IL"/>
              </w:rPr>
              <w:t>מקורי 2023</w:t>
            </w:r>
          </w:p>
        </w:tc>
      </w:tr>
      <w:tr w:rsidR="00456F67" w14:paraId="0D8FD2B2" w14:textId="77777777" w:rsidTr="001723BD">
        <w:trPr>
          <w:trHeight w:val="288"/>
          <w:jc w:val="center"/>
        </w:trPr>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7F0A694B" w14:textId="77777777" w:rsidR="00456F67" w:rsidRDefault="00456F67" w:rsidP="001723BD">
            <w:pPr>
              <w:bidi w:val="0"/>
              <w:contextualSpacing/>
              <w:jc w:val="center"/>
              <w:rPr>
                <w:rFonts w:ascii="Calibri" w:hAnsi="Calibri" w:cs="Calibri"/>
                <w:color w:val="000000"/>
                <w:sz w:val="16"/>
                <w:szCs w:val="16"/>
                <w:rtl/>
                <w:lang w:val="en-IL" w:eastAsia="en-IL"/>
              </w:rPr>
            </w:pPr>
            <w:r>
              <w:rPr>
                <w:rFonts w:ascii="Calibri" w:hAnsi="Calibri" w:cs="Calibri"/>
                <w:color w:val="000000"/>
                <w:sz w:val="16"/>
                <w:szCs w:val="16"/>
                <w:lang w:val="en-IL" w:eastAsia="en-IL"/>
              </w:rPr>
              <w:t>301204</w:t>
            </w:r>
          </w:p>
        </w:tc>
        <w:tc>
          <w:tcPr>
            <w:tcW w:w="1440" w:type="dxa"/>
            <w:tcBorders>
              <w:top w:val="nil"/>
              <w:left w:val="single" w:sz="4" w:space="0" w:color="979991"/>
              <w:bottom w:val="single" w:sz="4" w:space="0" w:color="979991"/>
              <w:right w:val="nil"/>
            </w:tcBorders>
            <w:shd w:val="clear" w:color="auto" w:fill="FFFFFF"/>
            <w:vAlign w:val="center"/>
            <w:hideMark/>
          </w:tcPr>
          <w:p w14:paraId="4D765FC0" w14:textId="77777777" w:rsidR="00456F67" w:rsidRDefault="00456F67" w:rsidP="001723BD">
            <w:pPr>
              <w:bidi w:val="0"/>
              <w:contextualSpacing/>
              <w:jc w:val="center"/>
              <w:rPr>
                <w:rFonts w:ascii="Calibri" w:hAnsi="Calibri" w:cs="Calibri"/>
                <w:color w:val="000000"/>
                <w:sz w:val="16"/>
                <w:szCs w:val="16"/>
                <w:rtl/>
                <w:lang w:val="en-IL" w:eastAsia="en-IL"/>
              </w:rPr>
            </w:pPr>
            <w:r>
              <w:rPr>
                <w:rFonts w:ascii="Calibri" w:hAnsi="Calibri" w:cs="Calibri"/>
                <w:color w:val="000000"/>
                <w:sz w:val="16"/>
                <w:szCs w:val="16"/>
                <w:lang w:val="en-IL" w:eastAsia="en-IL"/>
              </w:rPr>
              <w:t>29,100</w:t>
            </w:r>
          </w:p>
        </w:tc>
        <w:tc>
          <w:tcPr>
            <w:tcW w:w="1000" w:type="dxa"/>
            <w:tcBorders>
              <w:top w:val="nil"/>
              <w:left w:val="single" w:sz="4" w:space="0" w:color="979991"/>
              <w:bottom w:val="single" w:sz="4" w:space="0" w:color="979991"/>
              <w:right w:val="nil"/>
            </w:tcBorders>
            <w:shd w:val="clear" w:color="auto" w:fill="FFFFFF"/>
            <w:vAlign w:val="center"/>
            <w:hideMark/>
          </w:tcPr>
          <w:p w14:paraId="51442C2E" w14:textId="77777777" w:rsidR="00456F67" w:rsidRDefault="00456F67" w:rsidP="001723BD">
            <w:pPr>
              <w:bidi w:val="0"/>
              <w:contextualSpacing/>
              <w:jc w:val="center"/>
              <w:rPr>
                <w:rFonts w:ascii="Calibri" w:hAnsi="Calibri" w:cs="Calibri"/>
                <w:color w:val="000000"/>
                <w:sz w:val="16"/>
                <w:szCs w:val="16"/>
                <w:lang w:val="en-IL" w:eastAsia="en-IL"/>
              </w:rPr>
            </w:pPr>
            <w:r>
              <w:rPr>
                <w:rFonts w:ascii="Calibri" w:hAnsi="Calibri" w:cs="Calibri"/>
                <w:color w:val="000000"/>
                <w:sz w:val="16"/>
                <w:szCs w:val="16"/>
                <w:lang w:val="en-IL" w:eastAsia="en-IL"/>
              </w:rPr>
              <w:t>113,150</w:t>
            </w:r>
          </w:p>
        </w:tc>
        <w:tc>
          <w:tcPr>
            <w:tcW w:w="1160" w:type="dxa"/>
            <w:tcBorders>
              <w:top w:val="nil"/>
              <w:left w:val="single" w:sz="4" w:space="0" w:color="979991"/>
              <w:bottom w:val="single" w:sz="4" w:space="0" w:color="979991"/>
              <w:right w:val="nil"/>
            </w:tcBorders>
            <w:shd w:val="clear" w:color="auto" w:fill="FFFFFF"/>
            <w:vAlign w:val="center"/>
            <w:hideMark/>
          </w:tcPr>
          <w:p w14:paraId="3F5FBBF9" w14:textId="77777777" w:rsidR="00456F67" w:rsidRDefault="00456F67" w:rsidP="001723BD">
            <w:pPr>
              <w:bidi w:val="0"/>
              <w:contextualSpacing/>
              <w:jc w:val="center"/>
              <w:rPr>
                <w:rFonts w:ascii="Calibri" w:hAnsi="Calibri" w:cs="Calibri"/>
                <w:color w:val="000000"/>
                <w:sz w:val="16"/>
                <w:szCs w:val="16"/>
                <w:lang w:val="en-IL" w:eastAsia="en-IL"/>
              </w:rPr>
            </w:pPr>
            <w:r>
              <w:rPr>
                <w:rFonts w:ascii="Calibri" w:hAnsi="Calibri" w:cs="Calibri"/>
                <w:color w:val="000000"/>
                <w:sz w:val="16"/>
                <w:szCs w:val="16"/>
                <w:lang w:val="en-IL" w:eastAsia="en-IL"/>
              </w:rPr>
              <w:t>119,753</w:t>
            </w:r>
          </w:p>
        </w:tc>
        <w:tc>
          <w:tcPr>
            <w:tcW w:w="1000" w:type="dxa"/>
            <w:tcBorders>
              <w:top w:val="nil"/>
              <w:left w:val="single" w:sz="4" w:space="0" w:color="979991"/>
              <w:bottom w:val="single" w:sz="4" w:space="0" w:color="979991"/>
              <w:right w:val="nil"/>
            </w:tcBorders>
            <w:shd w:val="clear" w:color="auto" w:fill="FFFFFF"/>
            <w:vAlign w:val="center"/>
            <w:hideMark/>
          </w:tcPr>
          <w:p w14:paraId="56BB2270" w14:textId="77777777" w:rsidR="00456F67" w:rsidRDefault="00456F67" w:rsidP="001723BD">
            <w:pPr>
              <w:bidi w:val="0"/>
              <w:contextualSpacing/>
              <w:jc w:val="center"/>
              <w:rPr>
                <w:rFonts w:ascii="Calibri" w:hAnsi="Calibri" w:cs="Calibri"/>
                <w:color w:val="000000"/>
                <w:sz w:val="16"/>
                <w:szCs w:val="16"/>
                <w:lang w:val="en-IL" w:eastAsia="en-IL"/>
              </w:rPr>
            </w:pPr>
            <w:r>
              <w:rPr>
                <w:rFonts w:ascii="Calibri" w:hAnsi="Calibri" w:cs="Calibri"/>
                <w:color w:val="000000"/>
                <w:sz w:val="16"/>
                <w:szCs w:val="16"/>
                <w:lang w:val="en-IL" w:eastAsia="en-IL"/>
              </w:rPr>
              <w:t>122,400</w:t>
            </w:r>
          </w:p>
        </w:tc>
        <w:tc>
          <w:tcPr>
            <w:tcW w:w="1160" w:type="dxa"/>
            <w:tcBorders>
              <w:top w:val="nil"/>
              <w:left w:val="single" w:sz="4" w:space="0" w:color="979991"/>
              <w:bottom w:val="single" w:sz="4" w:space="0" w:color="979991"/>
              <w:right w:val="nil"/>
            </w:tcBorders>
            <w:shd w:val="clear" w:color="auto" w:fill="FFFFFF"/>
            <w:vAlign w:val="center"/>
            <w:hideMark/>
          </w:tcPr>
          <w:p w14:paraId="6424FA80" w14:textId="77777777" w:rsidR="00456F67" w:rsidRDefault="00456F67" w:rsidP="001723BD">
            <w:pPr>
              <w:bidi w:val="0"/>
              <w:contextualSpacing/>
              <w:jc w:val="center"/>
              <w:rPr>
                <w:rFonts w:ascii="Calibri" w:hAnsi="Calibri" w:cs="Calibri"/>
                <w:color w:val="000000"/>
                <w:sz w:val="16"/>
                <w:szCs w:val="16"/>
                <w:lang w:val="en-IL" w:eastAsia="en-IL"/>
              </w:rPr>
            </w:pPr>
            <w:r>
              <w:rPr>
                <w:rFonts w:ascii="Calibri" w:hAnsi="Calibri" w:cs="Calibri"/>
                <w:color w:val="000000"/>
                <w:sz w:val="16"/>
                <w:szCs w:val="16"/>
                <w:lang w:val="en-IL" w:eastAsia="en-IL"/>
              </w:rPr>
              <w:t>147,232</w:t>
            </w:r>
          </w:p>
        </w:tc>
        <w:tc>
          <w:tcPr>
            <w:tcW w:w="1000" w:type="dxa"/>
            <w:tcBorders>
              <w:top w:val="nil"/>
              <w:left w:val="single" w:sz="4" w:space="0" w:color="979991"/>
              <w:bottom w:val="single" w:sz="4" w:space="0" w:color="979991"/>
              <w:right w:val="nil"/>
            </w:tcBorders>
            <w:shd w:val="clear" w:color="auto" w:fill="FFFFFF"/>
            <w:vAlign w:val="center"/>
            <w:hideMark/>
          </w:tcPr>
          <w:p w14:paraId="79AAFC34" w14:textId="77777777" w:rsidR="00456F67" w:rsidRDefault="00456F67" w:rsidP="001723BD">
            <w:pPr>
              <w:bidi w:val="0"/>
              <w:contextualSpacing/>
              <w:jc w:val="center"/>
              <w:rPr>
                <w:rFonts w:ascii="Calibri" w:hAnsi="Calibri" w:cs="Calibri"/>
                <w:color w:val="000000"/>
                <w:sz w:val="16"/>
                <w:szCs w:val="16"/>
                <w:lang w:val="en-IL" w:eastAsia="en-IL"/>
              </w:rPr>
            </w:pPr>
            <w:r>
              <w:rPr>
                <w:rFonts w:ascii="Calibri" w:hAnsi="Calibri" w:cs="Calibri"/>
                <w:color w:val="000000"/>
                <w:sz w:val="16"/>
                <w:szCs w:val="16"/>
                <w:lang w:val="en-IL" w:eastAsia="en-IL"/>
              </w:rPr>
              <w:t>127,507</w:t>
            </w:r>
          </w:p>
        </w:tc>
        <w:tc>
          <w:tcPr>
            <w:tcW w:w="1160" w:type="dxa"/>
            <w:tcBorders>
              <w:top w:val="nil"/>
              <w:left w:val="single" w:sz="4" w:space="0" w:color="979991"/>
              <w:bottom w:val="single" w:sz="4" w:space="0" w:color="979991"/>
              <w:right w:val="nil"/>
            </w:tcBorders>
            <w:shd w:val="clear" w:color="auto" w:fill="FFFFFF"/>
            <w:vAlign w:val="center"/>
            <w:hideMark/>
          </w:tcPr>
          <w:p w14:paraId="2F9A52D3" w14:textId="77777777" w:rsidR="00456F67" w:rsidRDefault="00456F67" w:rsidP="001723BD">
            <w:pPr>
              <w:bidi w:val="0"/>
              <w:contextualSpacing/>
              <w:jc w:val="center"/>
              <w:rPr>
                <w:rFonts w:ascii="Calibri" w:hAnsi="Calibri" w:cs="Calibri"/>
                <w:color w:val="000000"/>
                <w:sz w:val="16"/>
                <w:szCs w:val="16"/>
                <w:lang w:val="en-IL" w:eastAsia="en-IL"/>
              </w:rPr>
            </w:pPr>
            <w:r>
              <w:rPr>
                <w:rFonts w:ascii="Calibri" w:hAnsi="Calibri" w:cs="Calibri"/>
                <w:color w:val="000000"/>
                <w:sz w:val="16"/>
                <w:szCs w:val="16"/>
                <w:lang w:val="en-IL" w:eastAsia="en-IL"/>
              </w:rPr>
              <w:t>183,023</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4E682CE9" w14:textId="77777777" w:rsidR="00456F67" w:rsidRDefault="00456F67" w:rsidP="001723BD">
            <w:pPr>
              <w:bidi w:val="0"/>
              <w:contextualSpacing/>
              <w:jc w:val="center"/>
              <w:rPr>
                <w:rFonts w:ascii="Calibri" w:hAnsi="Calibri" w:cs="Calibri"/>
                <w:color w:val="000000"/>
                <w:sz w:val="16"/>
                <w:szCs w:val="16"/>
                <w:lang w:val="en-IL" w:eastAsia="en-IL"/>
              </w:rPr>
            </w:pPr>
            <w:r>
              <w:rPr>
                <w:rFonts w:ascii="Calibri" w:hAnsi="Calibri" w:cs="Calibri"/>
                <w:color w:val="000000"/>
                <w:sz w:val="16"/>
                <w:szCs w:val="16"/>
                <w:lang w:val="en-IL" w:eastAsia="en-IL"/>
              </w:rPr>
              <w:t>116,280</w:t>
            </w:r>
          </w:p>
        </w:tc>
      </w:tr>
    </w:tbl>
    <w:p w14:paraId="6192A74A" w14:textId="77777777" w:rsidR="00456F67" w:rsidRDefault="00456F67" w:rsidP="00456F67">
      <w:pPr>
        <w:contextualSpacing/>
        <w:rPr>
          <w:rFonts w:eastAsia="Calibri" w:cs="David"/>
          <w:sz w:val="24"/>
          <w:lang w:eastAsia="en-US"/>
        </w:rPr>
      </w:pPr>
    </w:p>
    <w:p w14:paraId="5228BDAA" w14:textId="77777777" w:rsidR="00456F67" w:rsidRPr="002E1D22" w:rsidRDefault="00456F67" w:rsidP="00456F67">
      <w:pPr>
        <w:rPr>
          <w:rFonts w:cs="FrankRuehl"/>
          <w:sz w:val="26"/>
          <w:szCs w:val="26"/>
          <w:rtl/>
        </w:rPr>
      </w:pPr>
    </w:p>
    <w:p w14:paraId="0000FF4C" w14:textId="77777777" w:rsidR="00456F67" w:rsidRPr="002E1D22" w:rsidRDefault="00456F67" w:rsidP="00456F67">
      <w:pPr>
        <w:tabs>
          <w:tab w:val="center" w:pos="6867"/>
        </w:tabs>
        <w:rPr>
          <w:rFonts w:cs="FrankRuehl"/>
          <w:sz w:val="26"/>
          <w:szCs w:val="26"/>
          <w:rtl/>
        </w:rPr>
      </w:pPr>
    </w:p>
    <w:p w14:paraId="44F92070"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9ED4" w14:textId="77777777" w:rsidR="00BD37C0" w:rsidRDefault="00BD37C0" w:rsidP="004374A5">
      <w:r>
        <w:separator/>
      </w:r>
    </w:p>
  </w:endnote>
  <w:endnote w:type="continuationSeparator" w:id="0">
    <w:p w14:paraId="0965176C" w14:textId="77777777" w:rsidR="00BD37C0" w:rsidRDefault="00BD37C0"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David">
    <w:panose1 w:val="020E08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3547A" w14:textId="77777777" w:rsidR="00EF0529" w:rsidRDefault="00EF0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CC61F" w14:textId="77777777" w:rsidR="00EF0529" w:rsidRDefault="00EF0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C229" w14:textId="77777777" w:rsidR="00EF0529" w:rsidRDefault="00EF0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99292" w14:textId="77777777" w:rsidR="00BD37C0" w:rsidRDefault="00BD37C0" w:rsidP="004374A5">
      <w:r>
        <w:separator/>
      </w:r>
    </w:p>
  </w:footnote>
  <w:footnote w:type="continuationSeparator" w:id="0">
    <w:p w14:paraId="5F6B0D13" w14:textId="77777777" w:rsidR="00BD37C0" w:rsidRDefault="00BD37C0"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2F5E" w14:textId="77777777" w:rsidR="00EF0529" w:rsidRDefault="00EF05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AC75F" w14:textId="77777777" w:rsidR="004374A5" w:rsidRDefault="00BD37C0">
    <w:pPr>
      <w:pStyle w:val="Header"/>
    </w:pPr>
    <w:r>
      <w:rPr>
        <w:noProof/>
      </w:rPr>
      <w:pict w14:anchorId="6B646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3BFF7" w14:textId="77777777" w:rsidR="00EF0529" w:rsidRDefault="00EF05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436E4E"/>
    <w:rsid w:val="004374A5"/>
    <w:rsid w:val="00456F67"/>
    <w:rsid w:val="005836FE"/>
    <w:rsid w:val="00762B91"/>
    <w:rsid w:val="007847C9"/>
    <w:rsid w:val="007C275A"/>
    <w:rsid w:val="00AC2EE6"/>
    <w:rsid w:val="00B0145B"/>
    <w:rsid w:val="00B42666"/>
    <w:rsid w:val="00B61EA5"/>
    <w:rsid w:val="00BB3BA1"/>
    <w:rsid w:val="00BD37C0"/>
    <w:rsid w:val="00BF4EA6"/>
    <w:rsid w:val="00C13197"/>
    <w:rsid w:val="00EF0529"/>
    <w:rsid w:val="00F376D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33E27390"/>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L" w:eastAsia="en-IL"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bidi/>
      <w:adjustRightInd w:val="0"/>
      <w:textAlignment w:val="baseline"/>
    </w:pPr>
    <w:rPr>
      <w:rFonts w:cs="Narkisim"/>
      <w:szCs w:val="24"/>
      <w:lang w:val="en-US" w:eastAsia="he-IL"/>
    </w:rPr>
  </w:style>
  <w:style w:type="paragraph" w:styleId="Heading1">
    <w:name w:val="heading 1"/>
    <w:basedOn w:val="Normal"/>
    <w:next w:val="Normal"/>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Heading2">
    <w:name w:val="heading 2"/>
    <w:basedOn w:val="Normal"/>
    <w:next w:val="Normal"/>
    <w:qFormat/>
    <w:pPr>
      <w:tabs>
        <w:tab w:val="left" w:pos="276"/>
      </w:tabs>
      <w:spacing w:before="120" w:after="48"/>
      <w:ind w:left="278" w:right="357" w:hanging="2"/>
      <w:outlineLvl w:val="1"/>
    </w:pPr>
    <w:rPr>
      <w:rFonts w:ascii="Arial" w:hAnsi="Arial" w:cs="Guttman Haim-Condensed"/>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ndentnumberedinabullet">
    <w:name w:val="normal indent numbered in a bullet"/>
    <w:basedOn w:val="NormalIndent"/>
    <w:pPr>
      <w:tabs>
        <w:tab w:val="left" w:pos="851"/>
        <w:tab w:val="left" w:pos="1418"/>
        <w:tab w:val="left" w:pos="2472"/>
        <w:tab w:val="left" w:pos="4498"/>
        <w:tab w:val="left" w:pos="6796"/>
        <w:tab w:val="left" w:pos="8856"/>
      </w:tabs>
      <w:ind w:left="618" w:right="510" w:hanging="170"/>
    </w:pPr>
  </w:style>
  <w:style w:type="paragraph" w:styleId="NormalIndent">
    <w:name w:val="Normal Indent"/>
    <w:basedOn w:val="Normal"/>
    <w:semiHidden/>
    <w:pPr>
      <w:ind w:left="720"/>
    </w:pPr>
  </w:style>
  <w:style w:type="paragraph" w:customStyle="1" w:styleId="Normalindentnumberindent">
    <w:name w:val="Normal indent number indent"/>
    <w:basedOn w:val="Normal"/>
    <w:pPr>
      <w:tabs>
        <w:tab w:val="left" w:pos="851"/>
        <w:tab w:val="left" w:pos="1418"/>
        <w:tab w:val="left" w:pos="2472"/>
        <w:tab w:val="left" w:pos="4498"/>
        <w:tab w:val="left" w:pos="6796"/>
        <w:tab w:val="left" w:pos="8856"/>
      </w:tabs>
      <w:ind w:left="702" w:right="510" w:hanging="872"/>
    </w:pPr>
  </w:style>
  <w:style w:type="paragraph" w:styleId="Header">
    <w:name w:val="header"/>
    <w:basedOn w:val="Normal"/>
    <w:link w:val="HeaderChar"/>
    <w:uiPriority w:val="99"/>
    <w:unhideWhenUsed/>
    <w:rsid w:val="004374A5"/>
    <w:pPr>
      <w:tabs>
        <w:tab w:val="center" w:pos="4153"/>
        <w:tab w:val="right" w:pos="8306"/>
      </w:tabs>
    </w:pPr>
  </w:style>
  <w:style w:type="paragraph" w:customStyle="1" w:styleId="a">
    <w:name w:val="מדינת ישראל"/>
    <w:basedOn w:val="Normal"/>
    <w:pPr>
      <w:jc w:val="center"/>
    </w:pPr>
    <w:rPr>
      <w:b/>
      <w:bCs/>
      <w:szCs w:val="28"/>
    </w:rPr>
  </w:style>
  <w:style w:type="paragraph" w:customStyle="1" w:styleId="a0">
    <w:name w:val="כותרת נדון"/>
    <w:basedOn w:val="Normal"/>
    <w:rPr>
      <w:bCs/>
      <w:szCs w:val="26"/>
      <w:u w:val="single"/>
    </w:rPr>
  </w:style>
  <w:style w:type="character" w:customStyle="1" w:styleId="HeaderChar">
    <w:name w:val="Header Char"/>
    <w:link w:val="Header"/>
    <w:uiPriority w:val="99"/>
    <w:rsid w:val="004374A5"/>
    <w:rPr>
      <w:rFonts w:cs="Narkisim"/>
      <w:szCs w:val="24"/>
      <w:lang w:eastAsia="he-IL"/>
    </w:rPr>
  </w:style>
  <w:style w:type="paragraph" w:styleId="Footer">
    <w:name w:val="footer"/>
    <w:basedOn w:val="Normal"/>
    <w:link w:val="FooterChar"/>
    <w:uiPriority w:val="99"/>
    <w:unhideWhenUsed/>
    <w:rsid w:val="004374A5"/>
    <w:pPr>
      <w:tabs>
        <w:tab w:val="center" w:pos="4153"/>
        <w:tab w:val="right" w:pos="8306"/>
      </w:tabs>
    </w:pPr>
  </w:style>
  <w:style w:type="character" w:customStyle="1" w:styleId="FooterChar">
    <w:name w:val="Footer Char"/>
    <w:link w:val="Footer"/>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381</Words>
  <Characters>2172</Characters>
  <Application>Microsoft Office Word</Application>
  <DocSecurity>0</DocSecurity>
  <Lines>18</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5</cp:revision>
  <cp:lastPrinted>1899-12-31T22:00:00Z</cp:lastPrinted>
  <dcterms:created xsi:type="dcterms:W3CDTF">2026-06-29T13:17:00Z</dcterms:created>
  <dcterms:modified xsi:type="dcterms:W3CDTF">2026-06-29T13:22:00Z</dcterms:modified>
</cp:coreProperties>
</file>