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2D1A7" w14:textId="77777777" w:rsidR="0051496B" w:rsidRDefault="0051496B">
      <w:pPr>
        <w:pStyle w:val="a7"/>
        <w:rPr>
          <w:rtl/>
        </w:rPr>
      </w:pPr>
      <w:r>
        <w:rPr>
          <w:rtl/>
        </w:rPr>
        <w:t>מדינת ישראל</w:t>
      </w:r>
    </w:p>
    <w:p w14:paraId="5761B860" w14:textId="77777777" w:rsidR="0051496B" w:rsidRDefault="0051496B">
      <w:pPr>
        <w:pStyle w:val="a7"/>
        <w:rPr>
          <w:rtl/>
        </w:rPr>
      </w:pPr>
      <w:r>
        <w:rPr>
          <w:rtl/>
        </w:rPr>
        <w:t>האוצר - אגף התקציבים</w:t>
      </w:r>
    </w:p>
    <w:p w14:paraId="5AEB2A5E" w14:textId="77777777" w:rsidR="0051496B" w:rsidRDefault="0051496B">
      <w:pPr>
        <w:rPr>
          <w:rtl/>
        </w:rPr>
      </w:pPr>
    </w:p>
    <w:p w14:paraId="0AC53CC8" w14:textId="77777777" w:rsidR="0051496B" w:rsidRDefault="0051496B">
      <w:pPr>
        <w:rPr>
          <w:rtl/>
        </w:rPr>
      </w:pPr>
    </w:p>
    <w:p w14:paraId="4BB975F5" w14:textId="77777777" w:rsidR="0051496B" w:rsidRPr="000A3FA0" w:rsidRDefault="0051496B">
      <w:pPr>
        <w:tabs>
          <w:tab w:val="left" w:pos="6300"/>
        </w:tabs>
        <w:rPr>
          <w:rFonts w:cs="FrankRuehl"/>
          <w:sz w:val="26"/>
          <w:szCs w:val="26"/>
          <w:rtl/>
        </w:rPr>
      </w:pPr>
      <w:r>
        <w:rPr>
          <w:rtl/>
        </w:rPr>
        <w:tab/>
      </w:r>
      <w:bookmarkStart w:id="0" w:name="TAKZIV8"/>
      <w:bookmarkEnd w:id="0"/>
    </w:p>
    <w:p w14:paraId="24EF25C7" w14:textId="77777777" w:rsidR="0051496B" w:rsidRPr="000A3FA0" w:rsidRDefault="0051496B">
      <w:pPr>
        <w:tabs>
          <w:tab w:val="left" w:pos="6300"/>
        </w:tabs>
        <w:rPr>
          <w:rFonts w:cs="FrankRuehl"/>
          <w:sz w:val="26"/>
          <w:szCs w:val="26"/>
          <w:rtl/>
        </w:rPr>
      </w:pPr>
      <w:r w:rsidRPr="000A3FA0">
        <w:rPr>
          <w:rFonts w:cs="FrankRuehl"/>
          <w:sz w:val="26"/>
          <w:szCs w:val="26"/>
          <w:rtl/>
        </w:rPr>
        <w:tab/>
      </w:r>
      <w:r w:rsidRPr="000A3FA0">
        <w:rPr>
          <w:rFonts w:cs="FrankRuehl"/>
          <w:sz w:val="26"/>
          <w:szCs w:val="26"/>
          <w:rtl/>
        </w:rPr>
        <w:tab/>
      </w:r>
    </w:p>
    <w:p w14:paraId="0588FABE" w14:textId="77777777" w:rsidR="0051496B" w:rsidRPr="000A3FA0" w:rsidRDefault="0051496B" w:rsidP="007332A2">
      <w:pPr>
        <w:rPr>
          <w:rFonts w:cs="FrankRuehl"/>
          <w:sz w:val="26"/>
          <w:szCs w:val="26"/>
          <w:rtl/>
        </w:rPr>
      </w:pPr>
      <w:r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007332A2" w:rsidRPr="000A3FA0">
        <w:rPr>
          <w:rFonts w:cs="FrankRuehl"/>
          <w:sz w:val="26"/>
          <w:szCs w:val="26"/>
          <w:rtl/>
        </w:rPr>
        <w:tab/>
      </w:r>
      <w:r w:rsidRPr="000A3FA0">
        <w:rPr>
          <w:rFonts w:cs="FrankRuehl"/>
          <w:sz w:val="26"/>
          <w:szCs w:val="26"/>
          <w:rtl/>
        </w:rPr>
        <w:t xml:space="preserve">ירושלים, </w:t>
      </w:r>
      <w:bookmarkStart w:id="1" w:name="TAKZIV9"/>
      <w:bookmarkEnd w:id="1"/>
    </w:p>
    <w:p w14:paraId="73080E62" w14:textId="0DB24877" w:rsidR="0051496B" w:rsidRPr="000A3FA0" w:rsidRDefault="0051496B" w:rsidP="007332A2">
      <w:pPr>
        <w:tabs>
          <w:tab w:val="left" w:pos="6039"/>
        </w:tabs>
        <w:rPr>
          <w:rFonts w:cs="FrankRuehl"/>
          <w:sz w:val="26"/>
          <w:szCs w:val="26"/>
          <w:rtl/>
        </w:rPr>
      </w:pPr>
      <w:r w:rsidRPr="000A3FA0">
        <w:rPr>
          <w:rFonts w:cs="FrankRuehl"/>
          <w:sz w:val="26"/>
          <w:szCs w:val="26"/>
          <w:rtl/>
        </w:rPr>
        <w:tab/>
        <w:t xml:space="preserve">בקשה מספר </w:t>
      </w:r>
      <w:bookmarkStart w:id="2" w:name="TAKZIV4"/>
      <w:r w:rsidR="000D6617">
        <w:rPr>
          <w:rFonts w:cs="FrankRuehl"/>
          <w:sz w:val="26"/>
          <w:szCs w:val="26"/>
          <w:rtl/>
        </w:rPr>
        <w:t>201</w:t>
      </w:r>
      <w:bookmarkEnd w:id="2"/>
      <w:r w:rsidRPr="000A3FA0">
        <w:rPr>
          <w:rFonts w:cs="FrankRuehl"/>
          <w:sz w:val="26"/>
          <w:szCs w:val="26"/>
          <w:rtl/>
        </w:rPr>
        <w:t xml:space="preserve"> - </w:t>
      </w:r>
      <w:bookmarkStart w:id="3" w:name="TAKZIV3"/>
      <w:r w:rsidR="000D6617">
        <w:rPr>
          <w:rFonts w:cs="FrankRuehl"/>
          <w:sz w:val="26"/>
          <w:szCs w:val="26"/>
          <w:rtl/>
        </w:rPr>
        <w:t>25</w:t>
      </w:r>
      <w:bookmarkEnd w:id="3"/>
    </w:p>
    <w:p w14:paraId="171CAAC2"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41CF9058" w14:textId="77777777" w:rsidR="0051496B" w:rsidRPr="000A3FA0" w:rsidRDefault="0051496B">
      <w:pPr>
        <w:tabs>
          <w:tab w:val="left" w:pos="6300"/>
        </w:tabs>
        <w:rPr>
          <w:rFonts w:cs="FrankRuehl"/>
          <w:sz w:val="26"/>
          <w:szCs w:val="26"/>
          <w:rtl/>
        </w:rPr>
      </w:pPr>
      <w:r w:rsidRPr="000A3FA0">
        <w:rPr>
          <w:rFonts w:cs="FrankRuehl"/>
          <w:sz w:val="26"/>
          <w:szCs w:val="26"/>
          <w:rtl/>
        </w:rPr>
        <w:tab/>
      </w:r>
    </w:p>
    <w:p w14:paraId="52E15ED4" w14:textId="77777777" w:rsidR="0051496B" w:rsidRPr="000A3FA0" w:rsidRDefault="0051496B">
      <w:pPr>
        <w:rPr>
          <w:rFonts w:cs="FrankRuehl"/>
          <w:sz w:val="26"/>
          <w:szCs w:val="26"/>
          <w:rtl/>
        </w:rPr>
      </w:pPr>
      <w:r w:rsidRPr="000A3FA0">
        <w:rPr>
          <w:rFonts w:cs="FrankRuehl"/>
          <w:sz w:val="26"/>
          <w:szCs w:val="26"/>
          <w:rtl/>
        </w:rPr>
        <w:t>לכבוד,</w:t>
      </w:r>
    </w:p>
    <w:p w14:paraId="2AFFC335" w14:textId="77777777" w:rsidR="0051496B" w:rsidRPr="000A3FA0" w:rsidRDefault="0051496B">
      <w:pPr>
        <w:rPr>
          <w:rFonts w:cs="FrankRuehl"/>
          <w:sz w:val="26"/>
          <w:szCs w:val="26"/>
          <w:rtl/>
        </w:rPr>
      </w:pPr>
      <w:r w:rsidRPr="000A3FA0">
        <w:rPr>
          <w:rFonts w:cs="FrankRuehl"/>
          <w:sz w:val="26"/>
          <w:szCs w:val="26"/>
          <w:rtl/>
        </w:rPr>
        <w:t>יו"ר ועדת הכספים</w:t>
      </w:r>
    </w:p>
    <w:p w14:paraId="30F09A14" w14:textId="77777777" w:rsidR="0051496B" w:rsidRPr="000A3FA0" w:rsidRDefault="0051496B">
      <w:pPr>
        <w:rPr>
          <w:rFonts w:cs="FrankRuehl"/>
          <w:sz w:val="26"/>
          <w:szCs w:val="26"/>
          <w:rtl/>
        </w:rPr>
      </w:pPr>
      <w:r w:rsidRPr="000A3FA0">
        <w:rPr>
          <w:rFonts w:cs="FrankRuehl"/>
          <w:sz w:val="26"/>
          <w:szCs w:val="26"/>
          <w:rtl/>
        </w:rPr>
        <w:t>הכנסת</w:t>
      </w:r>
    </w:p>
    <w:p w14:paraId="1953B23B" w14:textId="77777777" w:rsidR="0051496B" w:rsidRPr="000A3FA0" w:rsidRDefault="0051496B">
      <w:pPr>
        <w:rPr>
          <w:rFonts w:cs="FrankRuehl"/>
          <w:sz w:val="26"/>
          <w:szCs w:val="26"/>
          <w:rtl/>
        </w:rPr>
      </w:pPr>
    </w:p>
    <w:p w14:paraId="3AE9476B" w14:textId="77777777" w:rsidR="0051496B" w:rsidRPr="000A3FA0" w:rsidRDefault="0051496B">
      <w:pPr>
        <w:rPr>
          <w:rFonts w:cs="FrankRuehl"/>
          <w:sz w:val="26"/>
          <w:szCs w:val="26"/>
          <w:rtl/>
        </w:rPr>
      </w:pPr>
      <w:r w:rsidRPr="000A3FA0">
        <w:rPr>
          <w:rFonts w:cs="FrankRuehl"/>
          <w:sz w:val="26"/>
          <w:szCs w:val="26"/>
          <w:rtl/>
        </w:rPr>
        <w:t>א.נ.,</w:t>
      </w:r>
    </w:p>
    <w:p w14:paraId="2265A060" w14:textId="77777777" w:rsidR="0051496B" w:rsidRPr="000A3FA0" w:rsidRDefault="0051496B">
      <w:pPr>
        <w:rPr>
          <w:rFonts w:cs="FrankRuehl"/>
          <w:sz w:val="26"/>
          <w:szCs w:val="26"/>
          <w:rtl/>
        </w:rPr>
      </w:pPr>
    </w:p>
    <w:p w14:paraId="2FC647CF" w14:textId="043782E8" w:rsidR="0051496B" w:rsidRPr="000A3FA0" w:rsidRDefault="0051496B">
      <w:pPr>
        <w:pStyle w:val="a6"/>
        <w:rPr>
          <w:rFonts w:cs="FrankRuehl"/>
          <w:sz w:val="26"/>
          <w:rtl/>
        </w:rPr>
      </w:pPr>
      <w:r w:rsidRPr="000A3FA0">
        <w:rPr>
          <w:rFonts w:cs="FrankRuehl"/>
          <w:bCs w:val="0"/>
          <w:sz w:val="26"/>
          <w:u w:val="none"/>
          <w:rtl/>
        </w:rPr>
        <w:t xml:space="preserve">הנדון: </w:t>
      </w:r>
      <w:r w:rsidRPr="000A3FA0">
        <w:rPr>
          <w:rFonts w:cs="FrankRuehl"/>
          <w:bCs w:val="0"/>
          <w:sz w:val="26"/>
          <w:rtl/>
        </w:rPr>
        <w:t>שימוש בעודפי תקציב לשנת</w:t>
      </w:r>
      <w:r w:rsidRPr="000A3FA0">
        <w:rPr>
          <w:rFonts w:cs="FrankRuehl"/>
          <w:sz w:val="26"/>
          <w:rtl/>
        </w:rPr>
        <w:t xml:space="preserve"> </w:t>
      </w:r>
      <w:bookmarkStart w:id="4" w:name="TAKZIV1_2"/>
      <w:bookmarkStart w:id="5" w:name="TAKZIV1_1"/>
      <w:bookmarkEnd w:id="4"/>
      <w:r w:rsidR="000D6617">
        <w:rPr>
          <w:rFonts w:cs="FrankRuehl"/>
          <w:sz w:val="26"/>
          <w:rtl/>
        </w:rPr>
        <w:t>2026</w:t>
      </w:r>
      <w:bookmarkEnd w:id="5"/>
      <w:r w:rsidRPr="000A3FA0">
        <w:rPr>
          <w:rFonts w:cs="FrankRuehl"/>
          <w:sz w:val="26"/>
          <w:rtl/>
        </w:rPr>
        <w:t xml:space="preserve">     </w:t>
      </w:r>
    </w:p>
    <w:p w14:paraId="64BDAE3B" w14:textId="77777777" w:rsidR="0051496B" w:rsidRPr="000A3FA0" w:rsidRDefault="0051496B" w:rsidP="00A6761F">
      <w:pPr>
        <w:jc w:val="both"/>
        <w:rPr>
          <w:rFonts w:cs="FrankRuehl"/>
          <w:sz w:val="26"/>
          <w:szCs w:val="26"/>
          <w:rtl/>
        </w:rPr>
      </w:pPr>
    </w:p>
    <w:p w14:paraId="24259A9B" w14:textId="1A41265F" w:rsidR="0051496B" w:rsidRPr="000A3FA0" w:rsidRDefault="0051496B" w:rsidP="00C1515F">
      <w:pPr>
        <w:jc w:val="both"/>
        <w:rPr>
          <w:rFonts w:cs="FrankRuehl"/>
          <w:sz w:val="26"/>
          <w:szCs w:val="26"/>
          <w:rtl/>
        </w:rPr>
      </w:pPr>
      <w:r w:rsidRPr="000A3FA0">
        <w:rPr>
          <w:rFonts w:cs="FrankRuehl"/>
          <w:sz w:val="26"/>
          <w:szCs w:val="26"/>
          <w:rtl/>
        </w:rPr>
        <w:t>שר האוצר מתכבד להודיע לו</w:t>
      </w:r>
      <w:r w:rsidR="00A14A9C" w:rsidRPr="000A3FA0">
        <w:rPr>
          <w:rFonts w:cs="FrankRuehl" w:hint="cs"/>
          <w:sz w:val="26"/>
          <w:szCs w:val="26"/>
          <w:rtl/>
        </w:rPr>
        <w:t>ו</w:t>
      </w:r>
      <w:r w:rsidRPr="000A3FA0">
        <w:rPr>
          <w:rFonts w:cs="FrankRuehl"/>
          <w:sz w:val="26"/>
          <w:szCs w:val="26"/>
          <w:rtl/>
        </w:rPr>
        <w:t xml:space="preserve">עדת הכספים של הכנסת על העברת סכום של </w:t>
      </w:r>
      <w:bookmarkStart w:id="6" w:name="TAKZIV30"/>
      <w:r w:rsidR="000D6617">
        <w:rPr>
          <w:rFonts w:cs="FrankRuehl"/>
          <w:sz w:val="26"/>
          <w:szCs w:val="26"/>
          <w:rtl/>
        </w:rPr>
        <w:t>130,628</w:t>
      </w:r>
      <w:bookmarkEnd w:id="6"/>
      <w:r w:rsidRPr="000A3FA0">
        <w:rPr>
          <w:rFonts w:cs="FrankRuehl"/>
          <w:sz w:val="26"/>
          <w:szCs w:val="26"/>
          <w:rtl/>
        </w:rPr>
        <w:t xml:space="preserve"> אלפי שקלים חדשים מסעיף </w:t>
      </w:r>
      <w:bookmarkStart w:id="7" w:name="TAKZIV3_1"/>
      <w:r w:rsidR="000D6617">
        <w:rPr>
          <w:rFonts w:cs="FrankRuehl"/>
          <w:sz w:val="26"/>
          <w:szCs w:val="26"/>
          <w:rtl/>
        </w:rPr>
        <w:t>25</w:t>
      </w:r>
      <w:bookmarkEnd w:id="7"/>
      <w:r w:rsidRPr="000A3FA0">
        <w:rPr>
          <w:rFonts w:cs="FrankRuehl"/>
          <w:sz w:val="26"/>
          <w:szCs w:val="26"/>
          <w:rtl/>
        </w:rPr>
        <w:t xml:space="preserve"> - </w:t>
      </w:r>
      <w:bookmarkStart w:id="8" w:name="TAKZIV6_2"/>
      <w:r w:rsidR="000D6617">
        <w:rPr>
          <w:rFonts w:cs="FrankRuehl"/>
          <w:sz w:val="26"/>
          <w:szCs w:val="26"/>
          <w:rtl/>
        </w:rPr>
        <w:t>הרשות לניצולי השואה</w:t>
      </w:r>
      <w:bookmarkEnd w:id="8"/>
      <w:r w:rsidR="00C1515F">
        <w:rPr>
          <w:rFonts w:cs="FrankRuehl" w:hint="cs"/>
          <w:sz w:val="26"/>
          <w:szCs w:val="26"/>
          <w:rtl/>
        </w:rPr>
        <w:t xml:space="preserve"> </w:t>
      </w:r>
      <w:r w:rsidRPr="000A3FA0">
        <w:rPr>
          <w:rFonts w:cs="FrankRuehl"/>
          <w:sz w:val="26"/>
          <w:szCs w:val="26"/>
          <w:rtl/>
        </w:rPr>
        <w:t xml:space="preserve">משנת הכספים </w:t>
      </w:r>
      <w:bookmarkStart w:id="9" w:name="TAKZIV2_1"/>
      <w:r w:rsidR="000D6617">
        <w:rPr>
          <w:rFonts w:cs="FrankRuehl"/>
          <w:sz w:val="26"/>
          <w:szCs w:val="26"/>
          <w:rtl/>
        </w:rPr>
        <w:t>2025</w:t>
      </w:r>
      <w:bookmarkEnd w:id="9"/>
      <w:r w:rsidRPr="000A3FA0">
        <w:rPr>
          <w:rFonts w:cs="FrankRuehl"/>
          <w:sz w:val="26"/>
          <w:szCs w:val="26"/>
          <w:rtl/>
        </w:rPr>
        <w:t xml:space="preserve">, כעודף לשימוש בשנת הכספים </w:t>
      </w:r>
      <w:bookmarkStart w:id="10" w:name="TAKZIV1"/>
      <w:r w:rsidR="000D6617">
        <w:rPr>
          <w:rFonts w:cs="FrankRuehl"/>
          <w:sz w:val="26"/>
          <w:szCs w:val="26"/>
          <w:rtl/>
        </w:rPr>
        <w:t>2026</w:t>
      </w:r>
      <w:bookmarkEnd w:id="10"/>
      <w:r w:rsidRPr="000A3FA0">
        <w:rPr>
          <w:rFonts w:cs="FrankRuehl"/>
          <w:sz w:val="26"/>
          <w:szCs w:val="26"/>
          <w:rtl/>
        </w:rPr>
        <w:t>, בהתאם לסעיף 13 (א) לחוק יסודות התקציב התשמ"ה - 1985,</w:t>
      </w:r>
      <w:r w:rsidR="00C1515F">
        <w:rPr>
          <w:rFonts w:cs="FrankRuehl" w:hint="cs"/>
          <w:sz w:val="26"/>
          <w:szCs w:val="26"/>
          <w:rtl/>
        </w:rPr>
        <w:t xml:space="preserve"> </w:t>
      </w:r>
      <w:r w:rsidRPr="000A3FA0">
        <w:rPr>
          <w:rFonts w:cs="FrankRuehl"/>
          <w:sz w:val="26"/>
          <w:szCs w:val="26"/>
          <w:rtl/>
        </w:rPr>
        <w:t>כמפורט בתדפיס המצורף בזה.</w:t>
      </w:r>
    </w:p>
    <w:p w14:paraId="51A8E926" w14:textId="7345168C" w:rsidR="0051496B" w:rsidRDefault="0051496B" w:rsidP="00C1515F">
      <w:pPr>
        <w:jc w:val="both"/>
        <w:rPr>
          <w:rFonts w:cs="FrankRuehl"/>
          <w:sz w:val="26"/>
          <w:szCs w:val="26"/>
          <w:rtl/>
        </w:rPr>
      </w:pPr>
    </w:p>
    <w:p w14:paraId="53A3A18E" w14:textId="067ECF7F" w:rsidR="00C1515F" w:rsidRDefault="00C1515F" w:rsidP="00C1515F">
      <w:pPr>
        <w:jc w:val="both"/>
        <w:rPr>
          <w:rFonts w:cs="FrankRuehl"/>
          <w:sz w:val="26"/>
          <w:szCs w:val="26"/>
          <w:lang w:eastAsia="en-US"/>
        </w:rPr>
      </w:pPr>
      <w:r>
        <w:rPr>
          <w:rFonts w:cs="FrankRuehl"/>
          <w:b/>
          <w:bCs/>
          <w:sz w:val="26"/>
          <w:szCs w:val="26"/>
          <w:rtl/>
        </w:rPr>
        <w:t xml:space="preserve">הבקשה דנה בסעיף תקציבי: </w:t>
      </w:r>
      <w:r>
        <w:rPr>
          <w:rFonts w:cs="FrankRuehl"/>
          <w:sz w:val="26"/>
          <w:szCs w:val="26"/>
          <w:rtl/>
        </w:rPr>
        <w:t xml:space="preserve">25 </w:t>
      </w:r>
      <w:r>
        <w:rPr>
          <w:rFonts w:cs="FrankRuehl" w:hint="cs"/>
          <w:sz w:val="26"/>
          <w:szCs w:val="26"/>
          <w:rtl/>
        </w:rPr>
        <w:t>-</w:t>
      </w:r>
      <w:r>
        <w:rPr>
          <w:rFonts w:cs="FrankRuehl"/>
          <w:sz w:val="26"/>
          <w:szCs w:val="26"/>
          <w:rtl/>
        </w:rPr>
        <w:t xml:space="preserve"> הרשות לזכויות ניצולי שואה</w:t>
      </w:r>
    </w:p>
    <w:p w14:paraId="47799D73" w14:textId="77777777" w:rsidR="00C1515F" w:rsidRDefault="00C1515F" w:rsidP="00C1515F">
      <w:pPr>
        <w:jc w:val="both"/>
        <w:rPr>
          <w:rFonts w:ascii="Narkisim" w:hAnsi="Narkisim" w:cs="FrankRuehl"/>
          <w:sz w:val="26"/>
          <w:szCs w:val="26"/>
        </w:rPr>
      </w:pPr>
    </w:p>
    <w:p w14:paraId="1F9A2EF4" w14:textId="77777777" w:rsidR="00C1515F" w:rsidRDefault="00C1515F" w:rsidP="00C1515F">
      <w:pPr>
        <w:jc w:val="both"/>
        <w:rPr>
          <w:rFonts w:ascii="Narkisim" w:hAnsi="Narkisim" w:cs="FrankRuehl"/>
          <w:b/>
          <w:bCs/>
          <w:sz w:val="26"/>
          <w:szCs w:val="26"/>
          <w:rtl/>
        </w:rPr>
      </w:pPr>
      <w:r>
        <w:rPr>
          <w:rFonts w:ascii="Narkisim" w:hAnsi="Narkisim" w:cs="FrankRuehl"/>
          <w:b/>
          <w:bCs/>
          <w:sz w:val="26"/>
          <w:szCs w:val="26"/>
          <w:rtl/>
        </w:rPr>
        <w:t>עיקרי הפנייה:</w:t>
      </w:r>
    </w:p>
    <w:p w14:paraId="790808E0" w14:textId="77777777" w:rsidR="00C1515F" w:rsidRDefault="00C1515F" w:rsidP="00C1515F">
      <w:pPr>
        <w:jc w:val="both"/>
        <w:rPr>
          <w:rFonts w:hAnsi="FrankRuehl" w:cs="FrankRuehl"/>
          <w:sz w:val="26"/>
          <w:szCs w:val="26"/>
          <w:rtl/>
        </w:rPr>
      </w:pPr>
      <w:r>
        <w:rPr>
          <w:rFonts w:hAnsi="FrankRuehl" w:cs="FrankRuehl"/>
          <w:sz w:val="26"/>
          <w:szCs w:val="26"/>
          <w:rtl/>
        </w:rPr>
        <w:t>הפנייה התקציבית נועדה להעברת עודפים משנת התקציב</w:t>
      </w:r>
      <w:r>
        <w:rPr>
          <w:rFonts w:hAnsi="FrankRuehl" w:cs="FrankRuehl" w:hint="cs"/>
          <w:sz w:val="26"/>
          <w:szCs w:val="26"/>
        </w:rPr>
        <w:t xml:space="preserve"> </w:t>
      </w:r>
      <w:r>
        <w:rPr>
          <w:rFonts w:hAnsi="FrankRuehl" w:cs="FrankRuehl"/>
          <w:sz w:val="26"/>
          <w:szCs w:val="26"/>
          <w:rtl/>
        </w:rPr>
        <w:t>2024</w:t>
      </w:r>
      <w:r>
        <w:rPr>
          <w:rFonts w:hAnsi="FrankRuehl" w:cs="FrankRuehl" w:hint="cs"/>
          <w:sz w:val="26"/>
          <w:szCs w:val="26"/>
        </w:rPr>
        <w:t xml:space="preserve"> </w:t>
      </w:r>
      <w:r>
        <w:rPr>
          <w:rFonts w:hAnsi="FrankRuehl" w:cs="FrankRuehl"/>
          <w:sz w:val="26"/>
          <w:szCs w:val="26"/>
          <w:rtl/>
        </w:rPr>
        <w:t>לשנת</w:t>
      </w:r>
      <w:r>
        <w:rPr>
          <w:rFonts w:hAnsi="FrankRuehl" w:cs="FrankRuehl" w:hint="cs"/>
          <w:sz w:val="26"/>
          <w:szCs w:val="26"/>
        </w:rPr>
        <w:t xml:space="preserve"> </w:t>
      </w:r>
      <w:r>
        <w:rPr>
          <w:rFonts w:hAnsi="FrankRuehl" w:cs="FrankRuehl"/>
          <w:sz w:val="26"/>
          <w:szCs w:val="26"/>
          <w:rtl/>
        </w:rPr>
        <w:t>התקציב</w:t>
      </w:r>
      <w:r>
        <w:rPr>
          <w:rFonts w:hAnsi="FrankRuehl" w:cs="FrankRuehl" w:hint="cs"/>
          <w:sz w:val="26"/>
          <w:szCs w:val="26"/>
        </w:rPr>
        <w:t xml:space="preserve"> </w:t>
      </w:r>
      <w:r>
        <w:rPr>
          <w:rFonts w:hAnsi="FrankRuehl" w:cs="FrankRuehl"/>
          <w:sz w:val="26"/>
          <w:szCs w:val="26"/>
          <w:rtl/>
        </w:rPr>
        <w:t>2025 בסך</w:t>
      </w:r>
      <w:r>
        <w:rPr>
          <w:rFonts w:hAnsi="FrankRuehl" w:cs="FrankRuehl" w:hint="cs"/>
          <w:sz w:val="26"/>
          <w:szCs w:val="26"/>
        </w:rPr>
        <w:t xml:space="preserve"> </w:t>
      </w:r>
      <w:r>
        <w:rPr>
          <w:rFonts w:hAnsi="FrankRuehl" w:cs="FrankRuehl"/>
          <w:sz w:val="26"/>
          <w:szCs w:val="26"/>
          <w:rtl/>
        </w:rPr>
        <w:t>של 130,628 אלפי</w:t>
      </w:r>
      <w:r>
        <w:rPr>
          <w:rFonts w:hAnsi="FrankRuehl" w:cs="FrankRuehl" w:hint="cs"/>
          <w:sz w:val="26"/>
          <w:szCs w:val="26"/>
        </w:rPr>
        <w:t xml:space="preserve"> </w:t>
      </w:r>
      <w:r>
        <w:rPr>
          <w:rFonts w:hAnsi="FrankRuehl" w:cs="FrankRuehl"/>
          <w:sz w:val="26"/>
          <w:szCs w:val="26"/>
          <w:rtl/>
        </w:rPr>
        <w:t>ש</w:t>
      </w:r>
      <w:r>
        <w:rPr>
          <w:rFonts w:hAnsi="FrankRuehl" w:cs="FrankRuehl"/>
          <w:sz w:val="26"/>
          <w:szCs w:val="26"/>
        </w:rPr>
        <w:t>"</w:t>
      </w:r>
      <w:r>
        <w:rPr>
          <w:rFonts w:hAnsi="FrankRuehl" w:cs="FrankRuehl"/>
          <w:sz w:val="26"/>
          <w:szCs w:val="26"/>
          <w:rtl/>
        </w:rPr>
        <w:t>ח, בהוצאה לתוכניות התקציב הבאות, שעיקרן כפי שמפורט להלן:</w:t>
      </w:r>
    </w:p>
    <w:p w14:paraId="4F5190F7" w14:textId="77777777" w:rsidR="00C1515F" w:rsidRDefault="00C1515F" w:rsidP="00C1515F">
      <w:pPr>
        <w:jc w:val="both"/>
        <w:rPr>
          <w:rFonts w:ascii="Narkisim" w:hAnsi="Narkisim" w:cs="FrankRuehl"/>
          <w:sz w:val="26"/>
          <w:szCs w:val="26"/>
          <w:rtl/>
        </w:rPr>
      </w:pPr>
    </w:p>
    <w:p w14:paraId="07332601" w14:textId="77777777" w:rsidR="00C1515F" w:rsidRDefault="00C1515F" w:rsidP="00C1515F">
      <w:pPr>
        <w:jc w:val="both"/>
        <w:rPr>
          <w:rFonts w:hAnsi="FrankRuehl" w:cs="FrankRuehl"/>
          <w:b/>
          <w:bCs/>
          <w:sz w:val="26"/>
          <w:szCs w:val="26"/>
          <w:rtl/>
        </w:rPr>
      </w:pPr>
      <w:r>
        <w:rPr>
          <w:rFonts w:hAnsi="FrankRuehl" w:cs="FrankRuehl"/>
          <w:b/>
          <w:bCs/>
          <w:sz w:val="26"/>
          <w:szCs w:val="26"/>
          <w:rtl/>
        </w:rPr>
        <w:t>250102: אמרכלות - 250102 - 25,900 אלפי ש"ח.</w:t>
      </w:r>
    </w:p>
    <w:p w14:paraId="5045B8C6" w14:textId="77777777" w:rsidR="00C1515F" w:rsidRDefault="00C1515F" w:rsidP="00C1515F">
      <w:pPr>
        <w:jc w:val="both"/>
        <w:rPr>
          <w:rFonts w:hAnsi="FrankRuehl" w:cs="FrankRuehl"/>
          <w:sz w:val="26"/>
          <w:szCs w:val="26"/>
          <w:rtl/>
        </w:rPr>
      </w:pPr>
      <w:r>
        <w:rPr>
          <w:rFonts w:hAnsi="FrankRuehl" w:cs="FrankRuehl"/>
          <w:b/>
          <w:bCs/>
          <w:sz w:val="26"/>
          <w:szCs w:val="26"/>
          <w:rtl/>
        </w:rPr>
        <w:t>תיאור</w:t>
      </w:r>
      <w:r>
        <w:rPr>
          <w:rFonts w:hAnsi="FrankRuehl" w:cs="FrankRuehl" w:hint="cs"/>
          <w:b/>
          <w:bCs/>
          <w:sz w:val="26"/>
          <w:szCs w:val="26"/>
        </w:rPr>
        <w:t xml:space="preserve"> </w:t>
      </w:r>
      <w:r>
        <w:rPr>
          <w:rFonts w:hAnsi="FrankRuehl" w:cs="FrankRuehl"/>
          <w:b/>
          <w:bCs/>
          <w:sz w:val="26"/>
          <w:szCs w:val="26"/>
          <w:rtl/>
        </w:rPr>
        <w:t>התכנית</w:t>
      </w:r>
      <w:r>
        <w:rPr>
          <w:rFonts w:ascii="FrankRuehl" w:hAnsi="FrankRuehl" w:cs="FrankRuehl"/>
          <w:b/>
          <w:bCs/>
          <w:sz w:val="26"/>
          <w:szCs w:val="26"/>
        </w:rPr>
        <w:t>:</w:t>
      </w:r>
      <w:r>
        <w:rPr>
          <w:rFonts w:ascii="FrankRuehl" w:hAnsi="FrankRuehl" w:cs="FrankRuehl"/>
          <w:b/>
          <w:bCs/>
          <w:sz w:val="26"/>
          <w:szCs w:val="26"/>
          <w:rtl/>
        </w:rPr>
        <w:t xml:space="preserve"> </w:t>
      </w:r>
    </w:p>
    <w:p w14:paraId="1DCE578D" w14:textId="77777777" w:rsidR="00C1515F" w:rsidRDefault="00C1515F" w:rsidP="00C1515F">
      <w:pPr>
        <w:jc w:val="both"/>
        <w:rPr>
          <w:rFonts w:hAnsi="FrankRuehl" w:cs="FrankRuehl"/>
          <w:sz w:val="26"/>
          <w:szCs w:val="26"/>
          <w:rtl/>
        </w:rPr>
      </w:pPr>
      <w:r>
        <w:rPr>
          <w:rFonts w:hAnsi="FrankRuehl" w:cs="FrankRuehl"/>
          <w:sz w:val="26"/>
          <w:szCs w:val="26"/>
          <w:rtl/>
        </w:rPr>
        <w:t>התכנית</w:t>
      </w:r>
      <w:r>
        <w:rPr>
          <w:rFonts w:hAnsi="FrankRuehl" w:cs="FrankRuehl" w:hint="cs"/>
          <w:sz w:val="26"/>
          <w:szCs w:val="26"/>
        </w:rPr>
        <w:t xml:space="preserve"> </w:t>
      </w:r>
      <w:r>
        <w:rPr>
          <w:rFonts w:hAnsi="FrankRuehl" w:cs="FrankRuehl"/>
          <w:sz w:val="26"/>
          <w:szCs w:val="26"/>
          <w:rtl/>
        </w:rPr>
        <w:t>כוללת</w:t>
      </w:r>
      <w:r>
        <w:rPr>
          <w:rFonts w:hAnsi="FrankRuehl" w:cs="FrankRuehl" w:hint="cs"/>
          <w:sz w:val="26"/>
          <w:szCs w:val="26"/>
        </w:rPr>
        <w:t xml:space="preserve"> </w:t>
      </w:r>
      <w:r>
        <w:rPr>
          <w:rFonts w:hAnsi="FrankRuehl" w:cs="FrankRuehl"/>
          <w:sz w:val="26"/>
          <w:szCs w:val="26"/>
          <w:rtl/>
        </w:rPr>
        <w:t>הוצאות על פעילויות מיוחדות לרווחת ניצולי השואה בדגש על עריריים וחסרי עורף משפחתי, מרכז המידע הלאומי, וכן הוצאות כלליות, כגון הוצאות מחשוב ודואר. בנוסף מתכנית זו מבוצעים התשלומים לוועדות הרפואיות ומתן חוות דעת מקצועית.</w:t>
      </w:r>
    </w:p>
    <w:p w14:paraId="10018AFA" w14:textId="77777777" w:rsidR="00C1515F" w:rsidRDefault="00C1515F" w:rsidP="00C1515F">
      <w:pPr>
        <w:jc w:val="both"/>
        <w:rPr>
          <w:rFonts w:hAnsi="FrankRuehl" w:cs="FrankRuehl"/>
          <w:b/>
          <w:bCs/>
          <w:sz w:val="26"/>
          <w:szCs w:val="26"/>
          <w:rtl/>
        </w:rPr>
      </w:pPr>
      <w:r>
        <w:rPr>
          <w:rFonts w:hAnsi="FrankRuehl" w:cs="FrankRuehl"/>
          <w:b/>
          <w:bCs/>
          <w:sz w:val="26"/>
          <w:szCs w:val="26"/>
          <w:rtl/>
        </w:rPr>
        <w:t xml:space="preserve">סיבות מרכזיות בגינן נוצרו עודפים בתוכנית: </w:t>
      </w:r>
    </w:p>
    <w:p w14:paraId="263D48A0" w14:textId="77777777" w:rsidR="00C1515F" w:rsidRDefault="00C1515F" w:rsidP="00C1515F">
      <w:pPr>
        <w:numPr>
          <w:ilvl w:val="0"/>
          <w:numId w:val="1"/>
        </w:numPr>
        <w:jc w:val="both"/>
        <w:rPr>
          <w:rFonts w:hAnsi="FrankRuehl" w:cs="FrankRuehl"/>
          <w:sz w:val="26"/>
          <w:szCs w:val="26"/>
          <w:rtl/>
        </w:rPr>
      </w:pPr>
      <w:r>
        <w:rPr>
          <w:rFonts w:hAnsi="FrankRuehl" w:cs="FrankRuehl"/>
          <w:sz w:val="26"/>
          <w:szCs w:val="26"/>
          <w:rtl/>
        </w:rPr>
        <w:t>התקשרות רב שנתיות עם קופות החולים לצורך העסקת מתאמי טיפול לניצולי השואה</w:t>
      </w:r>
    </w:p>
    <w:p w14:paraId="1817F79F" w14:textId="77777777" w:rsidR="00C1515F" w:rsidRDefault="00C1515F" w:rsidP="00C1515F">
      <w:pPr>
        <w:numPr>
          <w:ilvl w:val="0"/>
          <w:numId w:val="1"/>
        </w:numPr>
        <w:jc w:val="both"/>
        <w:rPr>
          <w:rFonts w:hAnsi="FrankRuehl" w:cs="FrankRuehl"/>
          <w:sz w:val="26"/>
          <w:szCs w:val="26"/>
          <w:rtl/>
        </w:rPr>
      </w:pPr>
      <w:r>
        <w:rPr>
          <w:rFonts w:hAnsi="FrankRuehl" w:cs="FrankRuehl"/>
          <w:sz w:val="26"/>
          <w:szCs w:val="26"/>
          <w:rtl/>
        </w:rPr>
        <w:t>התקשרות רב שנתית להפעלת מוקד מיצוי זכויות.</w:t>
      </w:r>
    </w:p>
    <w:p w14:paraId="6A834BE7" w14:textId="77777777" w:rsidR="00C1515F" w:rsidRDefault="00C1515F" w:rsidP="00C1515F">
      <w:pPr>
        <w:jc w:val="both"/>
        <w:rPr>
          <w:rFonts w:ascii="Narkisim" w:hAnsi="Narkisim" w:cs="FrankRuehl"/>
          <w:sz w:val="26"/>
          <w:szCs w:val="26"/>
        </w:rPr>
      </w:pPr>
    </w:p>
    <w:p w14:paraId="4A03BF26" w14:textId="77777777" w:rsidR="00C1515F" w:rsidRDefault="00C1515F" w:rsidP="00C1515F">
      <w:pPr>
        <w:jc w:val="both"/>
        <w:rPr>
          <w:rFonts w:hAnsi="FrankRuehl" w:cs="FrankRuehl"/>
          <w:b/>
          <w:bCs/>
          <w:sz w:val="26"/>
          <w:szCs w:val="26"/>
          <w:rtl/>
        </w:rPr>
      </w:pPr>
      <w:r>
        <w:rPr>
          <w:rFonts w:hAnsi="FrankRuehl" w:cs="FrankRuehl"/>
          <w:b/>
          <w:bCs/>
          <w:sz w:val="26"/>
          <w:szCs w:val="26"/>
          <w:rtl/>
        </w:rPr>
        <w:t>250202: טיפול רפואי ושירותים- 104,728 אלפי ש"ח.</w:t>
      </w:r>
    </w:p>
    <w:p w14:paraId="0CC8F3AB" w14:textId="77777777" w:rsidR="00C1515F" w:rsidRDefault="00C1515F" w:rsidP="00C1515F">
      <w:pPr>
        <w:jc w:val="both"/>
        <w:rPr>
          <w:rFonts w:hAnsi="FrankRuehl" w:cs="FrankRuehl"/>
          <w:sz w:val="26"/>
          <w:szCs w:val="26"/>
          <w:rtl/>
        </w:rPr>
      </w:pPr>
      <w:r>
        <w:rPr>
          <w:rFonts w:hAnsi="FrankRuehl" w:cs="FrankRuehl"/>
          <w:b/>
          <w:bCs/>
          <w:sz w:val="26"/>
          <w:szCs w:val="26"/>
          <w:rtl/>
        </w:rPr>
        <w:t>תיאור</w:t>
      </w:r>
      <w:r>
        <w:rPr>
          <w:rFonts w:hAnsi="FrankRuehl" w:cs="FrankRuehl" w:hint="cs"/>
          <w:b/>
          <w:bCs/>
          <w:sz w:val="26"/>
          <w:szCs w:val="26"/>
        </w:rPr>
        <w:t xml:space="preserve"> </w:t>
      </w:r>
      <w:r>
        <w:rPr>
          <w:rFonts w:hAnsi="FrankRuehl" w:cs="FrankRuehl"/>
          <w:b/>
          <w:bCs/>
          <w:sz w:val="26"/>
          <w:szCs w:val="26"/>
          <w:rtl/>
        </w:rPr>
        <w:t>התכנית</w:t>
      </w:r>
      <w:r>
        <w:rPr>
          <w:rFonts w:ascii="FrankRuehl" w:hAnsi="FrankRuehl" w:cs="FrankRuehl"/>
          <w:b/>
          <w:bCs/>
          <w:sz w:val="26"/>
          <w:szCs w:val="26"/>
        </w:rPr>
        <w:t>:</w:t>
      </w:r>
      <w:r>
        <w:rPr>
          <w:rFonts w:hAnsi="FrankRuehl" w:cs="FrankRuehl"/>
          <w:sz w:val="26"/>
          <w:szCs w:val="26"/>
          <w:rtl/>
        </w:rPr>
        <w:t xml:space="preserve"> </w:t>
      </w:r>
    </w:p>
    <w:p w14:paraId="143898F4" w14:textId="77777777" w:rsidR="00C1515F" w:rsidRDefault="00C1515F" w:rsidP="00C1515F">
      <w:pPr>
        <w:jc w:val="both"/>
        <w:rPr>
          <w:rFonts w:hAnsi="FrankRuehl" w:cs="FrankRuehl"/>
          <w:b/>
          <w:bCs/>
          <w:sz w:val="26"/>
          <w:szCs w:val="26"/>
          <w:rtl/>
        </w:rPr>
      </w:pPr>
      <w:r>
        <w:rPr>
          <w:rFonts w:hAnsi="FrankRuehl" w:cs="FrankRuehl"/>
          <w:sz w:val="26"/>
          <w:szCs w:val="26"/>
          <w:rtl/>
        </w:rPr>
        <w:t>התכנית כוללת תשלומים בגין שירותים רפואיים, שירותי סיעוד, ציוד וטיפול רפואי, הטבות ומענקים במסגרת שיקום ורווחה. בנוסף, התכנית כוללת תמיכה בארגונים.</w:t>
      </w:r>
    </w:p>
    <w:p w14:paraId="5A507419" w14:textId="77777777" w:rsidR="00C1515F" w:rsidRDefault="00C1515F" w:rsidP="00C1515F">
      <w:pPr>
        <w:jc w:val="both"/>
        <w:rPr>
          <w:rFonts w:cs="FrankRuehl"/>
          <w:b/>
          <w:bCs/>
          <w:sz w:val="26"/>
          <w:szCs w:val="26"/>
        </w:rPr>
      </w:pPr>
      <w:r>
        <w:rPr>
          <w:rFonts w:cs="FrankRuehl"/>
          <w:b/>
          <w:bCs/>
          <w:sz w:val="26"/>
          <w:szCs w:val="26"/>
          <w:rtl/>
        </w:rPr>
        <w:t xml:space="preserve">סיבות מרכזיות בגינן נוצרו עודפים בתוכנית: </w:t>
      </w:r>
    </w:p>
    <w:p w14:paraId="5B82CA68" w14:textId="77777777" w:rsidR="00C1515F" w:rsidRDefault="00C1515F" w:rsidP="00C1515F">
      <w:pPr>
        <w:numPr>
          <w:ilvl w:val="0"/>
          <w:numId w:val="2"/>
        </w:numPr>
        <w:jc w:val="both"/>
        <w:rPr>
          <w:rFonts w:cs="FrankRuehl"/>
          <w:sz w:val="26"/>
          <w:szCs w:val="26"/>
          <w:rtl/>
        </w:rPr>
      </w:pPr>
      <w:r>
        <w:rPr>
          <w:rFonts w:cs="FrankRuehl"/>
          <w:sz w:val="26"/>
          <w:szCs w:val="26"/>
          <w:rtl/>
        </w:rPr>
        <w:t>התקשרויות עם קופות החולים עבור</w:t>
      </w:r>
      <w:r>
        <w:rPr>
          <w:rFonts w:cs="FrankRuehl" w:hint="cs"/>
          <w:sz w:val="26"/>
          <w:szCs w:val="26"/>
        </w:rPr>
        <w:t xml:space="preserve"> </w:t>
      </w:r>
      <w:r>
        <w:rPr>
          <w:rFonts w:cs="FrankRuehl"/>
          <w:sz w:val="26"/>
          <w:szCs w:val="26"/>
          <w:rtl/>
        </w:rPr>
        <w:t>רכישת</w:t>
      </w:r>
      <w:r>
        <w:rPr>
          <w:rFonts w:cs="FrankRuehl" w:hint="cs"/>
          <w:sz w:val="26"/>
          <w:szCs w:val="26"/>
        </w:rPr>
        <w:t xml:space="preserve"> </w:t>
      </w:r>
      <w:r>
        <w:rPr>
          <w:rFonts w:cs="FrankRuehl"/>
          <w:sz w:val="26"/>
          <w:szCs w:val="26"/>
          <w:rtl/>
        </w:rPr>
        <w:t>תרופות</w:t>
      </w:r>
      <w:r>
        <w:rPr>
          <w:rFonts w:cs="FrankRuehl" w:hint="cs"/>
          <w:sz w:val="26"/>
          <w:szCs w:val="26"/>
        </w:rPr>
        <w:t xml:space="preserve"> </w:t>
      </w:r>
      <w:r>
        <w:rPr>
          <w:rFonts w:cs="FrankRuehl"/>
          <w:sz w:val="26"/>
          <w:szCs w:val="26"/>
          <w:rtl/>
        </w:rPr>
        <w:t>מרשם</w:t>
      </w:r>
      <w:r>
        <w:rPr>
          <w:rFonts w:cs="FrankRuehl" w:hint="cs"/>
          <w:sz w:val="26"/>
          <w:szCs w:val="26"/>
        </w:rPr>
        <w:t xml:space="preserve"> </w:t>
      </w:r>
      <w:r>
        <w:rPr>
          <w:rFonts w:cs="FrankRuehl"/>
          <w:sz w:val="26"/>
          <w:szCs w:val="26"/>
          <w:rtl/>
        </w:rPr>
        <w:t>למקבלי</w:t>
      </w:r>
      <w:r>
        <w:rPr>
          <w:rFonts w:cs="FrankRuehl" w:hint="cs"/>
          <w:sz w:val="26"/>
          <w:szCs w:val="26"/>
        </w:rPr>
        <w:t xml:space="preserve"> </w:t>
      </w:r>
      <w:r>
        <w:rPr>
          <w:rFonts w:cs="FrankRuehl"/>
          <w:sz w:val="26"/>
          <w:szCs w:val="26"/>
          <w:rtl/>
        </w:rPr>
        <w:t>קצבה</w:t>
      </w:r>
      <w:r>
        <w:rPr>
          <w:rFonts w:cs="FrankRuehl" w:hint="cs"/>
          <w:sz w:val="26"/>
          <w:szCs w:val="26"/>
        </w:rPr>
        <w:t xml:space="preserve"> </w:t>
      </w:r>
      <w:r>
        <w:rPr>
          <w:rFonts w:cs="FrankRuehl"/>
          <w:sz w:val="26"/>
          <w:szCs w:val="26"/>
          <w:rtl/>
        </w:rPr>
        <w:t>חודשית.</w:t>
      </w:r>
    </w:p>
    <w:p w14:paraId="439BE421" w14:textId="77777777" w:rsidR="00C1515F" w:rsidRDefault="00C1515F" w:rsidP="00C1515F">
      <w:pPr>
        <w:numPr>
          <w:ilvl w:val="0"/>
          <w:numId w:val="2"/>
        </w:numPr>
        <w:jc w:val="both"/>
        <w:rPr>
          <w:rFonts w:cs="FrankRuehl"/>
          <w:sz w:val="26"/>
          <w:szCs w:val="26"/>
          <w:rtl/>
        </w:rPr>
      </w:pPr>
      <w:r>
        <w:rPr>
          <w:rFonts w:cs="FrankRuehl"/>
          <w:sz w:val="26"/>
          <w:szCs w:val="26"/>
          <w:rtl/>
        </w:rPr>
        <w:t>התקשרות</w:t>
      </w:r>
      <w:r>
        <w:rPr>
          <w:rFonts w:cs="FrankRuehl" w:hint="cs"/>
          <w:sz w:val="26"/>
          <w:szCs w:val="26"/>
        </w:rPr>
        <w:t xml:space="preserve"> </w:t>
      </w:r>
      <w:r>
        <w:rPr>
          <w:rFonts w:cs="FrankRuehl"/>
          <w:sz w:val="26"/>
          <w:szCs w:val="26"/>
          <w:rtl/>
        </w:rPr>
        <w:t>עם</w:t>
      </w:r>
      <w:r>
        <w:rPr>
          <w:rFonts w:cs="FrankRuehl" w:hint="cs"/>
          <w:sz w:val="26"/>
          <w:szCs w:val="26"/>
        </w:rPr>
        <w:t xml:space="preserve"> </w:t>
      </w:r>
      <w:r>
        <w:rPr>
          <w:rFonts w:cs="FrankRuehl"/>
          <w:sz w:val="26"/>
          <w:szCs w:val="26"/>
          <w:rtl/>
        </w:rPr>
        <w:t>הקרן</w:t>
      </w:r>
      <w:r>
        <w:rPr>
          <w:rFonts w:cs="FrankRuehl" w:hint="cs"/>
          <w:sz w:val="26"/>
          <w:szCs w:val="26"/>
        </w:rPr>
        <w:t xml:space="preserve"> </w:t>
      </w:r>
      <w:r>
        <w:rPr>
          <w:rFonts w:cs="FrankRuehl"/>
          <w:sz w:val="26"/>
          <w:szCs w:val="26"/>
          <w:rtl/>
        </w:rPr>
        <w:t>לרווחת ניצולי שואה עבור</w:t>
      </w:r>
      <w:r>
        <w:rPr>
          <w:rFonts w:cs="FrankRuehl" w:hint="cs"/>
          <w:sz w:val="26"/>
          <w:szCs w:val="26"/>
        </w:rPr>
        <w:t xml:space="preserve"> </w:t>
      </w:r>
      <w:r>
        <w:rPr>
          <w:rFonts w:cs="FrankRuehl"/>
          <w:sz w:val="26"/>
          <w:szCs w:val="26"/>
          <w:rtl/>
        </w:rPr>
        <w:t>מימון</w:t>
      </w:r>
      <w:r>
        <w:rPr>
          <w:rFonts w:cs="FrankRuehl" w:hint="cs"/>
          <w:sz w:val="26"/>
          <w:szCs w:val="26"/>
        </w:rPr>
        <w:t xml:space="preserve"> </w:t>
      </w:r>
      <w:r>
        <w:rPr>
          <w:rFonts w:cs="FrankRuehl"/>
          <w:sz w:val="26"/>
          <w:szCs w:val="26"/>
          <w:rtl/>
        </w:rPr>
        <w:t>שעות</w:t>
      </w:r>
      <w:r>
        <w:rPr>
          <w:rFonts w:cs="FrankRuehl" w:hint="cs"/>
          <w:sz w:val="26"/>
          <w:szCs w:val="26"/>
        </w:rPr>
        <w:t xml:space="preserve"> </w:t>
      </w:r>
      <w:r>
        <w:rPr>
          <w:rFonts w:cs="FrankRuehl"/>
          <w:sz w:val="26"/>
          <w:szCs w:val="26"/>
          <w:rtl/>
        </w:rPr>
        <w:t>סיעוד</w:t>
      </w:r>
      <w:r>
        <w:rPr>
          <w:rFonts w:cs="FrankRuehl" w:hint="cs"/>
          <w:sz w:val="26"/>
          <w:szCs w:val="26"/>
        </w:rPr>
        <w:t xml:space="preserve"> </w:t>
      </w:r>
      <w:r>
        <w:rPr>
          <w:rFonts w:cs="FrankRuehl"/>
          <w:sz w:val="26"/>
          <w:szCs w:val="26"/>
          <w:rtl/>
        </w:rPr>
        <w:t>לניצולי</w:t>
      </w:r>
      <w:r>
        <w:rPr>
          <w:rFonts w:cs="FrankRuehl" w:hint="cs"/>
          <w:sz w:val="26"/>
          <w:szCs w:val="26"/>
        </w:rPr>
        <w:t xml:space="preserve"> </w:t>
      </w:r>
      <w:r>
        <w:rPr>
          <w:rFonts w:cs="FrankRuehl"/>
          <w:sz w:val="26"/>
          <w:szCs w:val="26"/>
          <w:rtl/>
        </w:rPr>
        <w:t>שואה זכאים</w:t>
      </w:r>
      <w:r>
        <w:rPr>
          <w:rFonts w:cs="FrankRuehl"/>
          <w:sz w:val="26"/>
          <w:szCs w:val="26"/>
        </w:rPr>
        <w:t>.</w:t>
      </w:r>
    </w:p>
    <w:p w14:paraId="4E8B927D" w14:textId="77777777" w:rsidR="00C1515F" w:rsidRDefault="00C1515F" w:rsidP="00C1515F">
      <w:pPr>
        <w:numPr>
          <w:ilvl w:val="0"/>
          <w:numId w:val="2"/>
        </w:numPr>
        <w:jc w:val="both"/>
        <w:rPr>
          <w:rFonts w:cs="FrankRuehl"/>
          <w:sz w:val="26"/>
          <w:szCs w:val="26"/>
          <w:rtl/>
        </w:rPr>
      </w:pPr>
      <w:r>
        <w:rPr>
          <w:rFonts w:cs="FrankRuehl"/>
          <w:sz w:val="26"/>
          <w:szCs w:val="26"/>
          <w:rtl/>
        </w:rPr>
        <w:t>התקשרות עם עמותות 'עמך' ו'אלה' למתן טיפולים נפשיים עבור ניצולי שואה שזקוקים לכך.</w:t>
      </w:r>
    </w:p>
    <w:p w14:paraId="5B7FB0B5" w14:textId="77777777" w:rsidR="00C1515F" w:rsidRDefault="00C1515F" w:rsidP="00C1515F">
      <w:pPr>
        <w:jc w:val="both"/>
        <w:rPr>
          <w:rFonts w:cs="FrankRuehl"/>
          <w:sz w:val="26"/>
          <w:szCs w:val="26"/>
        </w:rPr>
      </w:pPr>
    </w:p>
    <w:p w14:paraId="5CFC5B06" w14:textId="77777777" w:rsidR="0051496B" w:rsidRPr="000A3FA0" w:rsidRDefault="0051496B" w:rsidP="00C1515F">
      <w:pPr>
        <w:jc w:val="both"/>
        <w:rPr>
          <w:rFonts w:cs="FrankRuehl"/>
          <w:sz w:val="26"/>
          <w:szCs w:val="26"/>
          <w:rtl/>
        </w:rPr>
      </w:pPr>
      <w:r w:rsidRPr="000A3FA0">
        <w:rPr>
          <w:rFonts w:cs="FrankRuehl"/>
          <w:sz w:val="26"/>
          <w:szCs w:val="26"/>
          <w:rtl/>
        </w:rPr>
        <w:t>האישור ייכנס לתקפו, אם לא יעוכב ע"י ועדת הכספים של הכנסת, לאחר 21 יום מתאריך מכתב זה.</w:t>
      </w:r>
    </w:p>
    <w:p w14:paraId="583CCBDF" w14:textId="77777777" w:rsidR="0051496B" w:rsidRPr="000A3FA0" w:rsidRDefault="0051496B" w:rsidP="00A6761F">
      <w:pPr>
        <w:jc w:val="both"/>
        <w:rPr>
          <w:rFonts w:cs="FrankRuehl"/>
          <w:sz w:val="26"/>
          <w:szCs w:val="26"/>
          <w:rtl/>
        </w:rPr>
      </w:pPr>
    </w:p>
    <w:p w14:paraId="2F6609EC" w14:textId="77777777" w:rsidR="0051496B" w:rsidRPr="000A3FA0" w:rsidRDefault="0051496B" w:rsidP="00A6761F">
      <w:pPr>
        <w:jc w:val="both"/>
        <w:rPr>
          <w:rFonts w:cs="FrankRuehl"/>
          <w:sz w:val="26"/>
          <w:szCs w:val="26"/>
          <w:rtl/>
        </w:rPr>
      </w:pPr>
    </w:p>
    <w:p w14:paraId="78976963" w14:textId="77777777" w:rsidR="0051496B" w:rsidRPr="000A3FA0" w:rsidRDefault="0051496B" w:rsidP="00AC0FB8">
      <w:pPr>
        <w:tabs>
          <w:tab w:val="left" w:pos="6416"/>
          <w:tab w:val="center" w:pos="6867"/>
        </w:tabs>
        <w:rPr>
          <w:rFonts w:cs="FrankRuehl"/>
          <w:sz w:val="26"/>
          <w:szCs w:val="26"/>
          <w:rtl/>
        </w:rPr>
      </w:pPr>
      <w:r w:rsidRPr="000A3FA0">
        <w:rPr>
          <w:rFonts w:cs="FrankRuehl"/>
          <w:sz w:val="26"/>
          <w:szCs w:val="26"/>
          <w:rtl/>
        </w:rPr>
        <w:tab/>
      </w:r>
      <w:r w:rsidR="00AC0FB8">
        <w:rPr>
          <w:rFonts w:cs="FrankRuehl"/>
          <w:sz w:val="26"/>
          <w:szCs w:val="26"/>
          <w:rtl/>
        </w:rPr>
        <w:tab/>
      </w:r>
      <w:r w:rsidRPr="000A3FA0">
        <w:rPr>
          <w:rFonts w:cs="FrankRuehl"/>
          <w:sz w:val="26"/>
          <w:szCs w:val="26"/>
          <w:rtl/>
        </w:rPr>
        <w:t>בכבוד רב,</w:t>
      </w:r>
    </w:p>
    <w:p w14:paraId="63B3062E" w14:textId="77777777" w:rsidR="0051496B" w:rsidRDefault="0051496B">
      <w:pPr>
        <w:tabs>
          <w:tab w:val="center" w:pos="6867"/>
        </w:tabs>
        <w:rPr>
          <w:rFonts w:cs="FrankRuehl"/>
          <w:sz w:val="26"/>
          <w:szCs w:val="26"/>
          <w:rtl/>
        </w:rPr>
      </w:pPr>
    </w:p>
    <w:p w14:paraId="66B59D07" w14:textId="0EDF1550" w:rsidR="0051496B" w:rsidRPr="000A3FA0" w:rsidRDefault="0051496B">
      <w:pPr>
        <w:tabs>
          <w:tab w:val="center" w:pos="6867"/>
        </w:tabs>
        <w:rPr>
          <w:rFonts w:cs="FrankRuehl"/>
          <w:sz w:val="26"/>
          <w:szCs w:val="26"/>
        </w:rPr>
      </w:pPr>
      <w:bookmarkStart w:id="11" w:name="Sign_Image"/>
      <w:bookmarkEnd w:id="11"/>
    </w:p>
    <w:p w14:paraId="6055F573" w14:textId="77777777" w:rsidR="0051496B" w:rsidRPr="000A3FA0" w:rsidRDefault="0051496B" w:rsidP="000062C3">
      <w:pPr>
        <w:tabs>
          <w:tab w:val="center" w:pos="6867"/>
        </w:tabs>
        <w:rPr>
          <w:rFonts w:cs="FrankRuehl"/>
          <w:sz w:val="26"/>
          <w:szCs w:val="26"/>
          <w:rtl/>
        </w:rPr>
      </w:pPr>
      <w:r w:rsidRPr="000A3FA0">
        <w:rPr>
          <w:rFonts w:cs="FrankRuehl"/>
          <w:sz w:val="26"/>
          <w:szCs w:val="26"/>
          <w:rtl/>
        </w:rPr>
        <w:tab/>
      </w:r>
    </w:p>
    <w:p w14:paraId="5CB629CC" w14:textId="77777777" w:rsidR="0051496B" w:rsidRPr="000A3FA0" w:rsidRDefault="0051496B">
      <w:pPr>
        <w:rPr>
          <w:rFonts w:cs="FrankRuehl"/>
          <w:sz w:val="26"/>
          <w:szCs w:val="26"/>
          <w:rtl/>
        </w:rPr>
      </w:pPr>
    </w:p>
    <w:p w14:paraId="536E5BF6" w14:textId="77777777" w:rsidR="0051496B" w:rsidRPr="000A3FA0" w:rsidRDefault="0051496B">
      <w:pPr>
        <w:rPr>
          <w:rFonts w:cs="FrankRuehl"/>
          <w:sz w:val="26"/>
          <w:szCs w:val="26"/>
          <w:rtl/>
        </w:rPr>
      </w:pPr>
      <w:r w:rsidRPr="000A3FA0">
        <w:rPr>
          <w:rFonts w:cs="FrankRuehl"/>
          <w:sz w:val="26"/>
          <w:szCs w:val="26"/>
          <w:rtl/>
        </w:rPr>
        <w:t>העתק:</w:t>
      </w:r>
    </w:p>
    <w:p w14:paraId="4BCAD8F0" w14:textId="77777777" w:rsidR="0051496B" w:rsidRPr="000A3FA0" w:rsidRDefault="0051496B">
      <w:pPr>
        <w:rPr>
          <w:rFonts w:cs="FrankRuehl"/>
          <w:sz w:val="26"/>
          <w:szCs w:val="26"/>
          <w:rtl/>
        </w:rPr>
      </w:pPr>
      <w:r w:rsidRPr="000A3FA0">
        <w:rPr>
          <w:rFonts w:cs="FrankRuehl"/>
          <w:sz w:val="26"/>
          <w:szCs w:val="26"/>
          <w:rtl/>
        </w:rPr>
        <w:t>החשב הכללי</w:t>
      </w:r>
    </w:p>
    <w:p w14:paraId="3FF15098" w14:textId="77777777" w:rsidR="0051496B" w:rsidRPr="000A3FA0" w:rsidRDefault="0051496B">
      <w:pPr>
        <w:rPr>
          <w:rFonts w:cs="FrankRuehl"/>
          <w:sz w:val="26"/>
          <w:szCs w:val="26"/>
          <w:rtl/>
        </w:rPr>
      </w:pPr>
      <w:r w:rsidRPr="000A3FA0">
        <w:rPr>
          <w:rFonts w:cs="FrankRuehl"/>
          <w:sz w:val="26"/>
          <w:szCs w:val="26"/>
          <w:rtl/>
        </w:rPr>
        <w:t>מבקר המדינה (2)</w:t>
      </w:r>
    </w:p>
    <w:p w14:paraId="27ADB628" w14:textId="689BBD35" w:rsidR="0051496B" w:rsidRPr="000A3FA0" w:rsidRDefault="000D6617">
      <w:pPr>
        <w:rPr>
          <w:rFonts w:cs="FrankRuehl"/>
          <w:sz w:val="26"/>
          <w:szCs w:val="26"/>
          <w:rtl/>
        </w:rPr>
      </w:pPr>
      <w:bookmarkStart w:id="12" w:name="TAKZIV22"/>
      <w:r>
        <w:rPr>
          <w:rFonts w:cs="FrankRuehl"/>
          <w:sz w:val="26"/>
          <w:szCs w:val="26"/>
          <w:rtl/>
        </w:rPr>
        <w:t>חשב רשות לזכויות ניצולי שואה</w:t>
      </w:r>
      <w:bookmarkEnd w:id="12"/>
      <w:r w:rsidR="0051496B" w:rsidRPr="000A3FA0">
        <w:rPr>
          <w:rFonts w:cs="FrankRuehl"/>
          <w:sz w:val="26"/>
          <w:szCs w:val="26"/>
          <w:rtl/>
        </w:rPr>
        <w:t xml:space="preserve"> </w:t>
      </w:r>
    </w:p>
    <w:p w14:paraId="4E31D554" w14:textId="0B92C59D" w:rsidR="0051496B" w:rsidRPr="000A3FA0" w:rsidRDefault="0051496B">
      <w:pPr>
        <w:rPr>
          <w:rFonts w:cs="FrankRuehl"/>
          <w:sz w:val="26"/>
          <w:szCs w:val="26"/>
          <w:rtl/>
        </w:rPr>
      </w:pPr>
      <w:r w:rsidRPr="000A3FA0">
        <w:rPr>
          <w:rFonts w:cs="FrankRuehl"/>
          <w:sz w:val="26"/>
          <w:szCs w:val="26"/>
          <w:rtl/>
        </w:rPr>
        <w:t xml:space="preserve">קצין תקציבים </w:t>
      </w:r>
      <w:bookmarkStart w:id="13" w:name="TAKZIV6"/>
      <w:r w:rsidR="000D6617">
        <w:rPr>
          <w:rFonts w:cs="FrankRuehl"/>
          <w:sz w:val="26"/>
          <w:szCs w:val="26"/>
          <w:rtl/>
        </w:rPr>
        <w:t>הרשות לניצולי השואה</w:t>
      </w:r>
      <w:bookmarkEnd w:id="13"/>
    </w:p>
    <w:p w14:paraId="68D1C537" w14:textId="18B3DD59" w:rsidR="0051496B" w:rsidRPr="000A3FA0" w:rsidRDefault="0051496B">
      <w:pPr>
        <w:rPr>
          <w:rFonts w:cs="FrankRuehl"/>
          <w:sz w:val="26"/>
          <w:szCs w:val="26"/>
          <w:rtl/>
        </w:rPr>
      </w:pPr>
      <w:r w:rsidRPr="000A3FA0">
        <w:rPr>
          <w:rFonts w:cs="FrankRuehl"/>
          <w:sz w:val="26"/>
          <w:szCs w:val="26"/>
          <w:rtl/>
        </w:rPr>
        <w:t xml:space="preserve">רפרנט </w:t>
      </w:r>
      <w:bookmarkStart w:id="14" w:name="TAKZIV6_1"/>
      <w:r w:rsidR="000D6617">
        <w:rPr>
          <w:rFonts w:cs="FrankRuehl"/>
          <w:sz w:val="26"/>
          <w:szCs w:val="26"/>
          <w:rtl/>
        </w:rPr>
        <w:t>הרשות לניצולי השואה</w:t>
      </w:r>
      <w:bookmarkEnd w:id="14"/>
    </w:p>
    <w:p w14:paraId="5287B6AE" w14:textId="77777777" w:rsidR="0051496B" w:rsidRPr="000A3FA0" w:rsidRDefault="0051496B">
      <w:pPr>
        <w:rPr>
          <w:rFonts w:cs="FrankRuehl"/>
          <w:sz w:val="26"/>
          <w:szCs w:val="26"/>
          <w:rtl/>
        </w:rPr>
      </w:pPr>
      <w:bookmarkStart w:id="15" w:name="TAKZIV23"/>
      <w:bookmarkEnd w:id="15"/>
    </w:p>
    <w:p w14:paraId="3B781A09" w14:textId="77777777" w:rsidR="0051496B" w:rsidRPr="000A3FA0" w:rsidRDefault="0051496B">
      <w:pPr>
        <w:rPr>
          <w:rFonts w:cs="FrankRuehl"/>
          <w:sz w:val="26"/>
          <w:szCs w:val="26"/>
          <w:rtl/>
        </w:rPr>
      </w:pPr>
    </w:p>
    <w:p w14:paraId="098BA988" w14:textId="6A60D0B7" w:rsidR="0051496B" w:rsidRDefault="0051496B">
      <w:pPr>
        <w:rPr>
          <w:rFonts w:cs="FrankRuehl"/>
          <w:sz w:val="26"/>
          <w:szCs w:val="26"/>
          <w:rtl/>
        </w:rPr>
      </w:pPr>
      <w:bookmarkStart w:id="16" w:name="TAKZIV25"/>
      <w:bookmarkEnd w:id="16"/>
    </w:p>
    <w:p w14:paraId="1F33EA54" w14:textId="25B156EF" w:rsidR="00C1515F" w:rsidRDefault="00C1515F">
      <w:pPr>
        <w:rPr>
          <w:rFonts w:cs="FrankRuehl"/>
          <w:sz w:val="26"/>
          <w:szCs w:val="26"/>
          <w:rtl/>
        </w:rPr>
      </w:pPr>
    </w:p>
    <w:p w14:paraId="1F60CE11" w14:textId="5FCE2157" w:rsidR="00C1515F" w:rsidRDefault="00C1515F">
      <w:pPr>
        <w:rPr>
          <w:rFonts w:cs="FrankRuehl"/>
          <w:sz w:val="26"/>
          <w:szCs w:val="26"/>
          <w:rtl/>
        </w:rPr>
      </w:pPr>
    </w:p>
    <w:p w14:paraId="01E1E52B" w14:textId="52215EF0" w:rsidR="00C1515F" w:rsidRDefault="00C1515F">
      <w:pPr>
        <w:rPr>
          <w:rFonts w:cs="FrankRuehl"/>
          <w:sz w:val="26"/>
          <w:szCs w:val="26"/>
          <w:rtl/>
        </w:rPr>
      </w:pPr>
    </w:p>
    <w:p w14:paraId="6543FF7E" w14:textId="7CAD819A" w:rsidR="00C1515F" w:rsidRDefault="00C1515F">
      <w:pPr>
        <w:rPr>
          <w:rFonts w:cs="FrankRuehl"/>
          <w:sz w:val="26"/>
          <w:szCs w:val="26"/>
          <w:rtl/>
        </w:rPr>
      </w:pPr>
    </w:p>
    <w:p w14:paraId="2751E250" w14:textId="0B63EA29" w:rsidR="00C1515F" w:rsidRDefault="00C1515F">
      <w:pPr>
        <w:rPr>
          <w:rFonts w:cs="FrankRuehl"/>
          <w:sz w:val="26"/>
          <w:szCs w:val="26"/>
          <w:rtl/>
        </w:rPr>
      </w:pPr>
    </w:p>
    <w:p w14:paraId="131AEB3B" w14:textId="0ABF0317" w:rsidR="00C1515F" w:rsidRDefault="00C1515F">
      <w:pPr>
        <w:rPr>
          <w:rFonts w:cs="FrankRuehl"/>
          <w:sz w:val="26"/>
          <w:szCs w:val="26"/>
          <w:rtl/>
        </w:rPr>
      </w:pPr>
    </w:p>
    <w:p w14:paraId="5CE635DD" w14:textId="06AD3515" w:rsidR="00C1515F" w:rsidRDefault="00C1515F">
      <w:pPr>
        <w:rPr>
          <w:rFonts w:cs="FrankRuehl"/>
          <w:sz w:val="26"/>
          <w:szCs w:val="26"/>
          <w:rtl/>
        </w:rPr>
      </w:pPr>
    </w:p>
    <w:p w14:paraId="3DDA1948" w14:textId="7308B0E6" w:rsidR="00C1515F" w:rsidRDefault="00C1515F">
      <w:pPr>
        <w:rPr>
          <w:rFonts w:cs="FrankRuehl"/>
          <w:sz w:val="26"/>
          <w:szCs w:val="26"/>
          <w:rtl/>
        </w:rPr>
      </w:pPr>
    </w:p>
    <w:p w14:paraId="2F776E47" w14:textId="13CE640D" w:rsidR="00C1515F" w:rsidRDefault="00C1515F">
      <w:pPr>
        <w:rPr>
          <w:rFonts w:cs="FrankRuehl"/>
          <w:sz w:val="26"/>
          <w:szCs w:val="26"/>
          <w:rtl/>
        </w:rPr>
      </w:pPr>
    </w:p>
    <w:p w14:paraId="6FE0FA6C" w14:textId="24F3E7D0" w:rsidR="00C1515F" w:rsidRDefault="00C1515F">
      <w:pPr>
        <w:rPr>
          <w:rFonts w:cs="FrankRuehl"/>
          <w:sz w:val="26"/>
          <w:szCs w:val="26"/>
          <w:rtl/>
        </w:rPr>
      </w:pPr>
    </w:p>
    <w:p w14:paraId="3C10E3AA" w14:textId="6EFAC713" w:rsidR="00C1515F" w:rsidRDefault="00C1515F">
      <w:pPr>
        <w:rPr>
          <w:rFonts w:cs="FrankRuehl"/>
          <w:sz w:val="26"/>
          <w:szCs w:val="26"/>
          <w:rtl/>
        </w:rPr>
      </w:pPr>
    </w:p>
    <w:p w14:paraId="25B40756" w14:textId="068A2338" w:rsidR="00C1515F" w:rsidRDefault="00C1515F">
      <w:pPr>
        <w:rPr>
          <w:rFonts w:cs="FrankRuehl"/>
          <w:sz w:val="26"/>
          <w:szCs w:val="26"/>
          <w:rtl/>
        </w:rPr>
      </w:pPr>
    </w:p>
    <w:p w14:paraId="7C75DEED" w14:textId="50F62428" w:rsidR="00C1515F" w:rsidRDefault="00C1515F">
      <w:pPr>
        <w:rPr>
          <w:rFonts w:cs="FrankRuehl"/>
          <w:sz w:val="26"/>
          <w:szCs w:val="26"/>
          <w:rtl/>
        </w:rPr>
      </w:pPr>
    </w:p>
    <w:p w14:paraId="0DD5E854" w14:textId="623E912A" w:rsidR="00C1515F" w:rsidRDefault="00C1515F">
      <w:pPr>
        <w:rPr>
          <w:rFonts w:cs="FrankRuehl"/>
          <w:sz w:val="26"/>
          <w:szCs w:val="26"/>
          <w:rtl/>
        </w:rPr>
      </w:pPr>
    </w:p>
    <w:p w14:paraId="1553F05F" w14:textId="50392681" w:rsidR="00C1515F" w:rsidRDefault="00C1515F">
      <w:pPr>
        <w:rPr>
          <w:rFonts w:cs="FrankRuehl"/>
          <w:sz w:val="26"/>
          <w:szCs w:val="26"/>
          <w:rtl/>
        </w:rPr>
      </w:pPr>
    </w:p>
    <w:p w14:paraId="3B871355" w14:textId="47FD7002" w:rsidR="00C1515F" w:rsidRDefault="00C1515F">
      <w:pPr>
        <w:rPr>
          <w:rFonts w:cs="FrankRuehl"/>
          <w:sz w:val="26"/>
          <w:szCs w:val="26"/>
          <w:rtl/>
        </w:rPr>
      </w:pPr>
    </w:p>
    <w:p w14:paraId="60BEC52E" w14:textId="119F685B" w:rsidR="00C1515F" w:rsidRDefault="00C1515F">
      <w:pPr>
        <w:rPr>
          <w:rFonts w:cs="FrankRuehl"/>
          <w:sz w:val="26"/>
          <w:szCs w:val="26"/>
          <w:rtl/>
        </w:rPr>
      </w:pPr>
    </w:p>
    <w:p w14:paraId="2B731B17" w14:textId="79E30563" w:rsidR="00C1515F" w:rsidRDefault="00C1515F">
      <w:pPr>
        <w:rPr>
          <w:rFonts w:cs="FrankRuehl"/>
          <w:sz w:val="26"/>
          <w:szCs w:val="26"/>
          <w:rtl/>
        </w:rPr>
      </w:pPr>
    </w:p>
    <w:p w14:paraId="1552A479" w14:textId="1E7C7307" w:rsidR="00C1515F" w:rsidRDefault="00C1515F">
      <w:pPr>
        <w:rPr>
          <w:rFonts w:cs="FrankRuehl"/>
          <w:sz w:val="26"/>
          <w:szCs w:val="26"/>
          <w:rtl/>
        </w:rPr>
      </w:pPr>
    </w:p>
    <w:p w14:paraId="27558872" w14:textId="17603A09" w:rsidR="00C1515F" w:rsidRDefault="00C1515F">
      <w:pPr>
        <w:rPr>
          <w:rFonts w:cs="FrankRuehl"/>
          <w:sz w:val="26"/>
          <w:szCs w:val="26"/>
          <w:rtl/>
        </w:rPr>
      </w:pPr>
    </w:p>
    <w:p w14:paraId="619F1CB8" w14:textId="301DBA8D" w:rsidR="00C1515F" w:rsidRDefault="00C1515F">
      <w:pPr>
        <w:rPr>
          <w:rFonts w:cs="FrankRuehl"/>
          <w:sz w:val="26"/>
          <w:szCs w:val="26"/>
          <w:rtl/>
        </w:rPr>
      </w:pPr>
    </w:p>
    <w:p w14:paraId="7F8A88CA" w14:textId="00AE97DC" w:rsidR="00C1515F" w:rsidRDefault="00C1515F">
      <w:pPr>
        <w:rPr>
          <w:rFonts w:cs="FrankRuehl"/>
          <w:sz w:val="26"/>
          <w:szCs w:val="26"/>
          <w:rtl/>
        </w:rPr>
      </w:pPr>
    </w:p>
    <w:p w14:paraId="45048ABE" w14:textId="5A4B813A" w:rsidR="00C1515F" w:rsidRDefault="00C1515F">
      <w:pPr>
        <w:rPr>
          <w:rFonts w:cs="FrankRuehl"/>
          <w:sz w:val="26"/>
          <w:szCs w:val="26"/>
          <w:rtl/>
        </w:rPr>
      </w:pPr>
    </w:p>
    <w:p w14:paraId="1DA96A16" w14:textId="07578392" w:rsidR="00C1515F" w:rsidRDefault="00C1515F">
      <w:pPr>
        <w:rPr>
          <w:rFonts w:cs="FrankRuehl"/>
          <w:sz w:val="26"/>
          <w:szCs w:val="26"/>
          <w:rtl/>
        </w:rPr>
      </w:pPr>
    </w:p>
    <w:p w14:paraId="435F26A5" w14:textId="345A6108" w:rsidR="00C1515F" w:rsidRDefault="00C1515F">
      <w:pPr>
        <w:rPr>
          <w:rFonts w:cs="FrankRuehl"/>
          <w:sz w:val="26"/>
          <w:szCs w:val="26"/>
          <w:rtl/>
        </w:rPr>
      </w:pPr>
    </w:p>
    <w:p w14:paraId="0A4948A0" w14:textId="3873D800" w:rsidR="00C1515F" w:rsidRDefault="00C1515F">
      <w:pPr>
        <w:rPr>
          <w:rFonts w:cs="FrankRuehl"/>
          <w:sz w:val="26"/>
          <w:szCs w:val="26"/>
          <w:rtl/>
        </w:rPr>
      </w:pPr>
    </w:p>
    <w:p w14:paraId="4F32427A" w14:textId="562D314A" w:rsidR="00C1515F" w:rsidRDefault="00C1515F">
      <w:pPr>
        <w:rPr>
          <w:rFonts w:cs="FrankRuehl"/>
          <w:sz w:val="26"/>
          <w:szCs w:val="26"/>
          <w:rtl/>
        </w:rPr>
      </w:pPr>
    </w:p>
    <w:p w14:paraId="1EC8BE19" w14:textId="1631933C" w:rsidR="00C1515F" w:rsidRDefault="00C1515F">
      <w:pPr>
        <w:rPr>
          <w:rFonts w:cs="FrankRuehl"/>
          <w:sz w:val="26"/>
          <w:szCs w:val="26"/>
          <w:rtl/>
        </w:rPr>
      </w:pPr>
    </w:p>
    <w:p w14:paraId="06EA2996" w14:textId="1F414F4B" w:rsidR="00C1515F" w:rsidRDefault="00C1515F">
      <w:pPr>
        <w:rPr>
          <w:rFonts w:cs="FrankRuehl"/>
          <w:sz w:val="26"/>
          <w:szCs w:val="26"/>
          <w:rtl/>
        </w:rPr>
      </w:pPr>
    </w:p>
    <w:p w14:paraId="278BB0B0" w14:textId="35060B82" w:rsidR="00C1515F" w:rsidRDefault="00C1515F">
      <w:pPr>
        <w:rPr>
          <w:rFonts w:cs="FrankRuehl"/>
          <w:sz w:val="26"/>
          <w:szCs w:val="26"/>
          <w:rtl/>
        </w:rPr>
      </w:pPr>
    </w:p>
    <w:p w14:paraId="43F43D36" w14:textId="0BDD294C" w:rsidR="00C1515F" w:rsidRDefault="00C1515F">
      <w:pPr>
        <w:rPr>
          <w:rFonts w:cs="FrankRuehl"/>
          <w:sz w:val="26"/>
          <w:szCs w:val="26"/>
          <w:rtl/>
        </w:rPr>
      </w:pPr>
    </w:p>
    <w:p w14:paraId="3E85F292" w14:textId="33B79A17" w:rsidR="00C1515F" w:rsidRDefault="00C1515F">
      <w:pPr>
        <w:rPr>
          <w:rFonts w:cs="FrankRuehl"/>
          <w:sz w:val="26"/>
          <w:szCs w:val="26"/>
          <w:rtl/>
        </w:rPr>
      </w:pPr>
    </w:p>
    <w:p w14:paraId="259F3009" w14:textId="67028E47" w:rsidR="00C1515F" w:rsidRDefault="00C1515F">
      <w:pPr>
        <w:rPr>
          <w:rFonts w:cs="FrankRuehl"/>
          <w:sz w:val="26"/>
          <w:szCs w:val="26"/>
          <w:rtl/>
        </w:rPr>
      </w:pPr>
    </w:p>
    <w:p w14:paraId="68191ECB" w14:textId="26BF4C41" w:rsidR="00C1515F" w:rsidRDefault="00C1515F">
      <w:pPr>
        <w:rPr>
          <w:rFonts w:cs="FrankRuehl"/>
          <w:sz w:val="26"/>
          <w:szCs w:val="26"/>
          <w:rtl/>
        </w:rPr>
      </w:pPr>
    </w:p>
    <w:p w14:paraId="13DD32C8" w14:textId="27F1DBFA" w:rsidR="00C1515F" w:rsidRDefault="00C1515F">
      <w:pPr>
        <w:rPr>
          <w:rFonts w:cs="FrankRuehl"/>
          <w:sz w:val="26"/>
          <w:szCs w:val="26"/>
          <w:rtl/>
        </w:rPr>
      </w:pPr>
    </w:p>
    <w:p w14:paraId="0490DDF1" w14:textId="449F0B0A" w:rsidR="00C1515F" w:rsidRDefault="00C1515F">
      <w:pPr>
        <w:rPr>
          <w:rFonts w:cs="FrankRuehl"/>
          <w:sz w:val="26"/>
          <w:szCs w:val="26"/>
          <w:rtl/>
        </w:rPr>
      </w:pPr>
    </w:p>
    <w:p w14:paraId="24776A15" w14:textId="77777777" w:rsidR="00C1515F" w:rsidRDefault="00C1515F">
      <w:pPr>
        <w:rPr>
          <w:rFonts w:cs="FrankRuehl"/>
          <w:sz w:val="26"/>
          <w:szCs w:val="26"/>
          <w:rtl/>
        </w:rPr>
      </w:pPr>
    </w:p>
    <w:p w14:paraId="1350D695" w14:textId="1F44C3CF" w:rsidR="00C1515F" w:rsidRDefault="00C1515F">
      <w:pPr>
        <w:rPr>
          <w:rFonts w:cs="FrankRuehl"/>
          <w:sz w:val="26"/>
          <w:szCs w:val="26"/>
          <w:rtl/>
        </w:rPr>
      </w:pPr>
    </w:p>
    <w:p w14:paraId="2C18A016" w14:textId="47C23532" w:rsidR="00C1515F" w:rsidRDefault="00C1515F">
      <w:pPr>
        <w:rPr>
          <w:rFonts w:cs="FrankRuehl"/>
          <w:sz w:val="26"/>
          <w:szCs w:val="26"/>
          <w:rtl/>
        </w:rPr>
      </w:pPr>
    </w:p>
    <w:p w14:paraId="007FAAC4" w14:textId="3CC6CE63" w:rsidR="00C1515F" w:rsidRDefault="00C1515F">
      <w:pPr>
        <w:rPr>
          <w:rFonts w:cs="FrankRuehl"/>
          <w:sz w:val="26"/>
          <w:szCs w:val="26"/>
          <w:rtl/>
        </w:rPr>
      </w:pPr>
    </w:p>
    <w:p w14:paraId="31E873C0" w14:textId="4AA49509" w:rsidR="00C1515F" w:rsidRPr="00C1515F" w:rsidRDefault="00C1515F" w:rsidP="00C1515F">
      <w:pPr>
        <w:jc w:val="center"/>
        <w:rPr>
          <w:rFonts w:cs="FrankRuehl"/>
          <w:b/>
          <w:bCs/>
          <w:sz w:val="26"/>
          <w:szCs w:val="26"/>
          <w:u w:val="single"/>
          <w:rtl/>
        </w:rPr>
      </w:pPr>
      <w:r w:rsidRPr="00C1515F">
        <w:rPr>
          <w:rFonts w:cs="FrankRuehl" w:hint="cs"/>
          <w:b/>
          <w:bCs/>
          <w:sz w:val="26"/>
          <w:szCs w:val="26"/>
          <w:u w:val="single"/>
          <w:rtl/>
        </w:rPr>
        <w:lastRenderedPageBreak/>
        <w:t>נספח לדברי ההסבר</w:t>
      </w:r>
    </w:p>
    <w:p w14:paraId="3C4ECE2E" w14:textId="36489107" w:rsidR="00C1515F" w:rsidRDefault="00C1515F">
      <w:pPr>
        <w:rPr>
          <w:rFonts w:cs="FrankRuehl"/>
          <w:sz w:val="26"/>
          <w:szCs w:val="26"/>
          <w:rtl/>
        </w:rPr>
      </w:pPr>
    </w:p>
    <w:tbl>
      <w:tblPr>
        <w:bidiVisual/>
        <w:tblW w:w="5000" w:type="pct"/>
        <w:tblLook w:val="04A0" w:firstRow="1" w:lastRow="0" w:firstColumn="1" w:lastColumn="0" w:noHBand="0" w:noVBand="1"/>
      </w:tblPr>
      <w:tblGrid>
        <w:gridCol w:w="993"/>
        <w:gridCol w:w="1222"/>
        <w:gridCol w:w="844"/>
        <w:gridCol w:w="994"/>
        <w:gridCol w:w="844"/>
        <w:gridCol w:w="994"/>
        <w:gridCol w:w="844"/>
        <w:gridCol w:w="995"/>
        <w:gridCol w:w="793"/>
      </w:tblGrid>
      <w:tr w:rsidR="00C1515F" w14:paraId="7DF2C677" w14:textId="77777777" w:rsidTr="00B927BB">
        <w:trPr>
          <w:trHeight w:val="290"/>
        </w:trPr>
        <w:tc>
          <w:tcPr>
            <w:tcW w:w="4535" w:type="pct"/>
            <w:gridSpan w:val="8"/>
            <w:vAlign w:val="center"/>
            <w:hideMark/>
          </w:tcPr>
          <w:p w14:paraId="61C2D7B8" w14:textId="34C1A77B" w:rsidR="00C1515F" w:rsidRPr="00C1515F" w:rsidRDefault="00C1515F" w:rsidP="00C1515F">
            <w:pPr>
              <w:jc w:val="center"/>
              <w:rPr>
                <w:rFonts w:ascii="Calibri" w:hAnsi="Calibri" w:cs="Calibri"/>
                <w:b/>
                <w:bCs/>
                <w:color w:val="000000"/>
                <w:szCs w:val="20"/>
                <w:lang w:eastAsia="en-US"/>
              </w:rPr>
            </w:pPr>
            <w:r w:rsidRPr="00C1515F">
              <w:rPr>
                <w:rFonts w:cs="FrankRuehl"/>
                <w:b/>
                <w:bCs/>
                <w:sz w:val="26"/>
                <w:szCs w:val="26"/>
                <w:rtl/>
              </w:rPr>
              <w:t xml:space="preserve">היסטוריה תקציבית של הפנייה </w:t>
            </w:r>
          </w:p>
        </w:tc>
        <w:tc>
          <w:tcPr>
            <w:tcW w:w="465" w:type="pct"/>
            <w:noWrap/>
            <w:vAlign w:val="bottom"/>
            <w:hideMark/>
          </w:tcPr>
          <w:p w14:paraId="0ADA90D4" w14:textId="77777777" w:rsidR="00C1515F" w:rsidRDefault="00C1515F" w:rsidP="00B2216D">
            <w:pPr>
              <w:rPr>
                <w:rFonts w:ascii="Calibri" w:hAnsi="Calibri" w:cs="Calibri"/>
                <w:b/>
                <w:bCs/>
                <w:color w:val="000000"/>
                <w:szCs w:val="20"/>
              </w:rPr>
            </w:pPr>
          </w:p>
        </w:tc>
      </w:tr>
      <w:tr w:rsidR="00C1515F" w14:paraId="0C49A327" w14:textId="77777777" w:rsidTr="00B927BB">
        <w:trPr>
          <w:trHeight w:val="290"/>
        </w:trPr>
        <w:tc>
          <w:tcPr>
            <w:tcW w:w="583" w:type="pct"/>
            <w:vAlign w:val="center"/>
          </w:tcPr>
          <w:p w14:paraId="65B4BEEF" w14:textId="77777777" w:rsidR="00C1515F" w:rsidRDefault="00C1515F" w:rsidP="00B2216D">
            <w:pPr>
              <w:rPr>
                <w:rFonts w:ascii="Calibri" w:hAnsi="Calibri" w:cs="Arial"/>
                <w:szCs w:val="20"/>
              </w:rPr>
            </w:pPr>
          </w:p>
        </w:tc>
        <w:tc>
          <w:tcPr>
            <w:tcW w:w="717" w:type="pct"/>
            <w:noWrap/>
            <w:vAlign w:val="bottom"/>
          </w:tcPr>
          <w:p w14:paraId="620DD2D4" w14:textId="77777777" w:rsidR="00C1515F" w:rsidRDefault="00C1515F" w:rsidP="00B2216D">
            <w:pPr>
              <w:rPr>
                <w:rFonts w:ascii="Calibri" w:hAnsi="Calibri" w:cs="Arial"/>
                <w:szCs w:val="20"/>
              </w:rPr>
            </w:pPr>
          </w:p>
        </w:tc>
        <w:tc>
          <w:tcPr>
            <w:tcW w:w="495" w:type="pct"/>
            <w:noWrap/>
            <w:vAlign w:val="bottom"/>
          </w:tcPr>
          <w:p w14:paraId="475E0075" w14:textId="77777777" w:rsidR="00C1515F" w:rsidRDefault="00C1515F" w:rsidP="00B2216D">
            <w:pPr>
              <w:rPr>
                <w:rFonts w:ascii="Calibri" w:hAnsi="Calibri" w:cs="Arial"/>
                <w:szCs w:val="20"/>
              </w:rPr>
            </w:pPr>
          </w:p>
        </w:tc>
        <w:tc>
          <w:tcPr>
            <w:tcW w:w="583" w:type="pct"/>
            <w:noWrap/>
            <w:vAlign w:val="bottom"/>
          </w:tcPr>
          <w:p w14:paraId="7C44627D" w14:textId="77777777" w:rsidR="00C1515F" w:rsidRDefault="00C1515F" w:rsidP="00B2216D">
            <w:pPr>
              <w:rPr>
                <w:rFonts w:ascii="Calibri" w:hAnsi="Calibri" w:cs="Arial"/>
                <w:szCs w:val="20"/>
              </w:rPr>
            </w:pPr>
          </w:p>
        </w:tc>
        <w:tc>
          <w:tcPr>
            <w:tcW w:w="495" w:type="pct"/>
            <w:noWrap/>
            <w:vAlign w:val="bottom"/>
          </w:tcPr>
          <w:p w14:paraId="66835B61" w14:textId="77777777" w:rsidR="00C1515F" w:rsidRDefault="00C1515F" w:rsidP="00B2216D">
            <w:pPr>
              <w:rPr>
                <w:rFonts w:ascii="Calibri" w:hAnsi="Calibri" w:cs="Arial"/>
                <w:szCs w:val="20"/>
              </w:rPr>
            </w:pPr>
          </w:p>
        </w:tc>
        <w:tc>
          <w:tcPr>
            <w:tcW w:w="583" w:type="pct"/>
            <w:noWrap/>
            <w:vAlign w:val="bottom"/>
          </w:tcPr>
          <w:p w14:paraId="58558FBF" w14:textId="77777777" w:rsidR="00C1515F" w:rsidRDefault="00C1515F" w:rsidP="00B2216D">
            <w:pPr>
              <w:rPr>
                <w:rFonts w:ascii="Calibri" w:hAnsi="Calibri" w:cs="Arial"/>
                <w:szCs w:val="20"/>
              </w:rPr>
            </w:pPr>
          </w:p>
        </w:tc>
        <w:tc>
          <w:tcPr>
            <w:tcW w:w="495" w:type="pct"/>
            <w:noWrap/>
            <w:vAlign w:val="bottom"/>
          </w:tcPr>
          <w:p w14:paraId="657887B9" w14:textId="77777777" w:rsidR="00C1515F" w:rsidRDefault="00C1515F" w:rsidP="00B2216D">
            <w:pPr>
              <w:rPr>
                <w:rFonts w:ascii="Calibri" w:hAnsi="Calibri" w:cs="Arial"/>
                <w:szCs w:val="20"/>
              </w:rPr>
            </w:pPr>
          </w:p>
        </w:tc>
        <w:tc>
          <w:tcPr>
            <w:tcW w:w="583" w:type="pct"/>
            <w:noWrap/>
            <w:vAlign w:val="bottom"/>
          </w:tcPr>
          <w:p w14:paraId="5BFBAF47" w14:textId="77777777" w:rsidR="00C1515F" w:rsidRDefault="00C1515F" w:rsidP="00B2216D">
            <w:pPr>
              <w:rPr>
                <w:rFonts w:ascii="Calibri" w:hAnsi="Calibri" w:cs="Arial"/>
                <w:szCs w:val="20"/>
              </w:rPr>
            </w:pPr>
          </w:p>
        </w:tc>
        <w:tc>
          <w:tcPr>
            <w:tcW w:w="465" w:type="pct"/>
            <w:noWrap/>
            <w:vAlign w:val="bottom"/>
          </w:tcPr>
          <w:p w14:paraId="61802649" w14:textId="77777777" w:rsidR="00C1515F" w:rsidRDefault="00C1515F" w:rsidP="00B2216D">
            <w:pPr>
              <w:rPr>
                <w:rFonts w:ascii="Calibri" w:hAnsi="Calibri" w:cs="Arial"/>
                <w:szCs w:val="20"/>
              </w:rPr>
            </w:pPr>
          </w:p>
        </w:tc>
      </w:tr>
    </w:tbl>
    <w:p w14:paraId="788C09B3" w14:textId="77777777" w:rsidR="00C72C3B" w:rsidRPr="00C72C3B" w:rsidRDefault="00C72C3B" w:rsidP="00C72C3B">
      <w:pPr>
        <w:rPr>
          <w:vanish/>
        </w:rPr>
      </w:pPr>
    </w:p>
    <w:tbl>
      <w:tblPr>
        <w:tblW w:w="5000" w:type="pct"/>
        <w:tblLook w:val="04A0" w:firstRow="1" w:lastRow="0" w:firstColumn="1" w:lastColumn="0" w:noHBand="0" w:noVBand="1"/>
      </w:tblPr>
      <w:tblGrid>
        <w:gridCol w:w="1650"/>
        <w:gridCol w:w="1894"/>
        <w:gridCol w:w="1650"/>
        <w:gridCol w:w="1650"/>
        <w:gridCol w:w="1679"/>
      </w:tblGrid>
      <w:tr w:rsidR="00B927BB" w:rsidRPr="00B927BB" w14:paraId="70205AA3" w14:textId="77777777" w:rsidTr="00B927BB">
        <w:trPr>
          <w:trHeight w:val="675"/>
        </w:trPr>
        <w:tc>
          <w:tcPr>
            <w:tcW w:w="968" w:type="pct"/>
            <w:tcBorders>
              <w:top w:val="single" w:sz="4" w:space="0" w:color="979991"/>
              <w:left w:val="single" w:sz="4" w:space="0" w:color="979991"/>
              <w:bottom w:val="nil"/>
              <w:right w:val="nil"/>
            </w:tcBorders>
            <w:shd w:val="clear" w:color="000000" w:fill="F0F4FA"/>
            <w:vAlign w:val="center"/>
            <w:hideMark/>
          </w:tcPr>
          <w:p w14:paraId="36B40C74" w14:textId="77777777" w:rsidR="00B927BB" w:rsidRPr="00B927BB" w:rsidRDefault="00B927BB" w:rsidP="00B927BB">
            <w:pPr>
              <w:overflowPunct/>
              <w:autoSpaceDE/>
              <w:autoSpaceDN/>
              <w:adjustRightInd/>
              <w:jc w:val="center"/>
              <w:textAlignment w:val="auto"/>
              <w:rPr>
                <w:rFonts w:ascii="Calibri" w:hAnsi="Calibri" w:cs="Calibri"/>
                <w:b/>
                <w:bCs/>
                <w:color w:val="000000"/>
                <w:sz w:val="16"/>
                <w:szCs w:val="16"/>
                <w:lang w:eastAsia="en-US"/>
              </w:rPr>
            </w:pPr>
            <w:r w:rsidRPr="00B927BB">
              <w:rPr>
                <w:rFonts w:ascii="Calibri" w:hAnsi="Calibri" w:cs="Calibri"/>
                <w:b/>
                <w:bCs/>
                <w:color w:val="000000"/>
                <w:sz w:val="16"/>
                <w:szCs w:val="16"/>
                <w:rtl/>
                <w:lang w:eastAsia="en-US"/>
              </w:rPr>
              <w:t>קוד תוכנית</w:t>
            </w:r>
          </w:p>
        </w:tc>
        <w:tc>
          <w:tcPr>
            <w:tcW w:w="1111" w:type="pct"/>
            <w:tcBorders>
              <w:top w:val="single" w:sz="4" w:space="0" w:color="979991"/>
              <w:left w:val="single" w:sz="4" w:space="0" w:color="979991"/>
              <w:bottom w:val="single" w:sz="4" w:space="0" w:color="979991"/>
              <w:right w:val="nil"/>
            </w:tcBorders>
            <w:shd w:val="clear" w:color="000000" w:fill="F0F4FA"/>
            <w:vAlign w:val="center"/>
            <w:hideMark/>
          </w:tcPr>
          <w:p w14:paraId="344E8686" w14:textId="77777777" w:rsidR="00B927BB" w:rsidRPr="00B927BB" w:rsidRDefault="00B927BB" w:rsidP="00B927BB">
            <w:pPr>
              <w:overflowPunct/>
              <w:autoSpaceDE/>
              <w:autoSpaceDN/>
              <w:adjustRightInd/>
              <w:jc w:val="center"/>
              <w:textAlignment w:val="auto"/>
              <w:rPr>
                <w:rFonts w:ascii="Calibri" w:hAnsi="Calibri" w:cs="Calibri"/>
                <w:b/>
                <w:bCs/>
                <w:color w:val="000000"/>
                <w:sz w:val="16"/>
                <w:szCs w:val="16"/>
                <w:rtl/>
                <w:lang w:eastAsia="en-US"/>
              </w:rPr>
            </w:pPr>
            <w:r w:rsidRPr="00B927BB">
              <w:rPr>
                <w:rFonts w:ascii="Calibri" w:hAnsi="Calibri" w:cs="Calibri"/>
                <w:b/>
                <w:bCs/>
                <w:color w:val="000000"/>
                <w:sz w:val="16"/>
                <w:szCs w:val="16"/>
                <w:rtl/>
                <w:lang w:eastAsia="en-US"/>
              </w:rPr>
              <w:t>השינוי התקציבי של העודף המוצע בפניה</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438B87FD" w14:textId="77777777" w:rsidR="00B927BB" w:rsidRPr="00B927BB" w:rsidRDefault="00B927BB" w:rsidP="00B927BB">
            <w:pPr>
              <w:overflowPunct/>
              <w:autoSpaceDE/>
              <w:autoSpaceDN/>
              <w:adjustRightInd/>
              <w:jc w:val="center"/>
              <w:textAlignment w:val="auto"/>
              <w:rPr>
                <w:rFonts w:ascii="Calibri" w:hAnsi="Calibri" w:cs="Calibri"/>
                <w:b/>
                <w:bCs/>
                <w:color w:val="000000"/>
                <w:sz w:val="16"/>
                <w:szCs w:val="16"/>
                <w:rtl/>
                <w:lang w:eastAsia="en-US"/>
              </w:rPr>
            </w:pPr>
            <w:r w:rsidRPr="00B927BB">
              <w:rPr>
                <w:rFonts w:ascii="Calibri" w:hAnsi="Calibri" w:cs="Calibri"/>
                <w:b/>
                <w:bCs/>
                <w:color w:val="000000"/>
                <w:sz w:val="16"/>
                <w:szCs w:val="16"/>
                <w:rtl/>
                <w:lang w:eastAsia="en-US"/>
              </w:rPr>
              <w:t>סך עודף שהועבר ב-2025</w:t>
            </w:r>
          </w:p>
        </w:tc>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5AECCF6C" w14:textId="77777777" w:rsidR="00B927BB" w:rsidRPr="00B927BB" w:rsidRDefault="00B927BB" w:rsidP="00B927BB">
            <w:pPr>
              <w:overflowPunct/>
              <w:autoSpaceDE/>
              <w:autoSpaceDN/>
              <w:adjustRightInd/>
              <w:jc w:val="center"/>
              <w:textAlignment w:val="auto"/>
              <w:rPr>
                <w:rFonts w:ascii="Calibri" w:hAnsi="Calibri" w:cs="Calibri"/>
                <w:b/>
                <w:bCs/>
                <w:color w:val="000000"/>
                <w:sz w:val="16"/>
                <w:szCs w:val="16"/>
                <w:rtl/>
                <w:lang w:eastAsia="en-US"/>
              </w:rPr>
            </w:pPr>
            <w:r w:rsidRPr="00B927BB">
              <w:rPr>
                <w:rFonts w:ascii="Calibri" w:hAnsi="Calibri" w:cs="Calibri"/>
                <w:b/>
                <w:bCs/>
                <w:color w:val="000000"/>
                <w:sz w:val="16"/>
                <w:szCs w:val="16"/>
                <w:rtl/>
                <w:lang w:eastAsia="en-US"/>
              </w:rPr>
              <w:t>סך עודף שהועבר ב-2024</w:t>
            </w:r>
          </w:p>
        </w:tc>
        <w:tc>
          <w:tcPr>
            <w:tcW w:w="986" w:type="pct"/>
            <w:tcBorders>
              <w:top w:val="single" w:sz="4" w:space="0" w:color="979991"/>
              <w:left w:val="single" w:sz="4" w:space="0" w:color="979991"/>
              <w:bottom w:val="single" w:sz="4" w:space="0" w:color="979991"/>
              <w:right w:val="single" w:sz="4" w:space="0" w:color="979991"/>
            </w:tcBorders>
            <w:shd w:val="clear" w:color="000000" w:fill="F0F4FA"/>
            <w:vAlign w:val="center"/>
            <w:hideMark/>
          </w:tcPr>
          <w:p w14:paraId="49DE4C42" w14:textId="77777777" w:rsidR="00B927BB" w:rsidRPr="00B927BB" w:rsidRDefault="00B927BB" w:rsidP="00B927BB">
            <w:pPr>
              <w:overflowPunct/>
              <w:autoSpaceDE/>
              <w:autoSpaceDN/>
              <w:adjustRightInd/>
              <w:jc w:val="center"/>
              <w:textAlignment w:val="auto"/>
              <w:rPr>
                <w:rFonts w:ascii="Calibri" w:hAnsi="Calibri" w:cs="Calibri"/>
                <w:b/>
                <w:bCs/>
                <w:color w:val="000000"/>
                <w:sz w:val="16"/>
                <w:szCs w:val="16"/>
                <w:rtl/>
                <w:lang w:eastAsia="en-US"/>
              </w:rPr>
            </w:pPr>
            <w:r w:rsidRPr="00B927BB">
              <w:rPr>
                <w:rFonts w:ascii="Calibri" w:hAnsi="Calibri" w:cs="Calibri"/>
                <w:b/>
                <w:bCs/>
                <w:color w:val="000000"/>
                <w:sz w:val="16"/>
                <w:szCs w:val="16"/>
                <w:rtl/>
                <w:lang w:eastAsia="en-US"/>
              </w:rPr>
              <w:t>סך עודף שהועבר ב-2023</w:t>
            </w:r>
          </w:p>
        </w:tc>
      </w:tr>
      <w:tr w:rsidR="00B927BB" w:rsidRPr="00B927BB" w14:paraId="6E0FB6B9" w14:textId="77777777" w:rsidTr="00B927BB">
        <w:trPr>
          <w:trHeight w:val="300"/>
        </w:trPr>
        <w:tc>
          <w:tcPr>
            <w:tcW w:w="968" w:type="pct"/>
            <w:tcBorders>
              <w:top w:val="single" w:sz="4" w:space="0" w:color="979991"/>
              <w:left w:val="single" w:sz="4" w:space="0" w:color="979991"/>
              <w:bottom w:val="single" w:sz="4" w:space="0" w:color="979991"/>
              <w:right w:val="nil"/>
            </w:tcBorders>
            <w:shd w:val="clear" w:color="000000" w:fill="F0F4FA"/>
            <w:vAlign w:val="center"/>
            <w:hideMark/>
          </w:tcPr>
          <w:p w14:paraId="2442172D"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rtl/>
                <w:lang w:eastAsia="en-US"/>
              </w:rPr>
            </w:pPr>
            <w:r w:rsidRPr="00B927BB">
              <w:rPr>
                <w:rFonts w:ascii="Calibri" w:hAnsi="Calibri" w:cs="Calibri"/>
                <w:color w:val="000000"/>
                <w:sz w:val="16"/>
                <w:szCs w:val="16"/>
                <w:lang w:eastAsia="en-US"/>
              </w:rPr>
              <w:t>250102</w:t>
            </w:r>
          </w:p>
        </w:tc>
        <w:tc>
          <w:tcPr>
            <w:tcW w:w="1111" w:type="pct"/>
            <w:tcBorders>
              <w:top w:val="nil"/>
              <w:left w:val="single" w:sz="4" w:space="0" w:color="979991"/>
              <w:bottom w:val="single" w:sz="4" w:space="0" w:color="979991"/>
              <w:right w:val="nil"/>
            </w:tcBorders>
            <w:shd w:val="clear" w:color="000000" w:fill="FFFFFF"/>
            <w:vAlign w:val="center"/>
            <w:hideMark/>
          </w:tcPr>
          <w:p w14:paraId="167FEBD9"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25,900</w:t>
            </w:r>
          </w:p>
        </w:tc>
        <w:tc>
          <w:tcPr>
            <w:tcW w:w="968" w:type="pct"/>
            <w:tcBorders>
              <w:top w:val="nil"/>
              <w:left w:val="single" w:sz="4" w:space="0" w:color="979991"/>
              <w:bottom w:val="single" w:sz="4" w:space="0" w:color="979991"/>
              <w:right w:val="nil"/>
            </w:tcBorders>
            <w:shd w:val="clear" w:color="000000" w:fill="FFFFFF"/>
            <w:vAlign w:val="center"/>
            <w:hideMark/>
          </w:tcPr>
          <w:p w14:paraId="448796C9"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18,402</w:t>
            </w:r>
          </w:p>
        </w:tc>
        <w:tc>
          <w:tcPr>
            <w:tcW w:w="968" w:type="pct"/>
            <w:tcBorders>
              <w:top w:val="nil"/>
              <w:left w:val="single" w:sz="4" w:space="0" w:color="979991"/>
              <w:bottom w:val="single" w:sz="4" w:space="0" w:color="979991"/>
              <w:right w:val="nil"/>
            </w:tcBorders>
            <w:shd w:val="clear" w:color="000000" w:fill="FFFFFF"/>
            <w:vAlign w:val="center"/>
            <w:hideMark/>
          </w:tcPr>
          <w:p w14:paraId="20B06447"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31,412</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2A03C7AB"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41,413</w:t>
            </w:r>
          </w:p>
        </w:tc>
      </w:tr>
      <w:tr w:rsidR="00B927BB" w:rsidRPr="00B927BB" w14:paraId="4118D720" w14:textId="77777777" w:rsidTr="00B927BB">
        <w:trPr>
          <w:trHeight w:val="300"/>
        </w:trPr>
        <w:tc>
          <w:tcPr>
            <w:tcW w:w="968" w:type="pct"/>
            <w:tcBorders>
              <w:top w:val="nil"/>
              <w:left w:val="single" w:sz="4" w:space="0" w:color="979991"/>
              <w:bottom w:val="single" w:sz="4" w:space="0" w:color="979991"/>
              <w:right w:val="nil"/>
            </w:tcBorders>
            <w:shd w:val="clear" w:color="000000" w:fill="F0F4FA"/>
            <w:vAlign w:val="center"/>
            <w:hideMark/>
          </w:tcPr>
          <w:p w14:paraId="6BE1BB9C"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250202</w:t>
            </w:r>
          </w:p>
        </w:tc>
        <w:tc>
          <w:tcPr>
            <w:tcW w:w="1111" w:type="pct"/>
            <w:tcBorders>
              <w:top w:val="nil"/>
              <w:left w:val="single" w:sz="4" w:space="0" w:color="979991"/>
              <w:bottom w:val="single" w:sz="4" w:space="0" w:color="979991"/>
              <w:right w:val="nil"/>
            </w:tcBorders>
            <w:shd w:val="clear" w:color="000000" w:fill="FFFFFF"/>
            <w:vAlign w:val="center"/>
            <w:hideMark/>
          </w:tcPr>
          <w:p w14:paraId="4DE738CC"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104,728</w:t>
            </w:r>
          </w:p>
        </w:tc>
        <w:tc>
          <w:tcPr>
            <w:tcW w:w="968" w:type="pct"/>
            <w:tcBorders>
              <w:top w:val="nil"/>
              <w:left w:val="single" w:sz="4" w:space="0" w:color="979991"/>
              <w:bottom w:val="single" w:sz="4" w:space="0" w:color="979991"/>
              <w:right w:val="nil"/>
            </w:tcBorders>
            <w:shd w:val="clear" w:color="000000" w:fill="FFFFFF"/>
            <w:vAlign w:val="center"/>
            <w:hideMark/>
          </w:tcPr>
          <w:p w14:paraId="3A7ABDF4"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23,764</w:t>
            </w:r>
          </w:p>
        </w:tc>
        <w:tc>
          <w:tcPr>
            <w:tcW w:w="968" w:type="pct"/>
            <w:tcBorders>
              <w:top w:val="nil"/>
              <w:left w:val="single" w:sz="4" w:space="0" w:color="979991"/>
              <w:bottom w:val="single" w:sz="4" w:space="0" w:color="979991"/>
              <w:right w:val="nil"/>
            </w:tcBorders>
            <w:shd w:val="clear" w:color="000000" w:fill="FFFFFF"/>
            <w:vAlign w:val="center"/>
            <w:hideMark/>
          </w:tcPr>
          <w:p w14:paraId="11D61D4C"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53,359</w:t>
            </w:r>
          </w:p>
        </w:tc>
        <w:tc>
          <w:tcPr>
            <w:tcW w:w="986" w:type="pct"/>
            <w:tcBorders>
              <w:top w:val="nil"/>
              <w:left w:val="single" w:sz="4" w:space="0" w:color="979991"/>
              <w:bottom w:val="single" w:sz="4" w:space="0" w:color="979991"/>
              <w:right w:val="single" w:sz="4" w:space="0" w:color="979991"/>
            </w:tcBorders>
            <w:shd w:val="clear" w:color="000000" w:fill="FFFFFF"/>
            <w:vAlign w:val="center"/>
            <w:hideMark/>
          </w:tcPr>
          <w:p w14:paraId="5E2EB66A" w14:textId="77777777" w:rsidR="00B927BB" w:rsidRPr="00B927BB" w:rsidRDefault="00B927BB" w:rsidP="00B927BB">
            <w:pPr>
              <w:overflowPunct/>
              <w:autoSpaceDE/>
              <w:autoSpaceDN/>
              <w:bidi w:val="0"/>
              <w:adjustRightInd/>
              <w:jc w:val="center"/>
              <w:textAlignment w:val="auto"/>
              <w:rPr>
                <w:rFonts w:ascii="Calibri" w:hAnsi="Calibri" w:cs="Calibri"/>
                <w:color w:val="000000"/>
                <w:sz w:val="16"/>
                <w:szCs w:val="16"/>
                <w:lang w:eastAsia="en-US"/>
              </w:rPr>
            </w:pPr>
            <w:r w:rsidRPr="00B927BB">
              <w:rPr>
                <w:rFonts w:ascii="Calibri" w:hAnsi="Calibri" w:cs="Calibri"/>
                <w:color w:val="000000"/>
                <w:sz w:val="16"/>
                <w:szCs w:val="16"/>
                <w:lang w:eastAsia="en-US"/>
              </w:rPr>
              <w:t>62,325</w:t>
            </w:r>
          </w:p>
        </w:tc>
      </w:tr>
    </w:tbl>
    <w:p w14:paraId="18F09CFA" w14:textId="77777777" w:rsidR="00C1515F" w:rsidRPr="000A3FA0" w:rsidRDefault="00C1515F">
      <w:pPr>
        <w:rPr>
          <w:rFonts w:cs="FrankRuehl" w:hint="cs"/>
          <w:sz w:val="26"/>
          <w:szCs w:val="26"/>
          <w:rtl/>
        </w:rPr>
      </w:pPr>
    </w:p>
    <w:sectPr w:rsidR="00C1515F" w:rsidRPr="000A3FA0" w:rsidSect="00A32326">
      <w:headerReference w:type="even" r:id="rId7"/>
      <w:headerReference w:type="default" r:id="rId8"/>
      <w:footerReference w:type="even" r:id="rId9"/>
      <w:footerReference w:type="default" r:id="rId10"/>
      <w:headerReference w:type="first" r:id="rId11"/>
      <w:footerReference w:type="first" r:id="rId12"/>
      <w:endnotePr>
        <w:numFmt w:val="lowerLetter"/>
      </w:endnotePr>
      <w:pgSz w:w="11907" w:h="16839" w:code="9"/>
      <w:pgMar w:top="1440" w:right="1800" w:bottom="1440" w:left="1800" w:header="720" w:footer="720" w:gutter="0"/>
      <w:cols w:space="720"/>
      <w:bidi/>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35BCF6" w14:textId="77777777" w:rsidR="00C72C3B" w:rsidRDefault="00C72C3B" w:rsidP="00A32326">
      <w:r>
        <w:separator/>
      </w:r>
    </w:p>
  </w:endnote>
  <w:endnote w:type="continuationSeparator" w:id="0">
    <w:p w14:paraId="33D7058D" w14:textId="77777777" w:rsidR="00C72C3B" w:rsidRDefault="00C72C3B" w:rsidP="00A32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arkisim">
    <w:altName w:val="FrankRuehl"/>
    <w:panose1 w:val="020E050205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Guttman Kav">
    <w:panose1 w:val="02010401010101010101"/>
    <w:charset w:val="B1"/>
    <w:family w:val="auto"/>
    <w:pitch w:val="variable"/>
    <w:sig w:usb0="00000801" w:usb1="40000000" w:usb2="00000000" w:usb3="00000000" w:csb0="00000020" w:csb1="00000000"/>
  </w:font>
  <w:font w:name="Guttman Haim-Condensed">
    <w:panose1 w:val="02010401010101010101"/>
    <w:charset w:val="B1"/>
    <w:family w:val="auto"/>
    <w:pitch w:val="variable"/>
    <w:sig w:usb0="00000801" w:usb1="40000000" w:usb2="00000000" w:usb3="00000000" w:csb0="00000020" w:csb1="00000000"/>
  </w:font>
  <w:font w:name="FrankRuehl">
    <w:panose1 w:val="020E0503060101010101"/>
    <w:charset w:val="00"/>
    <w:family w:val="swiss"/>
    <w:pitch w:val="variable"/>
    <w:sig w:usb0="00000803" w:usb1="00000000" w:usb2="00000000" w:usb3="00000000" w:csb0="0000002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97140C" w14:textId="77777777" w:rsidR="0096594F" w:rsidRDefault="0096594F">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CA08C" w14:textId="77777777" w:rsidR="0096594F" w:rsidRDefault="0096594F">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02AF6A" w14:textId="77777777" w:rsidR="0096594F" w:rsidRDefault="0096594F">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93E83" w14:textId="77777777" w:rsidR="00C72C3B" w:rsidRDefault="00C72C3B" w:rsidP="00A32326">
      <w:r>
        <w:separator/>
      </w:r>
    </w:p>
  </w:footnote>
  <w:footnote w:type="continuationSeparator" w:id="0">
    <w:p w14:paraId="2E45750A" w14:textId="77777777" w:rsidR="00C72C3B" w:rsidRDefault="00C72C3B" w:rsidP="00A32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7F039A" w14:textId="77777777" w:rsidR="0096594F" w:rsidRDefault="0096594F">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87C506" w14:textId="77777777" w:rsidR="00A32326" w:rsidRPr="00CB5FFD" w:rsidRDefault="00C72C3B" w:rsidP="00A32326">
    <w:pPr>
      <w:pStyle w:val="a4"/>
      <w:jc w:val="right"/>
      <w:rPr>
        <w:color w:val="4F81BD"/>
        <w:rtl/>
        <w:cs/>
      </w:rPr>
    </w:pPr>
    <w:r>
      <w:rPr>
        <w:noProof/>
        <w:rtl/>
      </w:rPr>
      <w:pict w14:anchorId="7FA405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2" type="#_x0000_t75" style="position:absolute;margin-left:-90pt;margin-top:-88.05pt;width:594.75pt;height:87.3pt;z-index:1;mso-position-horizontal-relative:margin;mso-position-vertical-relative:margin">
          <v:imagedata r:id="rId1" o:title="Header"/>
          <w10:wrap type="square" anchorx="margin" anchory="margin"/>
        </v:shape>
      </w:pict>
    </w:r>
  </w:p>
  <w:p w14:paraId="7B9E4B05" w14:textId="77777777" w:rsidR="00A32326" w:rsidRPr="00CB5FFD" w:rsidRDefault="00A32326" w:rsidP="00A32326">
    <w:pPr>
      <w:pStyle w:val="a4"/>
      <w:jc w:val="right"/>
      <w:rPr>
        <w:color w:val="4F81BD"/>
        <w:rtl/>
        <w:cs/>
      </w:rPr>
    </w:pPr>
  </w:p>
  <w:p w14:paraId="02B108D7" w14:textId="77777777" w:rsidR="00A32326" w:rsidRDefault="00A32326" w:rsidP="00A32326">
    <w:pPr>
      <w:pStyle w:val="a4"/>
    </w:pPr>
  </w:p>
  <w:p w14:paraId="5CACC3B2" w14:textId="77777777" w:rsidR="00A32326" w:rsidRDefault="00A3232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8E755" w14:textId="77777777" w:rsidR="0096594F" w:rsidRDefault="0096594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7CA5C96"/>
    <w:multiLevelType w:val="multilevel"/>
    <w:tmpl w:val="51A0BF56"/>
    <w:lvl w:ilvl="0">
      <w:start w:val="1"/>
      <w:numFmt w:val="decimal"/>
      <w:lvlText w:val="%1 ."/>
      <w:lvlJc w:val="left"/>
      <w:pPr>
        <w:tabs>
          <w:tab w:val="num" w:pos="397"/>
        </w:tabs>
        <w:ind w:left="397" w:hanging="397"/>
      </w:pPr>
      <w:rPr>
        <w:b w:val="0"/>
        <w:bCs w:val="0"/>
      </w:r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abstractNum w:abstractNumId="1" w15:restartNumberingAfterBreak="0">
    <w:nsid w:val="5E5E785A"/>
    <w:multiLevelType w:val="multilevel"/>
    <w:tmpl w:val="51A0BF56"/>
    <w:lvl w:ilvl="0">
      <w:start w:val="1"/>
      <w:numFmt w:val="decimal"/>
      <w:lvlText w:val="%1 ."/>
      <w:lvlJc w:val="left"/>
      <w:pPr>
        <w:tabs>
          <w:tab w:val="num" w:pos="397"/>
        </w:tabs>
        <w:ind w:left="397" w:hanging="397"/>
      </w:pPr>
      <w:rPr>
        <w:b w:val="0"/>
        <w:bCs w:val="0"/>
      </w:rPr>
    </w:lvl>
    <w:lvl w:ilvl="1">
      <w:start w:val="1"/>
      <w:numFmt w:val="hebrew1"/>
      <w:lvlText w:val="%2."/>
      <w:lvlJc w:val="left"/>
      <w:pPr>
        <w:tabs>
          <w:tab w:val="num" w:pos="794"/>
        </w:tabs>
        <w:ind w:left="794" w:hanging="397"/>
      </w:pPr>
    </w:lvl>
    <w:lvl w:ilvl="2">
      <w:start w:val="1"/>
      <w:numFmt w:val="decimal"/>
      <w:lvlText w:val="%3)"/>
      <w:lvlJc w:val="left"/>
      <w:pPr>
        <w:tabs>
          <w:tab w:val="num" w:pos="1247"/>
        </w:tabs>
        <w:ind w:left="1247" w:hanging="453"/>
      </w:pPr>
    </w:lvl>
    <w:lvl w:ilvl="3">
      <w:start w:val="1"/>
      <w:numFmt w:val="hebrew1"/>
      <w:lvlText w:val="%4)"/>
      <w:lvlJc w:val="left"/>
      <w:pPr>
        <w:tabs>
          <w:tab w:val="num" w:pos="1701"/>
        </w:tabs>
        <w:ind w:left="1701" w:hanging="454"/>
      </w:pPr>
    </w:lvl>
    <w:lvl w:ilvl="4">
      <w:start w:val="1"/>
      <w:numFmt w:val="decimal"/>
      <w:lvlText w:val="(%5)"/>
      <w:lvlJc w:val="left"/>
      <w:pPr>
        <w:tabs>
          <w:tab w:val="num" w:pos="2211"/>
        </w:tabs>
        <w:ind w:left="2211" w:hanging="510"/>
      </w:pPr>
    </w:lvl>
    <w:lvl w:ilvl="5">
      <w:start w:val="1"/>
      <w:numFmt w:val="hebrew1"/>
      <w:lvlText w:val="(%6)"/>
      <w:lvlJc w:val="left"/>
      <w:pPr>
        <w:tabs>
          <w:tab w:val="num" w:pos="2721"/>
        </w:tabs>
        <w:ind w:left="2721" w:hanging="510"/>
      </w:pPr>
    </w:lvl>
    <w:lvl w:ilvl="6">
      <w:start w:val="1"/>
      <w:numFmt w:val="upperLetter"/>
      <w:lvlText w:val="%7."/>
      <w:lvlJc w:val="left"/>
      <w:pPr>
        <w:tabs>
          <w:tab w:val="num" w:pos="3118"/>
        </w:tabs>
        <w:ind w:left="3118" w:hanging="397"/>
      </w:pPr>
    </w:lvl>
    <w:lvl w:ilvl="7">
      <w:start w:val="1"/>
      <w:numFmt w:val="lowerLetter"/>
      <w:lvlText w:val="%8."/>
      <w:lvlJc w:val="left"/>
      <w:pPr>
        <w:tabs>
          <w:tab w:val="num" w:pos="3685"/>
        </w:tabs>
        <w:ind w:left="3685" w:hanging="567"/>
      </w:pPr>
    </w:lvl>
    <w:lvl w:ilvl="8">
      <w:start w:val="1"/>
      <w:numFmt w:val="lowerRoman"/>
      <w:lvlText w:val="%9."/>
      <w:lvlJc w:val="left"/>
      <w:pPr>
        <w:tabs>
          <w:tab w:val="num" w:pos="4252"/>
        </w:tabs>
        <w:ind w:left="4252" w:hanging="567"/>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63"/>
    <o:shapelayout v:ext="edit">
      <o:idmap v:ext="edit" data="2"/>
    </o:shapelayout>
  </w:hdrShapeDefaults>
  <w:footnotePr>
    <w:footnote w:id="-1"/>
    <w:footnote w:id="0"/>
  </w:footnotePr>
  <w:endnotePr>
    <w:numFmt w:val="lowerLette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1496B"/>
    <w:rsid w:val="000062C3"/>
    <w:rsid w:val="000A3FA0"/>
    <w:rsid w:val="000D6617"/>
    <w:rsid w:val="00411078"/>
    <w:rsid w:val="00507569"/>
    <w:rsid w:val="0051496B"/>
    <w:rsid w:val="00596B46"/>
    <w:rsid w:val="007332A2"/>
    <w:rsid w:val="0096594F"/>
    <w:rsid w:val="009E3253"/>
    <w:rsid w:val="00A14A9C"/>
    <w:rsid w:val="00A32326"/>
    <w:rsid w:val="00A51CFB"/>
    <w:rsid w:val="00A6761F"/>
    <w:rsid w:val="00AA18F1"/>
    <w:rsid w:val="00AC0FB8"/>
    <w:rsid w:val="00B927BB"/>
    <w:rsid w:val="00BE74E8"/>
    <w:rsid w:val="00C1515F"/>
    <w:rsid w:val="00C72C3B"/>
    <w:rsid w:val="00C81BEB"/>
    <w:rsid w:val="00D00A6A"/>
    <w:rsid w:val="00D02451"/>
    <w:rsid w:val="00D1564D"/>
    <w:rsid w:val="00D15DD5"/>
    <w:rsid w:val="00E15D12"/>
    <w:rsid w:val="00F7434C"/>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1"/>
    </o:shapelayout>
  </w:shapeDefaults>
  <w:decimalSymbol w:val="."/>
  <w:listSeparator w:val=","/>
  <w14:docId w14:val="312D48FD"/>
  <w15:chartTrackingRefBased/>
  <w15:docId w15:val="{48F446EA-7D42-4FD9-9957-F309C84E1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e-I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overflowPunct w:val="0"/>
      <w:autoSpaceDE w:val="0"/>
      <w:autoSpaceDN w:val="0"/>
      <w:bidi/>
      <w:adjustRightInd w:val="0"/>
      <w:textAlignment w:val="baseline"/>
    </w:pPr>
    <w:rPr>
      <w:rFonts w:cs="Narkisim"/>
      <w:szCs w:val="24"/>
      <w:lang w:eastAsia="he-IL"/>
    </w:rPr>
  </w:style>
  <w:style w:type="paragraph" w:styleId="1">
    <w:name w:val="heading 1"/>
    <w:basedOn w:val="a"/>
    <w:next w:val="a"/>
    <w:qFormat/>
    <w:pPr>
      <w:keepNext/>
      <w:tabs>
        <w:tab w:val="left" w:pos="276"/>
        <w:tab w:val="left" w:pos="851"/>
        <w:tab w:val="left" w:pos="1418"/>
        <w:tab w:val="left" w:pos="2472"/>
        <w:tab w:val="left" w:pos="4498"/>
        <w:tab w:val="left" w:pos="6796"/>
        <w:tab w:val="left" w:pos="8856"/>
      </w:tabs>
      <w:spacing w:before="80" w:after="120"/>
      <w:ind w:left="448" w:right="130" w:hanging="170"/>
      <w:outlineLvl w:val="0"/>
    </w:pPr>
    <w:rPr>
      <w:rFonts w:ascii="Arial" w:hAnsi="Arial" w:cs="Guttman Kav"/>
      <w:b/>
      <w:bCs/>
      <w:kern w:val="28"/>
      <w:sz w:val="18"/>
      <w:szCs w:val="32"/>
    </w:rPr>
  </w:style>
  <w:style w:type="paragraph" w:styleId="2">
    <w:name w:val="heading 2"/>
    <w:basedOn w:val="a"/>
    <w:next w:val="a"/>
    <w:qFormat/>
    <w:pPr>
      <w:tabs>
        <w:tab w:val="left" w:pos="276"/>
      </w:tabs>
      <w:spacing w:before="120" w:after="48"/>
      <w:ind w:left="278" w:right="357" w:hanging="2"/>
      <w:outlineLvl w:val="1"/>
    </w:pPr>
    <w:rPr>
      <w:rFonts w:ascii="Arial" w:hAnsi="Arial" w:cs="Guttman Haim-Condensed"/>
      <w:b/>
      <w:bCs/>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rmalindentnumberedinabullet">
    <w:name w:val="normal indent numbered in a bullet"/>
    <w:basedOn w:val="a3"/>
    <w:pPr>
      <w:tabs>
        <w:tab w:val="left" w:pos="851"/>
        <w:tab w:val="left" w:pos="1418"/>
        <w:tab w:val="left" w:pos="2472"/>
        <w:tab w:val="left" w:pos="4498"/>
        <w:tab w:val="left" w:pos="6796"/>
        <w:tab w:val="left" w:pos="8856"/>
      </w:tabs>
      <w:ind w:left="618" w:right="510" w:hanging="170"/>
    </w:pPr>
  </w:style>
  <w:style w:type="paragraph" w:styleId="a3">
    <w:name w:val="Normal Indent"/>
    <w:basedOn w:val="a"/>
    <w:pPr>
      <w:ind w:left="720"/>
    </w:pPr>
  </w:style>
  <w:style w:type="paragraph" w:customStyle="1" w:styleId="Normalindentnumberindent">
    <w:name w:val="Normal indent number indent"/>
    <w:basedOn w:val="a"/>
    <w:pPr>
      <w:tabs>
        <w:tab w:val="left" w:pos="851"/>
        <w:tab w:val="left" w:pos="1418"/>
        <w:tab w:val="left" w:pos="2472"/>
        <w:tab w:val="left" w:pos="4498"/>
        <w:tab w:val="left" w:pos="6796"/>
        <w:tab w:val="left" w:pos="8856"/>
      </w:tabs>
      <w:ind w:left="702" w:right="510" w:hanging="872"/>
    </w:pPr>
  </w:style>
  <w:style w:type="paragraph" w:styleId="a4">
    <w:name w:val="header"/>
    <w:basedOn w:val="a"/>
    <w:link w:val="a5"/>
    <w:uiPriority w:val="99"/>
    <w:unhideWhenUsed/>
    <w:rsid w:val="00A32326"/>
    <w:pPr>
      <w:tabs>
        <w:tab w:val="center" w:pos="4153"/>
        <w:tab w:val="right" w:pos="8306"/>
      </w:tabs>
    </w:pPr>
  </w:style>
  <w:style w:type="paragraph" w:customStyle="1" w:styleId="a6">
    <w:name w:val="כותרת נדון"/>
    <w:basedOn w:val="a"/>
    <w:rPr>
      <w:bCs/>
      <w:szCs w:val="26"/>
      <w:u w:val="single"/>
    </w:rPr>
  </w:style>
  <w:style w:type="paragraph" w:customStyle="1" w:styleId="a7">
    <w:name w:val="מדינת ישראל"/>
    <w:basedOn w:val="a"/>
    <w:pPr>
      <w:jc w:val="center"/>
    </w:pPr>
    <w:rPr>
      <w:b/>
      <w:bCs/>
      <w:szCs w:val="28"/>
    </w:rPr>
  </w:style>
  <w:style w:type="character" w:customStyle="1" w:styleId="a5">
    <w:name w:val="כותרת עליונה תו"/>
    <w:link w:val="a4"/>
    <w:uiPriority w:val="99"/>
    <w:rsid w:val="00A32326"/>
    <w:rPr>
      <w:rFonts w:cs="Narkisim"/>
      <w:szCs w:val="24"/>
      <w:lang w:eastAsia="he-IL"/>
    </w:rPr>
  </w:style>
  <w:style w:type="paragraph" w:styleId="a8">
    <w:name w:val="footer"/>
    <w:basedOn w:val="a"/>
    <w:link w:val="a9"/>
    <w:uiPriority w:val="99"/>
    <w:unhideWhenUsed/>
    <w:rsid w:val="00A32326"/>
    <w:pPr>
      <w:tabs>
        <w:tab w:val="center" w:pos="4153"/>
        <w:tab w:val="right" w:pos="8306"/>
      </w:tabs>
    </w:pPr>
  </w:style>
  <w:style w:type="character" w:customStyle="1" w:styleId="a9">
    <w:name w:val="כותרת תחתונה תו"/>
    <w:link w:val="a8"/>
    <w:uiPriority w:val="99"/>
    <w:rsid w:val="00A32326"/>
    <w:rPr>
      <w:rFonts w:cs="Narkisim"/>
      <w:szCs w:val="24"/>
      <w:lang w:eastAsia="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337264">
      <w:bodyDiv w:val="1"/>
      <w:marLeft w:val="0"/>
      <w:marRight w:val="0"/>
      <w:marTop w:val="0"/>
      <w:marBottom w:val="0"/>
      <w:divBdr>
        <w:top w:val="none" w:sz="0" w:space="0" w:color="auto"/>
        <w:left w:val="none" w:sz="0" w:space="0" w:color="auto"/>
        <w:bottom w:val="none" w:sz="0" w:space="0" w:color="auto"/>
        <w:right w:val="none" w:sz="0" w:space="0" w:color="auto"/>
      </w:divBdr>
    </w:div>
    <w:div w:id="1041706891">
      <w:bodyDiv w:val="1"/>
      <w:marLeft w:val="0"/>
      <w:marRight w:val="0"/>
      <w:marTop w:val="0"/>
      <w:marBottom w:val="0"/>
      <w:divBdr>
        <w:top w:val="none" w:sz="0" w:space="0" w:color="auto"/>
        <w:left w:val="none" w:sz="0" w:space="0" w:color="auto"/>
        <w:bottom w:val="none" w:sz="0" w:space="0" w:color="auto"/>
        <w:right w:val="none" w:sz="0" w:space="0" w:color="auto"/>
      </w:divBdr>
    </w:div>
    <w:div w:id="1569416574">
      <w:bodyDiv w:val="1"/>
      <w:marLeft w:val="0"/>
      <w:marRight w:val="0"/>
      <w:marTop w:val="0"/>
      <w:marBottom w:val="0"/>
      <w:divBdr>
        <w:top w:val="none" w:sz="0" w:space="0" w:color="auto"/>
        <w:left w:val="none" w:sz="0" w:space="0" w:color="auto"/>
        <w:bottom w:val="none" w:sz="0" w:space="0" w:color="auto"/>
        <w:right w:val="none" w:sz="0" w:space="0" w:color="auto"/>
      </w:divBdr>
      <w:divsChild>
        <w:div w:id="1875313214">
          <w:marLeft w:val="0"/>
          <w:marRight w:val="0"/>
          <w:marTop w:val="0"/>
          <w:marBottom w:val="0"/>
          <w:divBdr>
            <w:top w:val="none" w:sz="0" w:space="0" w:color="auto"/>
            <w:left w:val="none" w:sz="0" w:space="0" w:color="auto"/>
            <w:bottom w:val="none" w:sz="0" w:space="0" w:color="auto"/>
            <w:right w:val="none" w:sz="0" w:space="0" w:color="auto"/>
          </w:divBdr>
          <w:divsChild>
            <w:div w:id="478154320">
              <w:marLeft w:val="60"/>
              <w:marRight w:val="0"/>
              <w:marTop w:val="0"/>
              <w:marBottom w:val="60"/>
              <w:divBdr>
                <w:top w:val="none" w:sz="0" w:space="0" w:color="auto"/>
                <w:left w:val="none" w:sz="0" w:space="0" w:color="auto"/>
                <w:bottom w:val="none" w:sz="0" w:space="0" w:color="auto"/>
                <w:right w:val="none" w:sz="0" w:space="0" w:color="auto"/>
              </w:divBdr>
              <w:divsChild>
                <w:div w:id="1948151150">
                  <w:marLeft w:val="0"/>
                  <w:marRight w:val="0"/>
                  <w:marTop w:val="0"/>
                  <w:marBottom w:val="0"/>
                  <w:divBdr>
                    <w:top w:val="none" w:sz="0" w:space="0" w:color="auto"/>
                    <w:left w:val="none" w:sz="0" w:space="0" w:color="auto"/>
                    <w:bottom w:val="none" w:sz="0" w:space="0" w:color="auto"/>
                    <w:right w:val="none" w:sz="0" w:space="0" w:color="auto"/>
                  </w:divBdr>
                  <w:divsChild>
                    <w:div w:id="428233069">
                      <w:marLeft w:val="0"/>
                      <w:marRight w:val="0"/>
                      <w:marTop w:val="0"/>
                      <w:marBottom w:val="0"/>
                      <w:divBdr>
                        <w:top w:val="none" w:sz="0" w:space="0" w:color="auto"/>
                        <w:left w:val="none" w:sz="0" w:space="0" w:color="auto"/>
                        <w:bottom w:val="none" w:sz="0" w:space="0" w:color="auto"/>
                        <w:right w:val="none" w:sz="0" w:space="0" w:color="auto"/>
                      </w:divBdr>
                      <w:divsChild>
                        <w:div w:id="1847860433">
                          <w:marLeft w:val="0"/>
                          <w:marRight w:val="0"/>
                          <w:marTop w:val="0"/>
                          <w:marBottom w:val="0"/>
                          <w:divBdr>
                            <w:top w:val="none" w:sz="0" w:space="0" w:color="auto"/>
                            <w:left w:val="none" w:sz="0" w:space="0" w:color="auto"/>
                            <w:bottom w:val="none" w:sz="0" w:space="0" w:color="auto"/>
                            <w:right w:val="none" w:sz="0" w:space="0" w:color="auto"/>
                          </w:divBdr>
                          <w:divsChild>
                            <w:div w:id="720401756">
                              <w:marLeft w:val="0"/>
                              <w:marRight w:val="0"/>
                              <w:marTop w:val="0"/>
                              <w:marBottom w:val="0"/>
                              <w:divBdr>
                                <w:top w:val="none" w:sz="0" w:space="0" w:color="auto"/>
                                <w:left w:val="none" w:sz="0" w:space="0" w:color="auto"/>
                                <w:bottom w:val="none" w:sz="0" w:space="0" w:color="auto"/>
                                <w:right w:val="none" w:sz="0" w:space="0" w:color="auto"/>
                              </w:divBdr>
                              <w:divsChild>
                                <w:div w:id="705061876">
                                  <w:marLeft w:val="0"/>
                                  <w:marRight w:val="0"/>
                                  <w:marTop w:val="0"/>
                                  <w:marBottom w:val="0"/>
                                  <w:divBdr>
                                    <w:top w:val="none" w:sz="0" w:space="0" w:color="auto"/>
                                    <w:left w:val="none" w:sz="0" w:space="0" w:color="auto"/>
                                    <w:bottom w:val="none" w:sz="0" w:space="0" w:color="auto"/>
                                    <w:right w:val="none" w:sz="0" w:space="0" w:color="auto"/>
                                  </w:divBdr>
                                  <w:divsChild>
                                    <w:div w:id="1049836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218544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346</Words>
  <Characters>1731</Characters>
  <Application>Microsoft Office Word</Application>
  <DocSecurity>0</DocSecurity>
  <Lines>14</Lines>
  <Paragraphs>4</Paragraphs>
  <ScaleCrop>false</ScaleCrop>
  <HeadingPairs>
    <vt:vector size="6" baseType="variant">
      <vt:variant>
        <vt:lpstr>Title</vt:lpstr>
      </vt:variant>
      <vt:variant>
        <vt:i4>1</vt:i4>
      </vt:variant>
      <vt:variant>
        <vt:lpstr>שם</vt:lpstr>
      </vt:variant>
      <vt:variant>
        <vt:i4>1</vt:i4>
      </vt:variant>
      <vt:variant>
        <vt:lpstr/>
      </vt:variant>
      <vt:variant>
        <vt:i4>0</vt:i4>
      </vt:variant>
    </vt:vector>
  </HeadingPairs>
  <TitlesOfParts>
    <vt:vector size="2" baseType="lpstr">
      <vt:lpstr/>
      <vt:lpstr/>
    </vt:vector>
  </TitlesOfParts>
  <Company>משרד האוצר</Company>
  <LinksUpToDate>false</LinksUpToDate>
  <CharactersWithSpaces>2073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משרד האוצר</dc:creator>
  <cp:keywords/>
  <dc:description/>
  <cp:lastModifiedBy>שמרית יצחקי</cp:lastModifiedBy>
  <cp:revision>6</cp:revision>
  <cp:lastPrinted>1899-12-31T22:00:00Z</cp:lastPrinted>
  <dcterms:created xsi:type="dcterms:W3CDTF">2026-04-28T09:44:00Z</dcterms:created>
  <dcterms:modified xsi:type="dcterms:W3CDTF">2026-04-28T12:53:00Z</dcterms:modified>
</cp:coreProperties>
</file>