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0767B" w14:textId="77777777" w:rsidR="0051496B" w:rsidRDefault="0051496B">
      <w:pPr>
        <w:pStyle w:val="a7"/>
        <w:rPr>
          <w:rtl/>
        </w:rPr>
      </w:pPr>
      <w:r>
        <w:rPr>
          <w:rtl/>
        </w:rPr>
        <w:t>מדינת ישראל</w:t>
      </w:r>
    </w:p>
    <w:p w14:paraId="028E3F1A" w14:textId="77777777" w:rsidR="0051496B" w:rsidRDefault="0051496B">
      <w:pPr>
        <w:pStyle w:val="a7"/>
        <w:rPr>
          <w:rtl/>
        </w:rPr>
      </w:pPr>
      <w:r>
        <w:rPr>
          <w:rtl/>
        </w:rPr>
        <w:t>האוצר - אגף התקציבים</w:t>
      </w:r>
    </w:p>
    <w:p w14:paraId="261789EF" w14:textId="77777777" w:rsidR="0051496B" w:rsidRDefault="0051496B">
      <w:pPr>
        <w:rPr>
          <w:rtl/>
        </w:rPr>
      </w:pPr>
    </w:p>
    <w:p w14:paraId="70136639" w14:textId="77777777" w:rsidR="0051496B" w:rsidRDefault="0051496B">
      <w:pPr>
        <w:rPr>
          <w:rtl/>
        </w:rPr>
      </w:pPr>
    </w:p>
    <w:p w14:paraId="334585BB" w14:textId="77777777" w:rsidR="0051496B" w:rsidRPr="000A3FA0" w:rsidRDefault="0051496B">
      <w:pPr>
        <w:tabs>
          <w:tab w:val="left" w:pos="6300"/>
        </w:tabs>
        <w:rPr>
          <w:rFonts w:cs="FrankRuehl"/>
          <w:sz w:val="26"/>
          <w:szCs w:val="26"/>
          <w:rtl/>
        </w:rPr>
      </w:pPr>
      <w:r>
        <w:rPr>
          <w:rtl/>
        </w:rPr>
        <w:tab/>
      </w:r>
      <w:bookmarkStart w:id="0" w:name="TAKZIV8"/>
      <w:bookmarkEnd w:id="0"/>
    </w:p>
    <w:p w14:paraId="0D281581"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55CD9CAD"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4C007622" w14:textId="006DBA40"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CC5EE3">
        <w:rPr>
          <w:rFonts w:cs="FrankRuehl"/>
          <w:sz w:val="26"/>
          <w:szCs w:val="26"/>
          <w:rtl/>
        </w:rPr>
        <w:t>001</w:t>
      </w:r>
      <w:bookmarkEnd w:id="2"/>
      <w:r w:rsidRPr="000A3FA0">
        <w:rPr>
          <w:rFonts w:cs="FrankRuehl"/>
          <w:sz w:val="26"/>
          <w:szCs w:val="26"/>
          <w:rtl/>
        </w:rPr>
        <w:t xml:space="preserve"> - </w:t>
      </w:r>
      <w:bookmarkStart w:id="3" w:name="TAKZIV3"/>
      <w:r w:rsidR="00CC5EE3">
        <w:rPr>
          <w:rFonts w:cs="FrankRuehl"/>
          <w:sz w:val="26"/>
          <w:szCs w:val="26"/>
          <w:rtl/>
        </w:rPr>
        <w:t>24</w:t>
      </w:r>
      <w:bookmarkEnd w:id="3"/>
    </w:p>
    <w:p w14:paraId="48C0D5A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28D1900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0A8F625E" w14:textId="77777777" w:rsidR="0051496B" w:rsidRPr="000A3FA0" w:rsidRDefault="0051496B">
      <w:pPr>
        <w:rPr>
          <w:rFonts w:cs="FrankRuehl"/>
          <w:sz w:val="26"/>
          <w:szCs w:val="26"/>
          <w:rtl/>
        </w:rPr>
      </w:pPr>
      <w:r w:rsidRPr="000A3FA0">
        <w:rPr>
          <w:rFonts w:cs="FrankRuehl"/>
          <w:sz w:val="26"/>
          <w:szCs w:val="26"/>
          <w:rtl/>
        </w:rPr>
        <w:t>לכבוד,</w:t>
      </w:r>
    </w:p>
    <w:p w14:paraId="39BD735C" w14:textId="77777777" w:rsidR="0051496B" w:rsidRPr="000A3FA0" w:rsidRDefault="0051496B">
      <w:pPr>
        <w:rPr>
          <w:rFonts w:cs="FrankRuehl"/>
          <w:sz w:val="26"/>
          <w:szCs w:val="26"/>
          <w:rtl/>
        </w:rPr>
      </w:pPr>
      <w:r w:rsidRPr="000A3FA0">
        <w:rPr>
          <w:rFonts w:cs="FrankRuehl"/>
          <w:sz w:val="26"/>
          <w:szCs w:val="26"/>
          <w:rtl/>
        </w:rPr>
        <w:t>יו"ר ועדת הכספים</w:t>
      </w:r>
    </w:p>
    <w:p w14:paraId="33FF67A4" w14:textId="77777777" w:rsidR="0051496B" w:rsidRPr="000A3FA0" w:rsidRDefault="0051496B">
      <w:pPr>
        <w:rPr>
          <w:rFonts w:cs="FrankRuehl"/>
          <w:sz w:val="26"/>
          <w:szCs w:val="26"/>
          <w:rtl/>
        </w:rPr>
      </w:pPr>
      <w:r w:rsidRPr="000A3FA0">
        <w:rPr>
          <w:rFonts w:cs="FrankRuehl"/>
          <w:sz w:val="26"/>
          <w:szCs w:val="26"/>
          <w:rtl/>
        </w:rPr>
        <w:t>הכנסת</w:t>
      </w:r>
    </w:p>
    <w:p w14:paraId="6837C289" w14:textId="77777777" w:rsidR="0051496B" w:rsidRPr="000A3FA0" w:rsidRDefault="0051496B">
      <w:pPr>
        <w:rPr>
          <w:rFonts w:cs="FrankRuehl"/>
          <w:sz w:val="26"/>
          <w:szCs w:val="26"/>
          <w:rtl/>
        </w:rPr>
      </w:pPr>
    </w:p>
    <w:p w14:paraId="3E2EF84E" w14:textId="77777777" w:rsidR="0051496B" w:rsidRPr="000A3FA0" w:rsidRDefault="0051496B">
      <w:pPr>
        <w:rPr>
          <w:rFonts w:cs="FrankRuehl"/>
          <w:sz w:val="26"/>
          <w:szCs w:val="26"/>
          <w:rtl/>
        </w:rPr>
      </w:pPr>
      <w:r w:rsidRPr="000A3FA0">
        <w:rPr>
          <w:rFonts w:cs="FrankRuehl"/>
          <w:sz w:val="26"/>
          <w:szCs w:val="26"/>
          <w:rtl/>
        </w:rPr>
        <w:t>א.נ.,</w:t>
      </w:r>
    </w:p>
    <w:p w14:paraId="2AF8AFD0" w14:textId="77777777" w:rsidR="0051496B" w:rsidRPr="000A3FA0" w:rsidRDefault="0051496B">
      <w:pPr>
        <w:rPr>
          <w:rFonts w:cs="FrankRuehl"/>
          <w:sz w:val="26"/>
          <w:szCs w:val="26"/>
          <w:rtl/>
        </w:rPr>
      </w:pPr>
    </w:p>
    <w:p w14:paraId="217D927C" w14:textId="66B109E3"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CC5EE3">
        <w:rPr>
          <w:rFonts w:cs="FrankRuehl"/>
          <w:sz w:val="26"/>
          <w:rtl/>
        </w:rPr>
        <w:t>2026</w:t>
      </w:r>
      <w:bookmarkEnd w:id="5"/>
      <w:r w:rsidRPr="000A3FA0">
        <w:rPr>
          <w:rFonts w:cs="FrankRuehl"/>
          <w:sz w:val="26"/>
          <w:rtl/>
        </w:rPr>
        <w:t xml:space="preserve">     </w:t>
      </w:r>
    </w:p>
    <w:p w14:paraId="6969634E" w14:textId="77777777" w:rsidR="0051496B" w:rsidRPr="000A3FA0" w:rsidRDefault="0051496B" w:rsidP="00A6761F">
      <w:pPr>
        <w:jc w:val="both"/>
        <w:rPr>
          <w:rFonts w:cs="FrankRuehl"/>
          <w:sz w:val="26"/>
          <w:szCs w:val="26"/>
          <w:rtl/>
        </w:rPr>
      </w:pPr>
    </w:p>
    <w:p w14:paraId="0909ED99" w14:textId="0F1C8579" w:rsidR="0051496B" w:rsidRDefault="0051496B" w:rsidP="00C64D45">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CC5EE3">
        <w:rPr>
          <w:rFonts w:cs="FrankRuehl"/>
          <w:sz w:val="26"/>
          <w:szCs w:val="26"/>
          <w:rtl/>
        </w:rPr>
        <w:t>1,621,147</w:t>
      </w:r>
      <w:bookmarkEnd w:id="6"/>
      <w:r w:rsidRPr="000A3FA0">
        <w:rPr>
          <w:rFonts w:cs="FrankRuehl"/>
          <w:sz w:val="26"/>
          <w:szCs w:val="26"/>
          <w:rtl/>
        </w:rPr>
        <w:t xml:space="preserve"> אלפי שקלים חדשים מסעיף </w:t>
      </w:r>
      <w:bookmarkStart w:id="7" w:name="TAKZIV3_1"/>
      <w:r w:rsidR="00CC5EE3">
        <w:rPr>
          <w:rFonts w:cs="FrankRuehl"/>
          <w:sz w:val="26"/>
          <w:szCs w:val="26"/>
          <w:rtl/>
        </w:rPr>
        <w:t>24</w:t>
      </w:r>
      <w:bookmarkEnd w:id="7"/>
      <w:r w:rsidRPr="000A3FA0">
        <w:rPr>
          <w:rFonts w:cs="FrankRuehl"/>
          <w:sz w:val="26"/>
          <w:szCs w:val="26"/>
          <w:rtl/>
        </w:rPr>
        <w:t xml:space="preserve"> - </w:t>
      </w:r>
      <w:bookmarkStart w:id="8" w:name="TAKZIV6_2"/>
      <w:r w:rsidR="00CC5EE3">
        <w:rPr>
          <w:rFonts w:cs="FrankRuehl"/>
          <w:sz w:val="26"/>
          <w:szCs w:val="26"/>
          <w:rtl/>
        </w:rPr>
        <w:t>משרד הבריאות</w:t>
      </w:r>
      <w:bookmarkEnd w:id="8"/>
      <w:r w:rsidRPr="000A3FA0">
        <w:rPr>
          <w:rFonts w:cs="FrankRuehl"/>
          <w:sz w:val="26"/>
          <w:szCs w:val="26"/>
          <w:rtl/>
        </w:rPr>
        <w:t xml:space="preserve"> משנת הכספים </w:t>
      </w:r>
      <w:bookmarkStart w:id="9" w:name="TAKZIV2_1"/>
      <w:r w:rsidR="00CC5EE3">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CC5EE3">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C64D45">
        <w:rPr>
          <w:rFonts w:cs="FrankRuehl" w:hint="cs"/>
          <w:sz w:val="26"/>
          <w:szCs w:val="26"/>
          <w:rtl/>
        </w:rPr>
        <w:t xml:space="preserve"> </w:t>
      </w:r>
      <w:r w:rsidRPr="000A3FA0">
        <w:rPr>
          <w:rFonts w:cs="FrankRuehl"/>
          <w:sz w:val="26"/>
          <w:szCs w:val="26"/>
          <w:rtl/>
        </w:rPr>
        <w:t>כמפורט בתדפיס המצורף בזה.</w:t>
      </w:r>
    </w:p>
    <w:p w14:paraId="5EEBE710" w14:textId="1B0C404F" w:rsidR="00C64D45" w:rsidRDefault="00C64D45" w:rsidP="00A6761F">
      <w:pPr>
        <w:jc w:val="both"/>
        <w:rPr>
          <w:rFonts w:cs="FrankRuehl"/>
          <w:sz w:val="26"/>
          <w:szCs w:val="26"/>
          <w:rtl/>
        </w:rPr>
      </w:pPr>
    </w:p>
    <w:p w14:paraId="3F77A64C" w14:textId="77777777" w:rsidR="00C64D45" w:rsidRDefault="00C64D45" w:rsidP="00C64D45">
      <w:pPr>
        <w:overflowPunct/>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הבקשה דנה בסעיף תקציבי: </w:t>
      </w:r>
      <w:r>
        <w:rPr>
          <w:rFonts w:ascii="FrankRuehl" w:hAnsi="FrankRuehl" w:cs="FrankRuehl"/>
          <w:sz w:val="26"/>
          <w:szCs w:val="26"/>
          <w:rtl/>
          <w:lang w:eastAsia="en-US"/>
        </w:rPr>
        <w:t>24 - משרד הבריאות</w:t>
      </w:r>
    </w:p>
    <w:p w14:paraId="6C3393EA" w14:textId="77777777" w:rsidR="00C64D45" w:rsidRDefault="00C64D45" w:rsidP="00C64D45">
      <w:pPr>
        <w:overflowPunct/>
        <w:contextualSpacing/>
        <w:jc w:val="both"/>
        <w:textAlignment w:val="auto"/>
        <w:rPr>
          <w:rFonts w:ascii="FrankRuehl" w:hAnsi="FrankRuehl" w:cs="FrankRuehl"/>
          <w:sz w:val="26"/>
          <w:szCs w:val="26"/>
          <w:lang w:eastAsia="en-US"/>
        </w:rPr>
      </w:pPr>
    </w:p>
    <w:p w14:paraId="11BE5DD7"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עיקרי הפנייה:</w:t>
      </w:r>
    </w:p>
    <w:p w14:paraId="4F22AEE3" w14:textId="793D9A77" w:rsidR="00C64D45" w:rsidRDefault="00C64D45" w:rsidP="00C64D45">
      <w:pPr>
        <w:overflowPunct/>
        <w:spacing w:before="120" w:after="120"/>
        <w:contextualSpacing/>
        <w:jc w:val="both"/>
        <w:textAlignment w:val="auto"/>
        <w:rPr>
          <w:rFonts w:ascii="FrankRuehl" w:hAnsi="FrankRuehl" w:cs="FrankRuehl"/>
          <w:sz w:val="26"/>
          <w:szCs w:val="26"/>
          <w:rtl/>
          <w:lang w:eastAsia="en-US"/>
        </w:rPr>
      </w:pPr>
      <w:r>
        <w:rPr>
          <w:rFonts w:ascii="FrankRuehl" w:hAnsi="FrankRuehl" w:cs="FrankRuehl"/>
          <w:sz w:val="26"/>
          <w:szCs w:val="26"/>
          <w:rtl/>
          <w:lang w:eastAsia="en-US"/>
        </w:rPr>
        <w:t>הפניה נועדה להעברת עודפים משנת התקציב 202</w:t>
      </w:r>
      <w:r>
        <w:rPr>
          <w:rFonts w:cs="Times New Roman"/>
          <w:sz w:val="26"/>
          <w:szCs w:val="26"/>
          <w:rtl/>
          <w:lang w:eastAsia="en-US"/>
        </w:rPr>
        <w:t>5</w:t>
      </w:r>
      <w:r>
        <w:rPr>
          <w:rFonts w:ascii="FrankRuehl" w:hAnsi="FrankRuehl" w:cs="FrankRuehl"/>
          <w:sz w:val="26"/>
          <w:szCs w:val="26"/>
          <w:rtl/>
          <w:lang w:eastAsia="en-US"/>
        </w:rPr>
        <w:t xml:space="preserve"> לשנת התקציב 202</w:t>
      </w:r>
      <w:r>
        <w:rPr>
          <w:rFonts w:cs="Times New Roman"/>
          <w:sz w:val="26"/>
          <w:szCs w:val="26"/>
          <w:rtl/>
          <w:lang w:eastAsia="en-US"/>
        </w:rPr>
        <w:t>6</w:t>
      </w:r>
      <w:r>
        <w:rPr>
          <w:rFonts w:ascii="FrankRuehl" w:hAnsi="FrankRuehl" w:cs="FrankRuehl"/>
          <w:sz w:val="26"/>
          <w:szCs w:val="26"/>
          <w:rtl/>
          <w:lang w:eastAsia="en-US"/>
        </w:rPr>
        <w:t xml:space="preserve"> בסך של </w:t>
      </w:r>
      <w:r>
        <w:rPr>
          <w:rFonts w:cs="Times New Roman"/>
          <w:sz w:val="26"/>
          <w:szCs w:val="26"/>
          <w:rtl/>
          <w:lang w:eastAsia="en-US"/>
        </w:rPr>
        <w:t>1,621,147</w:t>
      </w:r>
      <w:r>
        <w:rPr>
          <w:rFonts w:ascii="FrankRuehl" w:hAnsi="FrankRuehl" w:cs="FrankRuehl"/>
          <w:sz w:val="26"/>
          <w:szCs w:val="26"/>
          <w:rtl/>
          <w:lang w:eastAsia="en-US"/>
        </w:rPr>
        <w:t xml:space="preserve"> אלפי ש"ח בהוצאה לתוכניות התקציב הבאות, שעיקרן כפי שמפורט להלן:</w:t>
      </w:r>
    </w:p>
    <w:p w14:paraId="4B5BB633"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p>
    <w:p w14:paraId="009C13A2"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240205: תפעול מטה </w:t>
      </w:r>
      <w:r>
        <w:rPr>
          <w:rFonts w:cs="Times New Roman"/>
          <w:b/>
          <w:bCs/>
          <w:sz w:val="26"/>
          <w:szCs w:val="26"/>
          <w:rtl/>
          <w:lang w:eastAsia="en-US"/>
        </w:rPr>
        <w:t>341,077</w:t>
      </w:r>
      <w:r>
        <w:rPr>
          <w:rFonts w:ascii="FrankRuehl" w:hAnsi="FrankRuehl" w:cs="FrankRuehl"/>
          <w:b/>
          <w:bCs/>
          <w:sz w:val="26"/>
          <w:szCs w:val="26"/>
          <w:rtl/>
          <w:lang w:eastAsia="en-US"/>
        </w:rPr>
        <w:t xml:space="preserve"> אלפי ש"ח</w:t>
      </w:r>
    </w:p>
    <w:p w14:paraId="7EA9E72B"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תכנית זו מכילה את תקציבי תפעול מטה משרד הבריאות לרבות בטחון, דיור, טכנולוגיות, מחשוב, איכות ושירות. כמו כן,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זו מתוקצבת תקציבי דמי נזיקין ורשלנות רפואית וכן תפעול מערכות המידע של משרד הבריאות.</w:t>
      </w:r>
    </w:p>
    <w:p w14:paraId="57165B1A"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סיבות בגינן נוצרו העודפים: </w:t>
      </w:r>
    </w:p>
    <w:p w14:paraId="0FB1CAD7"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sz w:val="26"/>
          <w:szCs w:val="26"/>
          <w:rtl/>
          <w:lang w:eastAsia="en-US"/>
        </w:rPr>
        <w:t>תקצוב עודפים בסך של</w:t>
      </w:r>
      <w:r>
        <w:rPr>
          <w:rFonts w:cs="Times New Roman"/>
          <w:b/>
          <w:bCs/>
          <w:sz w:val="26"/>
          <w:szCs w:val="26"/>
          <w:rtl/>
          <w:lang w:eastAsia="en-US"/>
        </w:rPr>
        <w:t xml:space="preserve"> </w:t>
      </w:r>
      <w:r>
        <w:rPr>
          <w:rFonts w:cs="Times New Roman"/>
          <w:sz w:val="26"/>
          <w:szCs w:val="26"/>
          <w:rtl/>
          <w:lang w:eastAsia="en-US"/>
        </w:rPr>
        <w:t xml:space="preserve">341,077 </w:t>
      </w:r>
      <w:r>
        <w:rPr>
          <w:rFonts w:ascii="FrankRuehl" w:hAnsi="FrankRuehl" w:cs="FrankRuehl"/>
          <w:sz w:val="26"/>
          <w:szCs w:val="26"/>
          <w:rtl/>
          <w:lang w:eastAsia="en-US"/>
        </w:rPr>
        <w:t>אלפי ש"ח לצורך</w:t>
      </w:r>
      <w:r>
        <w:rPr>
          <w:rFonts w:cs="Times New Roman"/>
          <w:b/>
          <w:bCs/>
          <w:sz w:val="26"/>
          <w:szCs w:val="26"/>
          <w:rtl/>
          <w:lang w:eastAsia="en-US"/>
        </w:rPr>
        <w:t xml:space="preserve"> </w:t>
      </w:r>
      <w:r>
        <w:rPr>
          <w:rFonts w:ascii="FrankRuehl" w:hAnsi="FrankRuehl" w:cs="FrankRuehl"/>
          <w:sz w:val="26"/>
          <w:szCs w:val="26"/>
          <w:rtl/>
          <w:lang w:eastAsia="en-US"/>
        </w:rPr>
        <w:t xml:space="preserve">התאמת התקציב לעודף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בהתאם לביצוע. העודפים נוצרו בגין התקשרויות חוצות שנים לתחזוקת מערכות מידע, בקרה, אבטחת מידע במערכת הבריאות, הוצאות לשעת חירום ופרויקטים אחרים שבוצעו במהלך השנה בהתאם </w:t>
      </w:r>
      <w:proofErr w:type="spellStart"/>
      <w:r>
        <w:rPr>
          <w:rFonts w:ascii="FrankRuehl" w:hAnsi="FrankRuehl" w:cs="FrankRuehl"/>
          <w:sz w:val="26"/>
          <w:szCs w:val="26"/>
          <w:rtl/>
          <w:lang w:eastAsia="en-US"/>
        </w:rPr>
        <w:t>לתכניות</w:t>
      </w:r>
      <w:proofErr w:type="spellEnd"/>
      <w:r>
        <w:rPr>
          <w:rFonts w:ascii="FrankRuehl" w:hAnsi="FrankRuehl" w:cs="FrankRuehl"/>
          <w:sz w:val="26"/>
          <w:szCs w:val="26"/>
          <w:rtl/>
          <w:lang w:eastAsia="en-US"/>
        </w:rPr>
        <w:t xml:space="preserve"> העבודה של המשרד.</w:t>
      </w:r>
    </w:p>
    <w:p w14:paraId="32BF5E24"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תכנית 240218: מכונים </w:t>
      </w:r>
      <w:r>
        <w:rPr>
          <w:rFonts w:cs="Times New Roman"/>
          <w:b/>
          <w:bCs/>
          <w:sz w:val="26"/>
          <w:szCs w:val="26"/>
          <w:rtl/>
          <w:lang w:eastAsia="en-US"/>
        </w:rPr>
        <w:t>6,271</w:t>
      </w:r>
      <w:r>
        <w:rPr>
          <w:rFonts w:ascii="FrankRuehl" w:hAnsi="FrankRuehl" w:cs="FrankRuehl"/>
          <w:b/>
          <w:bCs/>
          <w:sz w:val="26"/>
          <w:szCs w:val="26"/>
          <w:rtl/>
          <w:lang w:eastAsia="en-US"/>
        </w:rPr>
        <w:t xml:space="preserve"> אלפי ש"ח</w:t>
      </w:r>
    </w:p>
    <w:p w14:paraId="728B6238"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sz w:val="26"/>
          <w:szCs w:val="26"/>
          <w:rtl/>
          <w:lang w:eastAsia="en-US"/>
        </w:rPr>
        <w:t xml:space="preserve">תיאור </w:t>
      </w:r>
      <w:proofErr w:type="spellStart"/>
      <w:r>
        <w:rPr>
          <w:rFonts w:ascii="FrankRuehl" w:hAnsi="FrankRuehl" w:cs="FrankRuehl"/>
          <w:sz w:val="26"/>
          <w:szCs w:val="26"/>
          <w:rtl/>
          <w:lang w:eastAsia="en-US"/>
        </w:rPr>
        <w:t>התכנית</w:t>
      </w:r>
      <w:proofErr w:type="spellEnd"/>
      <w:r>
        <w:rPr>
          <w:rFonts w:ascii="FrankRuehl" w:hAnsi="FrankRuehl" w:cs="FrankRuehl"/>
          <w:sz w:val="26"/>
          <w:szCs w:val="26"/>
          <w:rtl/>
          <w:lang w:eastAsia="en-US"/>
        </w:rPr>
        <w:t xml:space="preserve">: תכנית זו מכילה את תקצוב המכון לרפואה משפטית, המכון הרפואי לבטיחות בדרכים והמכון לרעלים בתל השומר. </w:t>
      </w:r>
    </w:p>
    <w:p w14:paraId="6843E1B2"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sz w:val="26"/>
          <w:szCs w:val="26"/>
          <w:rtl/>
          <w:lang w:eastAsia="en-US"/>
        </w:rPr>
        <w:t xml:space="preserve">סיבות בגינן נוצרו העודפים: תקצוב עודפים בסך של </w:t>
      </w:r>
      <w:r>
        <w:rPr>
          <w:rFonts w:cs="Times New Roman"/>
          <w:sz w:val="26"/>
          <w:szCs w:val="26"/>
          <w:rtl/>
          <w:lang w:eastAsia="en-US"/>
        </w:rPr>
        <w:t>6,271</w:t>
      </w:r>
      <w:r>
        <w:rPr>
          <w:rFonts w:ascii="FrankRuehl" w:hAnsi="FrankRuehl" w:cs="FrankRuehl"/>
          <w:sz w:val="26"/>
          <w:szCs w:val="26"/>
          <w:rtl/>
          <w:lang w:eastAsia="en-US"/>
        </w:rPr>
        <w:t xml:space="preserve"> אלפי ש"ח להסדרה בהתאם לעודף במסגרת התקציב שהוקצה עבור המכון לרפואה משפטית </w:t>
      </w:r>
      <w:proofErr w:type="spellStart"/>
      <w:r>
        <w:rPr>
          <w:rFonts w:ascii="FrankRuehl" w:hAnsi="FrankRuehl" w:cs="FrankRuehl"/>
          <w:sz w:val="26"/>
          <w:szCs w:val="26"/>
          <w:rtl/>
          <w:lang w:eastAsia="en-US"/>
        </w:rPr>
        <w:t>והמרב"ד</w:t>
      </w:r>
      <w:proofErr w:type="spellEnd"/>
      <w:r>
        <w:rPr>
          <w:rFonts w:ascii="FrankRuehl" w:hAnsi="FrankRuehl" w:cs="FrankRuehl"/>
          <w:sz w:val="26"/>
          <w:szCs w:val="26"/>
          <w:rtl/>
          <w:lang w:eastAsia="en-US"/>
        </w:rPr>
        <w:t xml:space="preserve">. העודפים נוצרו מרכש שוטף לצורך תפעול של המכון לרפואה משפטית </w:t>
      </w:r>
      <w:proofErr w:type="spellStart"/>
      <w:r>
        <w:rPr>
          <w:rFonts w:ascii="FrankRuehl" w:hAnsi="FrankRuehl" w:cs="FrankRuehl"/>
          <w:sz w:val="26"/>
          <w:szCs w:val="26"/>
          <w:rtl/>
          <w:lang w:eastAsia="en-US"/>
        </w:rPr>
        <w:t>והמרב"ד</w:t>
      </w:r>
      <w:proofErr w:type="spellEnd"/>
      <w:r>
        <w:rPr>
          <w:rFonts w:ascii="FrankRuehl" w:hAnsi="FrankRuehl" w:cs="FrankRuehl"/>
          <w:sz w:val="26"/>
          <w:szCs w:val="26"/>
          <w:rtl/>
          <w:lang w:eastAsia="en-US"/>
        </w:rPr>
        <w:t xml:space="preserve"> בהתחייבויות חוצות שנים.</w:t>
      </w:r>
    </w:p>
    <w:p w14:paraId="0F36647A"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מספר 240701: הכשרת צוותים רפואיים </w:t>
      </w:r>
      <w:r>
        <w:rPr>
          <w:rFonts w:cs="Times New Roman"/>
          <w:b/>
          <w:bCs/>
          <w:sz w:val="26"/>
          <w:szCs w:val="26"/>
          <w:rtl/>
          <w:lang w:eastAsia="en-US"/>
        </w:rPr>
        <w:t>93,345</w:t>
      </w:r>
      <w:r>
        <w:rPr>
          <w:rFonts w:ascii="FrankRuehl" w:hAnsi="FrankRuehl" w:cs="FrankRuehl"/>
          <w:b/>
          <w:bCs/>
          <w:sz w:val="26"/>
          <w:szCs w:val="26"/>
          <w:rtl/>
          <w:lang w:eastAsia="en-US"/>
        </w:rPr>
        <w:t xml:space="preserve"> אלפי ש"ח</w:t>
      </w:r>
    </w:p>
    <w:p w14:paraId="34B944A2"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תכנית זו מכילה את תקציבי מימון מתמחים במקצועות רפואיים, הכשרת אחיות ובתי ספר לסיעוד, מתמחים בפסיכולוגיה, העסקת רופאים מתמחים עולים.</w:t>
      </w:r>
    </w:p>
    <w:p w14:paraId="428ACA0D" w14:textId="18699CD2" w:rsidR="00C64D45" w:rsidRDefault="00C64D45" w:rsidP="00C64D45">
      <w:pPr>
        <w:overflowPunct/>
        <w:spacing w:before="120" w:after="120"/>
        <w:contextualSpacing/>
        <w:jc w:val="both"/>
        <w:textAlignment w:val="auto"/>
        <w:rPr>
          <w:rFonts w:ascii="FrankRuehl" w:hAnsi="FrankRuehl" w:cs="FrankRuehl"/>
          <w:sz w:val="26"/>
          <w:szCs w:val="26"/>
          <w:rtl/>
          <w:lang w:eastAsia="en-US"/>
        </w:rPr>
      </w:pPr>
      <w:r>
        <w:rPr>
          <w:rFonts w:ascii="FrankRuehl" w:hAnsi="FrankRuehl" w:cs="FrankRuehl"/>
          <w:b/>
          <w:bCs/>
          <w:sz w:val="26"/>
          <w:szCs w:val="26"/>
          <w:rtl/>
          <w:lang w:eastAsia="en-US"/>
        </w:rPr>
        <w:t>סיבות בגינן נוצרו העודפים:</w:t>
      </w:r>
      <w:r>
        <w:rPr>
          <w:rFonts w:ascii="FrankRuehl" w:hAnsi="FrankRuehl" w:cs="FrankRuehl"/>
          <w:sz w:val="26"/>
          <w:szCs w:val="26"/>
          <w:rtl/>
          <w:lang w:eastAsia="en-US"/>
        </w:rPr>
        <w:t xml:space="preserve"> תקצוב עודפים בסך של </w:t>
      </w:r>
      <w:r>
        <w:rPr>
          <w:rFonts w:cs="Times New Roman"/>
          <w:sz w:val="26"/>
          <w:szCs w:val="26"/>
          <w:rtl/>
          <w:lang w:eastAsia="en-US"/>
        </w:rPr>
        <w:t xml:space="preserve">93,345 </w:t>
      </w:r>
      <w:r>
        <w:rPr>
          <w:rFonts w:ascii="FrankRuehl" w:hAnsi="FrankRuehl" w:cs="FrankRuehl"/>
          <w:sz w:val="26"/>
          <w:szCs w:val="26"/>
          <w:rtl/>
          <w:lang w:eastAsia="en-US"/>
        </w:rPr>
        <w:t xml:space="preserve">אלפי ש"ח להסדרת התקציב להכשרת מתמחים ועבור בתי הספר לסיעוד, וכן </w:t>
      </w:r>
      <w:proofErr w:type="spellStart"/>
      <w:r>
        <w:rPr>
          <w:rFonts w:ascii="FrankRuehl" w:hAnsi="FrankRuehl" w:cs="FrankRuehl"/>
          <w:sz w:val="26"/>
          <w:szCs w:val="26"/>
          <w:rtl/>
          <w:lang w:eastAsia="en-US"/>
        </w:rPr>
        <w:t>בתכניות</w:t>
      </w:r>
      <w:proofErr w:type="spellEnd"/>
      <w:r>
        <w:rPr>
          <w:rFonts w:ascii="FrankRuehl" w:hAnsi="FrankRuehl" w:cs="FrankRuehl"/>
          <w:sz w:val="26"/>
          <w:szCs w:val="26"/>
          <w:rtl/>
          <w:lang w:eastAsia="en-US"/>
        </w:rPr>
        <w:t xml:space="preserve"> כוח האדם של משרד הבריאות להגדלת מספר הרופאים במדינת ישראל. </w:t>
      </w:r>
    </w:p>
    <w:p w14:paraId="26B1D30C" w14:textId="0EFA3407" w:rsidR="00C64D45" w:rsidRDefault="00C64D45" w:rsidP="00C64D45">
      <w:pPr>
        <w:overflowPunct/>
        <w:spacing w:before="120" w:after="120"/>
        <w:contextualSpacing/>
        <w:jc w:val="both"/>
        <w:textAlignment w:val="auto"/>
        <w:rPr>
          <w:rFonts w:ascii="FrankRuehl" w:hAnsi="FrankRuehl" w:cs="FrankRuehl"/>
          <w:sz w:val="26"/>
          <w:szCs w:val="26"/>
          <w:rtl/>
          <w:lang w:eastAsia="en-US"/>
        </w:rPr>
      </w:pPr>
    </w:p>
    <w:p w14:paraId="2FAA9AA7"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p>
    <w:p w14:paraId="61762E56"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lastRenderedPageBreak/>
        <w:t xml:space="preserve">תכנית מספר 240709: פעולות מרכזיות </w:t>
      </w:r>
      <w:r>
        <w:rPr>
          <w:rFonts w:cs="Times New Roman"/>
          <w:b/>
          <w:bCs/>
          <w:sz w:val="26"/>
          <w:szCs w:val="26"/>
          <w:rtl/>
          <w:lang w:eastAsia="en-US"/>
        </w:rPr>
        <w:t>119,368</w:t>
      </w:r>
      <w:r>
        <w:rPr>
          <w:rFonts w:ascii="FrankRuehl" w:hAnsi="FrankRuehl" w:cs="FrankRuehl"/>
          <w:b/>
          <w:bCs/>
          <w:sz w:val="26"/>
          <w:szCs w:val="26"/>
          <w:rtl/>
          <w:lang w:eastAsia="en-US"/>
        </w:rPr>
        <w:t xml:space="preserve"> אלפי ש"ח</w:t>
      </w:r>
    </w:p>
    <w:p w14:paraId="0DDC7C60"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תקצוב עבור פרויקטים לאומיים לקידום הבריאות, הנבחרים בהתאם לסדרי העדיפויות של המשרד, לרבות בטיחות ילדים, תמיכות בפגיות, בריאות השן ועוד</w:t>
      </w:r>
      <w:r>
        <w:rPr>
          <w:rFonts w:cs="Times New Roman"/>
          <w:sz w:val="26"/>
          <w:szCs w:val="26"/>
          <w:rtl/>
          <w:lang w:eastAsia="en-US"/>
        </w:rPr>
        <w:t>.</w:t>
      </w:r>
    </w:p>
    <w:p w14:paraId="5E9C2E43"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סיבות בגינן נוצרו העודפים:</w:t>
      </w:r>
      <w:r>
        <w:rPr>
          <w:rFonts w:ascii="FrankRuehl" w:hAnsi="FrankRuehl" w:cs="FrankRuehl"/>
          <w:sz w:val="26"/>
          <w:szCs w:val="26"/>
          <w:rtl/>
          <w:lang w:eastAsia="en-US"/>
        </w:rPr>
        <w:t xml:space="preserve"> תקצוב עודפים בסך של </w:t>
      </w:r>
      <w:r>
        <w:rPr>
          <w:rFonts w:cs="Times New Roman"/>
          <w:sz w:val="26"/>
          <w:szCs w:val="26"/>
          <w:rtl/>
          <w:lang w:eastAsia="en-US"/>
        </w:rPr>
        <w:t>119,368</w:t>
      </w:r>
      <w:r>
        <w:rPr>
          <w:rFonts w:ascii="FrankRuehl" w:hAnsi="FrankRuehl" w:cs="FrankRuehl"/>
          <w:sz w:val="26"/>
          <w:szCs w:val="26"/>
          <w:rtl/>
          <w:lang w:eastAsia="en-US"/>
        </w:rPr>
        <w:t xml:space="preserve"> אלפי ש"ח ליישום</w:t>
      </w:r>
      <w:r>
        <w:rPr>
          <w:rFonts w:cs="Times New Roman"/>
          <w:sz w:val="26"/>
          <w:szCs w:val="26"/>
          <w:rtl/>
          <w:lang w:eastAsia="en-US"/>
        </w:rPr>
        <w:t xml:space="preserve"> </w:t>
      </w:r>
      <w:r>
        <w:rPr>
          <w:rFonts w:ascii="FrankRuehl" w:hAnsi="FrankRuehl" w:cs="FrankRuehl"/>
          <w:sz w:val="26"/>
          <w:szCs w:val="26"/>
          <w:rtl/>
          <w:lang w:eastAsia="en-US"/>
        </w:rPr>
        <w:t>פרויקטים לאומיים לקידום הבריאות</w:t>
      </w:r>
      <w:r>
        <w:rPr>
          <w:rFonts w:cs="Times New Roman"/>
          <w:sz w:val="26"/>
          <w:szCs w:val="26"/>
          <w:rtl/>
          <w:lang w:eastAsia="en-US"/>
        </w:rPr>
        <w:t xml:space="preserve"> </w:t>
      </w:r>
      <w:r>
        <w:rPr>
          <w:rFonts w:ascii="FrankRuehl" w:hAnsi="FrankRuehl" w:cs="FrankRuehl"/>
          <w:sz w:val="26"/>
          <w:szCs w:val="26"/>
          <w:rtl/>
          <w:lang w:eastAsia="en-US"/>
        </w:rPr>
        <w:t xml:space="preserve">ותוכניות הלאומיות, המבוצעות באמצעות פרסום מבחני תמיכה לבתי החולים ולקופות החולים. העודפים נוצרו בגין קצב הביצוע בתוכניות הלאומית אשר במסגרתן, פורסמו מבחני תמיכה לבתי החולים אשר מורכבים ממדדים ויעדים מקצועיים בנושאים המדוברים, כאשר חלק </w:t>
      </w:r>
      <w:proofErr w:type="spellStart"/>
      <w:r>
        <w:rPr>
          <w:rFonts w:ascii="FrankRuehl" w:hAnsi="FrankRuehl" w:cs="FrankRuehl"/>
          <w:sz w:val="26"/>
          <w:szCs w:val="26"/>
          <w:rtl/>
          <w:lang w:eastAsia="en-US"/>
        </w:rPr>
        <w:t>מהתכניות</w:t>
      </w:r>
      <w:proofErr w:type="spellEnd"/>
      <w:r>
        <w:rPr>
          <w:rFonts w:ascii="FrankRuehl" w:hAnsi="FrankRuehl" w:cs="FrankRuehl"/>
          <w:sz w:val="26"/>
          <w:szCs w:val="26"/>
          <w:rtl/>
          <w:lang w:eastAsia="en-US"/>
        </w:rPr>
        <w:t xml:space="preserve"> חוצות שנים ועל כן נותרו עודפים שיש לשלם בשנת 20</w:t>
      </w:r>
      <w:r>
        <w:rPr>
          <w:rFonts w:cs="Times New Roman"/>
          <w:sz w:val="26"/>
          <w:szCs w:val="26"/>
          <w:rtl/>
          <w:lang w:eastAsia="en-US"/>
        </w:rPr>
        <w:t>25.</w:t>
      </w:r>
    </w:p>
    <w:p w14:paraId="28A7B3CE"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תכנית מספר 240710: גריאטריה 2</w:t>
      </w:r>
      <w:r>
        <w:rPr>
          <w:rFonts w:cs="Times New Roman"/>
          <w:b/>
          <w:bCs/>
          <w:sz w:val="26"/>
          <w:szCs w:val="26"/>
          <w:rtl/>
          <w:lang w:eastAsia="en-US"/>
        </w:rPr>
        <w:t>8,570</w:t>
      </w:r>
      <w:r>
        <w:rPr>
          <w:rFonts w:ascii="FrankRuehl" w:hAnsi="FrankRuehl" w:cs="FrankRuehl"/>
          <w:b/>
          <w:bCs/>
          <w:sz w:val="26"/>
          <w:szCs w:val="26"/>
          <w:rtl/>
          <w:lang w:eastAsia="en-US"/>
        </w:rPr>
        <w:t xml:space="preserve"> אלפי ש"ח</w:t>
      </w:r>
    </w:p>
    <w:p w14:paraId="44A9BC27"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משרד הבריאות הוא המבטח בתחום האשפוז הסיעודי הכרוני, במסגרת התוספת השלישית לחוק ביטוח בריאות ממלכתי. במסגרת תכנית זו מבצע משרד הבריאות את רכש שירותי האשפוז הסיעודי הכרוני לקשישים הזקוקים לכך וכך מבצע </w:t>
      </w:r>
      <w:proofErr w:type="spellStart"/>
      <w:r>
        <w:rPr>
          <w:rFonts w:ascii="FrankRuehl" w:hAnsi="FrankRuehl" w:cs="FrankRuehl"/>
          <w:sz w:val="26"/>
          <w:szCs w:val="26"/>
          <w:rtl/>
          <w:lang w:eastAsia="en-US"/>
        </w:rPr>
        <w:t>תכניות</w:t>
      </w:r>
      <w:proofErr w:type="spellEnd"/>
      <w:r>
        <w:rPr>
          <w:rFonts w:ascii="FrankRuehl" w:hAnsi="FrankRuehl" w:cs="FrankRuehl"/>
          <w:sz w:val="26"/>
          <w:szCs w:val="26"/>
          <w:rtl/>
          <w:lang w:eastAsia="en-US"/>
        </w:rPr>
        <w:t xml:space="preserve"> התערבות קליניות לטיפול באוכלוסייה הקשישה בישראל</w:t>
      </w:r>
      <w:r>
        <w:rPr>
          <w:rFonts w:ascii="FrankRuehl" w:hAnsi="FrankRuehl" w:cs="FrankRuehl"/>
          <w:sz w:val="26"/>
          <w:szCs w:val="26"/>
          <w:lang w:eastAsia="en-US"/>
        </w:rPr>
        <w:t>.</w:t>
      </w:r>
    </w:p>
    <w:p w14:paraId="3EA40799"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סיבות בגינן נוצרו העודפים</w:t>
      </w:r>
      <w:r>
        <w:rPr>
          <w:rFonts w:ascii="FrankRuehl" w:hAnsi="FrankRuehl" w:cs="FrankRuehl"/>
          <w:sz w:val="26"/>
          <w:szCs w:val="26"/>
          <w:rtl/>
          <w:lang w:eastAsia="en-US"/>
        </w:rPr>
        <w:t>: תקצוב עודפים בסך של 2</w:t>
      </w:r>
      <w:r>
        <w:rPr>
          <w:rFonts w:cs="Times New Roman"/>
          <w:sz w:val="26"/>
          <w:szCs w:val="26"/>
          <w:rtl/>
          <w:lang w:eastAsia="en-US"/>
        </w:rPr>
        <w:t>8,570</w:t>
      </w:r>
      <w:r>
        <w:rPr>
          <w:rFonts w:ascii="FrankRuehl" w:hAnsi="FrankRuehl" w:cs="FrankRuehl"/>
          <w:sz w:val="26"/>
          <w:szCs w:val="26"/>
          <w:rtl/>
          <w:lang w:eastAsia="en-US"/>
        </w:rPr>
        <w:t xml:space="preserve"> אלפי ש"ח עבור רכש שירותי אשפוז. עודפי התקציב נוצרו בגין התחייבויות אגף גריאטריה </w:t>
      </w:r>
      <w:proofErr w:type="spellStart"/>
      <w:r>
        <w:rPr>
          <w:rFonts w:ascii="FrankRuehl" w:hAnsi="FrankRuehl" w:cs="FrankRuehl"/>
          <w:sz w:val="26"/>
          <w:szCs w:val="26"/>
          <w:rtl/>
          <w:lang w:eastAsia="en-US"/>
        </w:rPr>
        <w:t>בתכניות</w:t>
      </w:r>
      <w:proofErr w:type="spellEnd"/>
      <w:r>
        <w:rPr>
          <w:rFonts w:ascii="FrankRuehl" w:hAnsi="FrankRuehl" w:cs="FrankRuehl"/>
          <w:sz w:val="26"/>
          <w:szCs w:val="26"/>
          <w:rtl/>
          <w:lang w:eastAsia="en-US"/>
        </w:rPr>
        <w:t xml:space="preserve"> מניעת נפילות והתדרדרות תפקודית, טיפול </w:t>
      </w:r>
      <w:proofErr w:type="spellStart"/>
      <w:r>
        <w:rPr>
          <w:rFonts w:ascii="FrankRuehl" w:hAnsi="FrankRuehl" w:cs="FrankRuehl"/>
          <w:sz w:val="26"/>
          <w:szCs w:val="26"/>
          <w:rtl/>
          <w:lang w:eastAsia="en-US"/>
        </w:rPr>
        <w:t>פליאטיבי</w:t>
      </w:r>
      <w:proofErr w:type="spellEnd"/>
      <w:r>
        <w:rPr>
          <w:rFonts w:ascii="FrankRuehl" w:hAnsi="FrankRuehl" w:cs="FrankRuehl"/>
          <w:sz w:val="26"/>
          <w:szCs w:val="26"/>
          <w:rtl/>
          <w:lang w:eastAsia="en-US"/>
        </w:rPr>
        <w:t xml:space="preserve"> ומניעת סבל, מניעת זיהומים - שמנוהלות בהתאם לביצוע בהתחייבויות חוצות שנים. </w:t>
      </w:r>
    </w:p>
    <w:p w14:paraId="47A0DB98"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מספר 240714: בריאות הנפש </w:t>
      </w:r>
      <w:r>
        <w:rPr>
          <w:rFonts w:cs="Times New Roman"/>
          <w:b/>
          <w:bCs/>
          <w:sz w:val="26"/>
          <w:szCs w:val="26"/>
          <w:rtl/>
          <w:lang w:eastAsia="en-US"/>
        </w:rPr>
        <w:t>438,218</w:t>
      </w:r>
      <w:r>
        <w:rPr>
          <w:rFonts w:ascii="FrankRuehl" w:hAnsi="FrankRuehl" w:cs="FrankRuehl"/>
          <w:b/>
          <w:bCs/>
          <w:sz w:val="26"/>
          <w:szCs w:val="26"/>
          <w:rtl/>
          <w:lang w:eastAsia="en-US"/>
        </w:rPr>
        <w:t xml:space="preserve"> אלפי ש"ח</w:t>
      </w:r>
    </w:p>
    <w:p w14:paraId="01152B91"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משרד הבריאות הוא הגורם המבטח במספר תחומים בתחום בריאות הנפש, במסגרת התוספת השלישית לחוק ביטוח בריאות ממלכתי וחוק שיקום נכי נפש בקהילה. במסגרת תכנית זאת מבצע משרד הבריאות את רכש השירותים בתחום שיקום נכי נפש, טיפול בריאותי מקדם בגני תקשורת ובמעונות יום שיקומיים ומפעיל מרכזים ואשפוזיות לגמילה מהתמכרויות.</w:t>
      </w:r>
    </w:p>
    <w:p w14:paraId="243508E2"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סיבות בגינן נוצרו עודפים</w:t>
      </w:r>
      <w:r>
        <w:rPr>
          <w:rFonts w:ascii="FrankRuehl" w:hAnsi="FrankRuehl" w:cs="FrankRuehl"/>
          <w:sz w:val="26"/>
          <w:szCs w:val="26"/>
          <w:rtl/>
          <w:lang w:eastAsia="en-US"/>
        </w:rPr>
        <w:t xml:space="preserve">: תקצוב עודפים בסך של </w:t>
      </w:r>
      <w:r>
        <w:rPr>
          <w:rFonts w:cs="Times New Roman"/>
          <w:sz w:val="26"/>
          <w:szCs w:val="26"/>
          <w:rtl/>
          <w:lang w:eastAsia="en-US"/>
        </w:rPr>
        <w:t>438,218</w:t>
      </w:r>
      <w:r>
        <w:rPr>
          <w:rFonts w:ascii="FrankRuehl" w:hAnsi="FrankRuehl" w:cs="FrankRuehl"/>
          <w:sz w:val="26"/>
          <w:szCs w:val="26"/>
          <w:rtl/>
          <w:lang w:eastAsia="en-US"/>
        </w:rPr>
        <w:t xml:space="preserve"> אלפי ש"ח עבור רכש תחליפי אשפוז. עודפי התקציב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נוצרו בגין רכש שירותים עבור התוספת השלישית הנרכשים במיקור חוץ, מתחומי טיפול בריאותי מקדם, שיקום נכי נפש, רכש תחליפי אשפוז</w:t>
      </w:r>
      <w:r>
        <w:rPr>
          <w:rFonts w:cs="Times New Roman"/>
          <w:sz w:val="26"/>
          <w:szCs w:val="26"/>
          <w:rtl/>
          <w:lang w:eastAsia="en-US"/>
        </w:rPr>
        <w:t xml:space="preserve">, </w:t>
      </w:r>
      <w:r>
        <w:rPr>
          <w:rFonts w:ascii="FrankRuehl" w:hAnsi="FrankRuehl" w:cs="FrankRuehl"/>
          <w:sz w:val="26"/>
          <w:szCs w:val="26"/>
          <w:rtl/>
          <w:lang w:eastAsia="en-US"/>
        </w:rPr>
        <w:t>רכש שירותי גמילה</w:t>
      </w:r>
      <w:r>
        <w:rPr>
          <w:rFonts w:cs="Times New Roman"/>
          <w:sz w:val="26"/>
          <w:szCs w:val="26"/>
          <w:rtl/>
          <w:lang w:eastAsia="en-US"/>
        </w:rPr>
        <w:t xml:space="preserve"> </w:t>
      </w:r>
      <w:r>
        <w:rPr>
          <w:rFonts w:ascii="FrankRuehl" w:hAnsi="FrankRuehl" w:cs="FrankRuehl"/>
          <w:sz w:val="26"/>
          <w:szCs w:val="26"/>
          <w:rtl/>
          <w:lang w:eastAsia="en-US"/>
        </w:rPr>
        <w:t>ומרכזי חוסן, שחויבו בשנת התקציב 20</w:t>
      </w:r>
      <w:r>
        <w:rPr>
          <w:rFonts w:cs="Times New Roman"/>
          <w:sz w:val="26"/>
          <w:szCs w:val="26"/>
          <w:rtl/>
          <w:lang w:eastAsia="en-US"/>
        </w:rPr>
        <w:t>25</w:t>
      </w:r>
      <w:r>
        <w:rPr>
          <w:rFonts w:ascii="FrankRuehl" w:hAnsi="FrankRuehl" w:cs="FrankRuehl"/>
          <w:sz w:val="26"/>
          <w:szCs w:val="26"/>
          <w:rtl/>
          <w:lang w:eastAsia="en-US"/>
        </w:rPr>
        <w:t xml:space="preserve"> והמזומן בגינם יצא בשנת 20</w:t>
      </w:r>
      <w:r>
        <w:rPr>
          <w:rFonts w:cs="Times New Roman"/>
          <w:sz w:val="26"/>
          <w:szCs w:val="26"/>
          <w:rtl/>
          <w:lang w:eastAsia="en-US"/>
        </w:rPr>
        <w:t>26.</w:t>
      </w:r>
    </w:p>
    <w:p w14:paraId="21A28A37"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מספר 241603: רפואה מונעת  </w:t>
      </w:r>
      <w:r>
        <w:rPr>
          <w:rFonts w:cs="Times New Roman"/>
          <w:b/>
          <w:bCs/>
          <w:sz w:val="26"/>
          <w:szCs w:val="26"/>
          <w:rtl/>
          <w:lang w:eastAsia="en-US"/>
        </w:rPr>
        <w:t>363,403</w:t>
      </w:r>
      <w:r>
        <w:rPr>
          <w:rFonts w:ascii="FrankRuehl" w:hAnsi="FrankRuehl" w:cs="FrankRuehl"/>
          <w:b/>
          <w:bCs/>
          <w:sz w:val="26"/>
          <w:szCs w:val="26"/>
          <w:rtl/>
          <w:lang w:eastAsia="en-US"/>
        </w:rPr>
        <w:t xml:space="preserve"> אלפי ש"ח</w:t>
      </w:r>
    </w:p>
    <w:p w14:paraId="739D233A"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זו מרוכזים רכש השירותים של משרד הבריאות בתחומי הרפואה המונעת כגון גנטיקה קהילתית, חיסונים, טיפות חלב, בריאות התלמיד ומניעת שחפת ואיידס.</w:t>
      </w:r>
    </w:p>
    <w:p w14:paraId="6E5D55F3"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סיבות בגינן נוצרו עודפים:</w:t>
      </w:r>
      <w:r>
        <w:rPr>
          <w:rFonts w:ascii="FrankRuehl" w:hAnsi="FrankRuehl" w:cs="FrankRuehl"/>
          <w:sz w:val="26"/>
          <w:szCs w:val="26"/>
          <w:rtl/>
          <w:lang w:eastAsia="en-US"/>
        </w:rPr>
        <w:t xml:space="preserve"> תקצוב עודפים בסך של </w:t>
      </w:r>
      <w:r>
        <w:rPr>
          <w:rFonts w:cs="Times New Roman"/>
          <w:sz w:val="26"/>
          <w:szCs w:val="26"/>
          <w:rtl/>
          <w:lang w:eastAsia="en-US"/>
        </w:rPr>
        <w:t>363,403</w:t>
      </w:r>
      <w:r>
        <w:rPr>
          <w:rFonts w:ascii="FrankRuehl" w:hAnsi="FrankRuehl" w:cs="FrankRuehl"/>
          <w:sz w:val="26"/>
          <w:szCs w:val="26"/>
          <w:rtl/>
          <w:lang w:eastAsia="en-US"/>
        </w:rPr>
        <w:t xml:space="preserve"> אלפי ש"ח. העודפים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נוצרו עקב התקשרויות המופעלות עבור שנות לימודים ולכן חוצות שנות תקציב, רכש חיסונים אשר אספקת בפועל בוצעה לאחר שנת התקציב (התשלום מתבצע רק בעת האספקה) ותשלום בגין בדיקות גנטיות המשולמות לספקים באופן חוצה שנים.</w:t>
      </w:r>
    </w:p>
    <w:p w14:paraId="0DB746D6"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תכנית מספר 2416</w:t>
      </w:r>
      <w:r>
        <w:rPr>
          <w:rFonts w:cs="Times New Roman"/>
          <w:b/>
          <w:bCs/>
          <w:sz w:val="26"/>
          <w:szCs w:val="26"/>
          <w:rtl/>
          <w:lang w:eastAsia="en-US"/>
        </w:rPr>
        <w:t xml:space="preserve">89: </w:t>
      </w:r>
      <w:r>
        <w:rPr>
          <w:rFonts w:ascii="FrankRuehl" w:hAnsi="FrankRuehl" w:cs="FrankRuehl"/>
          <w:b/>
          <w:bCs/>
          <w:sz w:val="26"/>
          <w:szCs w:val="26"/>
          <w:rtl/>
          <w:lang w:eastAsia="en-US"/>
        </w:rPr>
        <w:t>מעבודת בריאות הציבור</w:t>
      </w:r>
      <w:r>
        <w:rPr>
          <w:rFonts w:cs="Times New Roman"/>
          <w:b/>
          <w:bCs/>
          <w:sz w:val="26"/>
          <w:szCs w:val="26"/>
          <w:rtl/>
          <w:lang w:eastAsia="en-US"/>
        </w:rPr>
        <w:t xml:space="preserve"> 8,158</w:t>
      </w:r>
      <w:r>
        <w:rPr>
          <w:rFonts w:ascii="FrankRuehl" w:hAnsi="FrankRuehl" w:cs="FrankRuehl"/>
          <w:b/>
          <w:bCs/>
          <w:sz w:val="26"/>
          <w:szCs w:val="26"/>
          <w:rtl/>
          <w:lang w:eastAsia="en-US"/>
        </w:rPr>
        <w:t xml:space="preserve"> אלפי ₪</w:t>
      </w:r>
    </w:p>
    <w:p w14:paraId="4B254773" w14:textId="77777777" w:rsidR="00C64D45" w:rsidRDefault="00C64D45" w:rsidP="00C64D45">
      <w:pPr>
        <w:overflowPunct/>
        <w:spacing w:before="120" w:after="120"/>
        <w:contextualSpacing/>
        <w:jc w:val="both"/>
        <w:textAlignment w:val="auto"/>
        <w:rPr>
          <w:rFonts w:ascii="FrankRuehl" w:hAnsi="FrankRuehl" w:cs="FrankRuehl"/>
          <w:color w:val="000000"/>
          <w:sz w:val="26"/>
          <w:szCs w:val="26"/>
          <w:lang w:eastAsia="en-US"/>
        </w:rPr>
      </w:pPr>
      <w:r>
        <w:rPr>
          <w:rFonts w:ascii="FrankRuehl" w:hAnsi="FrankRuehl" w:cs="FrankRuehl"/>
          <w:b/>
          <w:bCs/>
          <w:sz w:val="26"/>
          <w:szCs w:val="26"/>
          <w:rtl/>
          <w:lang w:eastAsia="en-US"/>
        </w:rPr>
        <w:t xml:space="preserve">תיאור התוכנית: </w:t>
      </w:r>
      <w:r>
        <w:rPr>
          <w:rFonts w:ascii="FrankRuehl" w:hAnsi="FrankRuehl" w:cs="FrankRuehl"/>
          <w:color w:val="000000"/>
          <w:sz w:val="26"/>
          <w:szCs w:val="26"/>
          <w:rtl/>
          <w:lang w:eastAsia="en-US"/>
        </w:rPr>
        <w:t>תכנית זו מממנת את פעילות מעבדות בריאות הציבור אשר מספקות שירותי מעבדה בפריסה ארצית.</w:t>
      </w:r>
    </w:p>
    <w:p w14:paraId="7032DA18"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color w:val="000000"/>
          <w:sz w:val="26"/>
          <w:szCs w:val="26"/>
          <w:rtl/>
          <w:lang w:eastAsia="en-US"/>
        </w:rPr>
        <w:t>סיבות בגינן נוצרו עודפים:</w:t>
      </w:r>
      <w:r>
        <w:rPr>
          <w:rFonts w:cs="Times New Roman"/>
          <w:b/>
          <w:bCs/>
          <w:sz w:val="26"/>
          <w:szCs w:val="26"/>
          <w:rtl/>
          <w:lang w:eastAsia="en-US"/>
        </w:rPr>
        <w:t xml:space="preserve"> </w:t>
      </w:r>
      <w:r>
        <w:rPr>
          <w:rFonts w:ascii="FrankRuehl" w:hAnsi="FrankRuehl" w:cs="FrankRuehl"/>
          <w:sz w:val="26"/>
          <w:szCs w:val="26"/>
          <w:rtl/>
          <w:lang w:eastAsia="en-US"/>
        </w:rPr>
        <w:t xml:space="preserve">תקצוב עודפים בסך של </w:t>
      </w:r>
      <w:r>
        <w:rPr>
          <w:rFonts w:cs="Times New Roman"/>
          <w:sz w:val="26"/>
          <w:szCs w:val="26"/>
          <w:rtl/>
          <w:lang w:eastAsia="en-US"/>
        </w:rPr>
        <w:t>8,158</w:t>
      </w:r>
      <w:r>
        <w:rPr>
          <w:rFonts w:ascii="FrankRuehl" w:hAnsi="FrankRuehl" w:cs="FrankRuehl"/>
          <w:sz w:val="26"/>
          <w:szCs w:val="26"/>
          <w:rtl/>
          <w:lang w:eastAsia="en-US"/>
        </w:rPr>
        <w:t xml:space="preserve"> אלפי ש"ח עבור עודפי תקציב מעבדות בריאות הציבור. העודפים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נוצרו בגין התחייבויות לספקים חיצוניים שנמצאים בהתקשרויות חוצות שנים בעבור הוצאות שוטפות של מעבדות בריאות הציבור, ציוד קצה עבור מחשוב ושירותי ניקיון</w:t>
      </w:r>
      <w:r>
        <w:rPr>
          <w:rFonts w:cs="Times New Roman"/>
          <w:sz w:val="26"/>
          <w:szCs w:val="26"/>
          <w:rtl/>
          <w:lang w:eastAsia="en-US"/>
        </w:rPr>
        <w:t>.</w:t>
      </w:r>
    </w:p>
    <w:p w14:paraId="69E5CA52"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מספר 241690: לשכות הבריאות </w:t>
      </w:r>
      <w:r>
        <w:rPr>
          <w:rFonts w:cs="Times New Roman"/>
          <w:b/>
          <w:bCs/>
          <w:sz w:val="26"/>
          <w:szCs w:val="26"/>
          <w:rtl/>
          <w:lang w:eastAsia="en-US"/>
        </w:rPr>
        <w:t>20,983</w:t>
      </w:r>
      <w:r>
        <w:rPr>
          <w:rFonts w:ascii="FrankRuehl" w:hAnsi="FrankRuehl" w:cs="FrankRuehl"/>
          <w:b/>
          <w:bCs/>
          <w:sz w:val="26"/>
          <w:szCs w:val="26"/>
          <w:rtl/>
          <w:lang w:eastAsia="en-US"/>
        </w:rPr>
        <w:t xml:space="preserve"> אלפי ש"ח</w:t>
      </w:r>
    </w:p>
    <w:p w14:paraId="2F8F9284"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תכנית זו מרוכזת את השכר והרכש בלשכות הבריאות. לשכות הבריאות עוסקות במתן שירותי חיסונים, טיפות חלב, ושירותי בריאות לפי חלוקה למחוזות.</w:t>
      </w:r>
    </w:p>
    <w:p w14:paraId="31F4ACEB"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סיבות בגינן נוצרו עודפים:</w:t>
      </w:r>
      <w:r>
        <w:rPr>
          <w:rFonts w:ascii="FrankRuehl" w:hAnsi="FrankRuehl" w:cs="FrankRuehl"/>
          <w:sz w:val="26"/>
          <w:szCs w:val="26"/>
          <w:rtl/>
          <w:lang w:eastAsia="en-US"/>
        </w:rPr>
        <w:t xml:space="preserve"> תקצוב עודפים בסך של </w:t>
      </w:r>
      <w:r>
        <w:rPr>
          <w:rFonts w:cs="Times New Roman"/>
          <w:sz w:val="26"/>
          <w:szCs w:val="26"/>
          <w:rtl/>
          <w:lang w:eastAsia="en-US"/>
        </w:rPr>
        <w:t>20,983</w:t>
      </w:r>
      <w:r>
        <w:rPr>
          <w:rFonts w:ascii="FrankRuehl" w:hAnsi="FrankRuehl" w:cs="FrankRuehl"/>
          <w:sz w:val="26"/>
          <w:szCs w:val="26"/>
          <w:rtl/>
          <w:lang w:eastAsia="en-US"/>
        </w:rPr>
        <w:t xml:space="preserve"> אלפי ש"ח עבור עודפי תקציב לשכות הבריאות. העודפים </w:t>
      </w:r>
      <w:proofErr w:type="spellStart"/>
      <w:r>
        <w:rPr>
          <w:rFonts w:ascii="FrankRuehl" w:hAnsi="FrankRuehl" w:cs="FrankRuehl"/>
          <w:sz w:val="26"/>
          <w:szCs w:val="26"/>
          <w:rtl/>
          <w:lang w:eastAsia="en-US"/>
        </w:rPr>
        <w:t>בתכנית</w:t>
      </w:r>
      <w:proofErr w:type="spellEnd"/>
      <w:r>
        <w:rPr>
          <w:rFonts w:ascii="FrankRuehl" w:hAnsi="FrankRuehl" w:cs="FrankRuehl"/>
          <w:sz w:val="26"/>
          <w:szCs w:val="26"/>
          <w:rtl/>
          <w:lang w:eastAsia="en-US"/>
        </w:rPr>
        <w:t xml:space="preserve"> נוצרו בגין התחייבויות לספקים חיצוניים שנמצאים בהתקשרויות חוצות שנים בעבור הוצאות שוטפות של לשכות הבריאות, ציוד קצה עבור מחשוב, שירותי ניקיון, אבטחה וציוד הצטיידות לטיפות החלב.</w:t>
      </w:r>
    </w:p>
    <w:p w14:paraId="129A7A7B"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מספר 242003: קופות ובתי חולים - תמיכות והעברות </w:t>
      </w:r>
      <w:r>
        <w:rPr>
          <w:rFonts w:cs="Times New Roman"/>
          <w:b/>
          <w:bCs/>
          <w:sz w:val="26"/>
          <w:szCs w:val="26"/>
          <w:rtl/>
          <w:lang w:eastAsia="en-US"/>
        </w:rPr>
        <w:t>196,776</w:t>
      </w:r>
      <w:r>
        <w:rPr>
          <w:rFonts w:ascii="FrankRuehl" w:hAnsi="FrankRuehl" w:cs="FrankRuehl"/>
          <w:b/>
          <w:bCs/>
          <w:sz w:val="26"/>
          <w:szCs w:val="26"/>
          <w:rtl/>
          <w:lang w:eastAsia="en-US"/>
        </w:rPr>
        <w:t>אלפי ש"ח</w:t>
      </w:r>
    </w:p>
    <w:p w14:paraId="4B59829F"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תכנית זו מכילה את כלל העברות והתמיכות לקופות חולים ובתי חולים לפי חוק ו/או לפי מבחני תמיכה</w:t>
      </w:r>
      <w:r>
        <w:rPr>
          <w:rFonts w:ascii="FrankRuehl" w:hAnsi="FrankRuehl" w:cs="FrankRuehl"/>
          <w:sz w:val="26"/>
          <w:szCs w:val="26"/>
          <w:lang w:eastAsia="en-US"/>
        </w:rPr>
        <w:t>.</w:t>
      </w:r>
    </w:p>
    <w:p w14:paraId="43F4E19B"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lastRenderedPageBreak/>
        <w:t>סיבות בגינן נוצרו עודפים:</w:t>
      </w:r>
      <w:r>
        <w:rPr>
          <w:rFonts w:cs="Times New Roman"/>
          <w:sz w:val="26"/>
          <w:szCs w:val="26"/>
          <w:rtl/>
          <w:lang w:eastAsia="en-US"/>
        </w:rPr>
        <w:t xml:space="preserve"> </w:t>
      </w:r>
    </w:p>
    <w:p w14:paraId="247FDAF7" w14:textId="77777777" w:rsidR="00C64D45" w:rsidRDefault="00C64D45" w:rsidP="00C64D45">
      <w:pPr>
        <w:overflowPunct/>
        <w:spacing w:before="120" w:after="120"/>
        <w:ind w:left="360"/>
        <w:contextualSpacing/>
        <w:jc w:val="both"/>
        <w:textAlignment w:val="auto"/>
        <w:rPr>
          <w:rFonts w:ascii="FrankRuehl" w:hAnsi="FrankRuehl" w:cs="FrankRuehl"/>
          <w:sz w:val="26"/>
          <w:szCs w:val="26"/>
          <w:lang w:eastAsia="en-US"/>
        </w:rPr>
      </w:pPr>
      <w:r>
        <w:rPr>
          <w:rFonts w:ascii="FrankRuehl" w:hAnsi="FrankRuehl" w:cs="FrankRuehl"/>
          <w:sz w:val="26"/>
          <w:szCs w:val="26"/>
          <w:rtl/>
          <w:lang w:eastAsia="en-US"/>
        </w:rPr>
        <w:t xml:space="preserve">עודפים בסך של </w:t>
      </w:r>
      <w:r>
        <w:rPr>
          <w:rFonts w:cs="Times New Roman"/>
          <w:sz w:val="26"/>
          <w:szCs w:val="26"/>
          <w:rtl/>
          <w:lang w:eastAsia="en-US"/>
        </w:rPr>
        <w:t>196,776</w:t>
      </w:r>
      <w:r>
        <w:rPr>
          <w:rFonts w:ascii="FrankRuehl" w:hAnsi="FrankRuehl" w:cs="FrankRuehl"/>
          <w:sz w:val="26"/>
          <w:szCs w:val="26"/>
          <w:rtl/>
          <w:lang w:eastAsia="en-US"/>
        </w:rPr>
        <w:t xml:space="preserve"> אלפי ש"ח שנוצרו בהתאם לביצוע מבחני התמיכה השונים בקופות החולים: מבחן לקיצור תורים במערכת הבריאות הציבורית, מבחן תמיכה בקופות החולים למימון התמחויות חדשות, מבחני תמיכה עבור אשפוזי בית ומבחני תמיכה עבור איכות האשפוז הפסיכיאטרי. התשלום עבור מבחני התמיכה נעשה בהתאם לתנאי המבחן ולפי נתוני הביצוע בפועל של המוסדות הרפואיים. </w:t>
      </w:r>
    </w:p>
    <w:p w14:paraId="57FFFF89" w14:textId="77777777" w:rsidR="00C64D45" w:rsidRDefault="00C64D45" w:rsidP="00C64D45">
      <w:pPr>
        <w:overflowPunct/>
        <w:spacing w:before="120" w:after="120"/>
        <w:contextualSpacing/>
        <w:jc w:val="both"/>
        <w:textAlignment w:val="auto"/>
        <w:rPr>
          <w:rFonts w:ascii="FrankRuehl" w:hAnsi="FrankRuehl" w:cs="FrankRuehl"/>
          <w:b/>
          <w:bCs/>
          <w:sz w:val="26"/>
          <w:szCs w:val="26"/>
          <w:lang w:eastAsia="en-US"/>
        </w:rPr>
      </w:pPr>
      <w:r>
        <w:rPr>
          <w:rFonts w:ascii="FrankRuehl" w:hAnsi="FrankRuehl" w:cs="FrankRuehl"/>
          <w:b/>
          <w:bCs/>
          <w:sz w:val="26"/>
          <w:szCs w:val="26"/>
          <w:rtl/>
          <w:lang w:eastAsia="en-US"/>
        </w:rPr>
        <w:t xml:space="preserve">תכנית מספר 244009: מרכזים לבריאות הנפש  </w:t>
      </w:r>
      <w:r>
        <w:rPr>
          <w:rFonts w:cs="Times New Roman"/>
          <w:b/>
          <w:bCs/>
          <w:sz w:val="26"/>
          <w:szCs w:val="26"/>
          <w:rtl/>
          <w:lang w:eastAsia="en-US"/>
        </w:rPr>
        <w:t>4,976</w:t>
      </w:r>
      <w:r>
        <w:rPr>
          <w:rFonts w:ascii="FrankRuehl" w:hAnsi="FrankRuehl" w:cs="FrankRuehl"/>
          <w:b/>
          <w:bCs/>
          <w:sz w:val="26"/>
          <w:szCs w:val="26"/>
          <w:rtl/>
          <w:lang w:eastAsia="en-US"/>
        </w:rPr>
        <w:t xml:space="preserve"> אלפי ש"ח</w:t>
      </w:r>
    </w:p>
    <w:p w14:paraId="12FB0164"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תיאור </w:t>
      </w:r>
      <w:proofErr w:type="spellStart"/>
      <w:r>
        <w:rPr>
          <w:rFonts w:ascii="FrankRuehl" w:hAnsi="FrankRuehl" w:cs="FrankRuehl"/>
          <w:b/>
          <w:bCs/>
          <w:sz w:val="26"/>
          <w:szCs w:val="26"/>
          <w:rtl/>
          <w:lang w:eastAsia="en-US"/>
        </w:rPr>
        <w:t>התכנית</w:t>
      </w:r>
      <w:proofErr w:type="spellEnd"/>
      <w:r>
        <w:rPr>
          <w:rFonts w:ascii="FrankRuehl" w:hAnsi="FrankRuehl" w:cs="FrankRuehl"/>
          <w:b/>
          <w:bCs/>
          <w:sz w:val="26"/>
          <w:szCs w:val="26"/>
          <w:rtl/>
          <w:lang w:eastAsia="en-US"/>
        </w:rPr>
        <w:t>:</w:t>
      </w:r>
      <w:r>
        <w:rPr>
          <w:rFonts w:ascii="FrankRuehl" w:hAnsi="FrankRuehl" w:cs="FrankRuehl"/>
          <w:sz w:val="26"/>
          <w:szCs w:val="26"/>
          <w:rtl/>
          <w:lang w:eastAsia="en-US"/>
        </w:rPr>
        <w:t xml:space="preserve"> משרד הבריאות מפעיל את מרכז</w:t>
      </w:r>
      <w:r>
        <w:rPr>
          <w:rFonts w:cs="Times New Roman"/>
          <w:sz w:val="26"/>
          <w:szCs w:val="26"/>
          <w:rtl/>
          <w:lang w:eastAsia="en-US"/>
        </w:rPr>
        <w:t xml:space="preserve"> </w:t>
      </w:r>
      <w:r>
        <w:rPr>
          <w:rFonts w:ascii="FrankRuehl" w:hAnsi="FrankRuehl" w:cs="FrankRuehl"/>
          <w:sz w:val="26"/>
          <w:szCs w:val="26"/>
          <w:rtl/>
          <w:lang w:eastAsia="en-US"/>
        </w:rPr>
        <w:t xml:space="preserve">קהילתי יפו. פעילות המשרד מהווה את החלק הארי של האשפוז והטיפול </w:t>
      </w:r>
      <w:proofErr w:type="spellStart"/>
      <w:r>
        <w:rPr>
          <w:rFonts w:ascii="FrankRuehl" w:hAnsi="FrankRuehl" w:cs="FrankRuehl"/>
          <w:sz w:val="26"/>
          <w:szCs w:val="26"/>
          <w:rtl/>
          <w:lang w:eastAsia="en-US"/>
        </w:rPr>
        <w:t>המרפאתי</w:t>
      </w:r>
      <w:proofErr w:type="spellEnd"/>
      <w:r>
        <w:rPr>
          <w:rFonts w:ascii="FrankRuehl" w:hAnsi="FrankRuehl" w:cs="FrankRuehl"/>
          <w:sz w:val="26"/>
          <w:szCs w:val="26"/>
          <w:rtl/>
          <w:lang w:eastAsia="en-US"/>
        </w:rPr>
        <w:t xml:space="preserve"> בתחום בריאות הנפש בישראל</w:t>
      </w:r>
      <w:r>
        <w:rPr>
          <w:rFonts w:cs="Times New Roman"/>
          <w:sz w:val="26"/>
          <w:szCs w:val="26"/>
          <w:rtl/>
          <w:lang w:eastAsia="en-US"/>
        </w:rPr>
        <w:t>.</w:t>
      </w:r>
      <w:r>
        <w:rPr>
          <w:rFonts w:ascii="FrankRuehl" w:hAnsi="FrankRuehl" w:cs="FrankRuehl"/>
          <w:sz w:val="26"/>
          <w:szCs w:val="26"/>
          <w:rtl/>
          <w:lang w:eastAsia="en-US"/>
        </w:rPr>
        <w:t xml:space="preserve"> במרכז זה</w:t>
      </w:r>
      <w:r>
        <w:rPr>
          <w:rFonts w:cs="Times New Roman"/>
          <w:sz w:val="26"/>
          <w:szCs w:val="26"/>
          <w:rtl/>
          <w:lang w:eastAsia="en-US"/>
        </w:rPr>
        <w:t xml:space="preserve">, </w:t>
      </w:r>
      <w:r>
        <w:rPr>
          <w:rFonts w:ascii="FrankRuehl" w:hAnsi="FrankRuehl" w:cs="FrankRuehl"/>
          <w:sz w:val="26"/>
          <w:szCs w:val="26"/>
          <w:rtl/>
          <w:lang w:eastAsia="en-US"/>
        </w:rPr>
        <w:t>קיים</w:t>
      </w:r>
      <w:r>
        <w:rPr>
          <w:rFonts w:cs="Times New Roman"/>
          <w:sz w:val="26"/>
          <w:szCs w:val="26"/>
          <w:rtl/>
          <w:lang w:eastAsia="en-US"/>
        </w:rPr>
        <w:t xml:space="preserve"> </w:t>
      </w:r>
      <w:r>
        <w:rPr>
          <w:rFonts w:ascii="FrankRuehl" w:hAnsi="FrankRuehl" w:cs="FrankRuehl"/>
          <w:color w:val="000000"/>
          <w:sz w:val="26"/>
          <w:szCs w:val="26"/>
          <w:rtl/>
          <w:lang w:eastAsia="en-US"/>
        </w:rPr>
        <w:t>טיפולי יום וטיפולים אמבולטוריים</w:t>
      </w:r>
      <w:r>
        <w:rPr>
          <w:rFonts w:ascii="FrankRuehl" w:hAnsi="FrankRuehl" w:cs="FrankRuehl"/>
          <w:sz w:val="26"/>
          <w:szCs w:val="26"/>
          <w:rtl/>
          <w:lang w:eastAsia="en-US"/>
        </w:rPr>
        <w:t xml:space="preserve"> המשמש את כלל תושבי המרכז</w:t>
      </w:r>
      <w:r>
        <w:rPr>
          <w:rFonts w:cs="Times New Roman"/>
          <w:sz w:val="26"/>
          <w:szCs w:val="26"/>
          <w:rtl/>
          <w:lang w:eastAsia="en-US"/>
        </w:rPr>
        <w:t>.</w:t>
      </w:r>
    </w:p>
    <w:p w14:paraId="42710BE8" w14:textId="77777777" w:rsidR="00C64D45" w:rsidRDefault="00C64D45" w:rsidP="00C64D45">
      <w:pPr>
        <w:overflowPunct/>
        <w:spacing w:before="120" w:after="120"/>
        <w:contextualSpacing/>
        <w:jc w:val="both"/>
        <w:textAlignment w:val="auto"/>
        <w:rPr>
          <w:rFonts w:ascii="FrankRuehl" w:hAnsi="FrankRuehl" w:cs="FrankRuehl"/>
          <w:sz w:val="26"/>
          <w:szCs w:val="26"/>
          <w:rtl/>
          <w:lang w:eastAsia="en-US"/>
        </w:rPr>
      </w:pPr>
      <w:r>
        <w:rPr>
          <w:rFonts w:ascii="FrankRuehl" w:hAnsi="FrankRuehl" w:cs="FrankRuehl"/>
          <w:b/>
          <w:bCs/>
          <w:sz w:val="26"/>
          <w:szCs w:val="26"/>
          <w:rtl/>
          <w:lang w:eastAsia="en-US"/>
        </w:rPr>
        <w:t>סיבות בגינן נוצרו עודפים:</w:t>
      </w:r>
      <w:r>
        <w:rPr>
          <w:rFonts w:ascii="FrankRuehl" w:hAnsi="FrankRuehl" w:cs="FrankRuehl"/>
          <w:sz w:val="26"/>
          <w:szCs w:val="26"/>
          <w:rtl/>
          <w:lang w:eastAsia="en-US"/>
        </w:rPr>
        <w:t xml:space="preserve"> תקצוב עודפים בסך של </w:t>
      </w:r>
      <w:r>
        <w:rPr>
          <w:rFonts w:cs="Times New Roman"/>
          <w:sz w:val="26"/>
          <w:szCs w:val="26"/>
          <w:rtl/>
          <w:lang w:eastAsia="en-US"/>
        </w:rPr>
        <w:t xml:space="preserve">4,976 </w:t>
      </w:r>
      <w:r>
        <w:rPr>
          <w:rFonts w:ascii="FrankRuehl" w:hAnsi="FrankRuehl" w:cs="FrankRuehl"/>
          <w:sz w:val="26"/>
          <w:szCs w:val="26"/>
          <w:rtl/>
          <w:lang w:eastAsia="en-US"/>
        </w:rPr>
        <w:t xml:space="preserve">אלפי ש"ח, שנוצרו בגין התקשרויות חוצות שנים של המרכז, בהתאם לביצוע ההכנסות וההוצאות של המרכז הרפואי. </w:t>
      </w:r>
      <w:r>
        <w:rPr>
          <w:rFonts w:ascii="FrankRuehl" w:hAnsi="FrankRuehl" w:cs="FrankRuehl"/>
          <w:sz w:val="26"/>
          <w:szCs w:val="26"/>
          <w:lang w:eastAsia="en-US"/>
        </w:rPr>
        <w:tab/>
      </w:r>
    </w:p>
    <w:p w14:paraId="05E28E10" w14:textId="77777777" w:rsidR="00C64D45" w:rsidRDefault="00C64D45" w:rsidP="00C64D45">
      <w:pPr>
        <w:overflowPunct/>
        <w:contextualSpacing/>
        <w:jc w:val="both"/>
        <w:textAlignment w:val="auto"/>
        <w:rPr>
          <w:rFonts w:ascii="FrankRuehl" w:hAnsi="FrankRuehl" w:cs="FrankRuehl"/>
          <w:sz w:val="26"/>
          <w:szCs w:val="26"/>
          <w:rtl/>
          <w:lang w:eastAsia="en-US"/>
        </w:rPr>
      </w:pPr>
    </w:p>
    <w:p w14:paraId="5F70B9ED" w14:textId="77777777" w:rsidR="00C64D45" w:rsidRDefault="00C64D45" w:rsidP="00C64D45">
      <w:pPr>
        <w:overflowPunct/>
        <w:contextualSpacing/>
        <w:jc w:val="both"/>
        <w:textAlignment w:val="auto"/>
        <w:rPr>
          <w:rFonts w:ascii="FrankRuehl" w:hAnsi="FrankRuehl" w:cs="FrankRuehl"/>
          <w:sz w:val="26"/>
          <w:szCs w:val="26"/>
          <w:lang w:eastAsia="en-US"/>
        </w:rPr>
      </w:pPr>
      <w:r>
        <w:rPr>
          <w:rFonts w:ascii="FrankRuehl" w:hAnsi="FrankRuehl" w:cs="FrankRuehl"/>
          <w:b/>
          <w:bCs/>
          <w:sz w:val="26"/>
          <w:szCs w:val="26"/>
          <w:rtl/>
          <w:lang w:eastAsia="en-US"/>
        </w:rPr>
        <w:t xml:space="preserve">השפעה על </w:t>
      </w:r>
      <w:proofErr w:type="spellStart"/>
      <w:r>
        <w:rPr>
          <w:rFonts w:ascii="FrankRuehl" w:hAnsi="FrankRuehl" w:cs="FrankRuehl"/>
          <w:b/>
          <w:bCs/>
          <w:sz w:val="26"/>
          <w:szCs w:val="26"/>
          <w:rtl/>
          <w:lang w:eastAsia="en-US"/>
        </w:rPr>
        <w:t>כח</w:t>
      </w:r>
      <w:proofErr w:type="spellEnd"/>
      <w:r>
        <w:rPr>
          <w:rFonts w:ascii="FrankRuehl" w:hAnsi="FrankRuehl" w:cs="FrankRuehl"/>
          <w:b/>
          <w:bCs/>
          <w:sz w:val="26"/>
          <w:szCs w:val="26"/>
          <w:rtl/>
          <w:lang w:eastAsia="en-US"/>
        </w:rPr>
        <w:t xml:space="preserve"> אדם</w:t>
      </w:r>
      <w:r>
        <w:rPr>
          <w:rFonts w:cs="Times New Roman"/>
          <w:sz w:val="26"/>
          <w:szCs w:val="26"/>
          <w:rtl/>
          <w:lang w:eastAsia="en-US"/>
        </w:rPr>
        <w:t>:</w:t>
      </w:r>
      <w:r>
        <w:rPr>
          <w:rFonts w:ascii="FrankRuehl" w:hAnsi="FrankRuehl" w:cs="FrankRuehl"/>
          <w:sz w:val="26"/>
          <w:szCs w:val="26"/>
          <w:rtl/>
          <w:lang w:eastAsia="en-US"/>
        </w:rPr>
        <w:t xml:space="preserve"> אין</w:t>
      </w:r>
    </w:p>
    <w:p w14:paraId="5BFC8C73" w14:textId="77777777" w:rsidR="00C64D45" w:rsidRDefault="00C64D45" w:rsidP="00C64D45">
      <w:pPr>
        <w:overflowPunct/>
        <w:spacing w:before="120" w:after="120"/>
        <w:contextualSpacing/>
        <w:jc w:val="both"/>
        <w:textAlignment w:val="auto"/>
        <w:rPr>
          <w:rFonts w:ascii="FrankRuehl" w:hAnsi="FrankRuehl" w:cs="FrankRuehl"/>
          <w:sz w:val="26"/>
          <w:szCs w:val="26"/>
          <w:lang w:eastAsia="en-US"/>
        </w:rPr>
      </w:pPr>
    </w:p>
    <w:p w14:paraId="43064E1A" w14:textId="77777777" w:rsidR="0051496B" w:rsidRPr="000A3FA0" w:rsidRDefault="0051496B" w:rsidP="00C64D45">
      <w:pPr>
        <w:contextualSpacing/>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63EF19EE" w14:textId="77777777" w:rsidR="0051496B" w:rsidRPr="000A3FA0" w:rsidRDefault="0051496B" w:rsidP="00C64D45">
      <w:pPr>
        <w:contextualSpacing/>
        <w:jc w:val="both"/>
        <w:rPr>
          <w:rFonts w:cs="FrankRuehl"/>
          <w:sz w:val="26"/>
          <w:szCs w:val="26"/>
          <w:rtl/>
        </w:rPr>
      </w:pPr>
    </w:p>
    <w:p w14:paraId="66C2A908" w14:textId="77777777" w:rsidR="0051496B" w:rsidRPr="000A3FA0" w:rsidRDefault="0051496B" w:rsidP="00C64D45">
      <w:pPr>
        <w:contextualSpacing/>
        <w:jc w:val="both"/>
        <w:rPr>
          <w:rFonts w:cs="FrankRuehl"/>
          <w:sz w:val="26"/>
          <w:szCs w:val="26"/>
          <w:rtl/>
        </w:rPr>
      </w:pPr>
    </w:p>
    <w:p w14:paraId="54DB957C"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0702A060" w14:textId="77777777" w:rsidR="0051496B" w:rsidRDefault="0051496B">
      <w:pPr>
        <w:tabs>
          <w:tab w:val="center" w:pos="6867"/>
        </w:tabs>
        <w:rPr>
          <w:rFonts w:cs="FrankRuehl"/>
          <w:sz w:val="26"/>
          <w:szCs w:val="26"/>
          <w:rtl/>
        </w:rPr>
      </w:pPr>
    </w:p>
    <w:p w14:paraId="0ACF2CB0"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48F21D0D" w14:textId="77777777" w:rsidR="0051496B" w:rsidRPr="000A3FA0" w:rsidRDefault="0051496B">
      <w:pPr>
        <w:tabs>
          <w:tab w:val="center" w:pos="6867"/>
        </w:tabs>
        <w:rPr>
          <w:rFonts w:cs="FrankRuehl"/>
          <w:sz w:val="26"/>
          <w:szCs w:val="26"/>
          <w:rtl/>
        </w:rPr>
      </w:pPr>
    </w:p>
    <w:p w14:paraId="0B514FA5"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49693133"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63915D92" w14:textId="77777777" w:rsidR="0051496B" w:rsidRPr="000A3FA0" w:rsidRDefault="0051496B">
      <w:pPr>
        <w:rPr>
          <w:rFonts w:cs="FrankRuehl"/>
          <w:sz w:val="26"/>
          <w:szCs w:val="26"/>
          <w:rtl/>
        </w:rPr>
      </w:pPr>
    </w:p>
    <w:p w14:paraId="5ABFA765" w14:textId="77777777" w:rsidR="0051496B" w:rsidRPr="000A3FA0" w:rsidRDefault="0051496B">
      <w:pPr>
        <w:rPr>
          <w:rFonts w:cs="FrankRuehl"/>
          <w:sz w:val="26"/>
          <w:szCs w:val="26"/>
          <w:rtl/>
        </w:rPr>
      </w:pPr>
      <w:r w:rsidRPr="000A3FA0">
        <w:rPr>
          <w:rFonts w:cs="FrankRuehl"/>
          <w:sz w:val="26"/>
          <w:szCs w:val="26"/>
          <w:rtl/>
        </w:rPr>
        <w:t>העתק:</w:t>
      </w:r>
    </w:p>
    <w:p w14:paraId="0585A31D" w14:textId="77777777" w:rsidR="0051496B" w:rsidRPr="000A3FA0" w:rsidRDefault="0051496B">
      <w:pPr>
        <w:rPr>
          <w:rFonts w:cs="FrankRuehl"/>
          <w:sz w:val="26"/>
          <w:szCs w:val="26"/>
          <w:rtl/>
        </w:rPr>
      </w:pPr>
      <w:r w:rsidRPr="000A3FA0">
        <w:rPr>
          <w:rFonts w:cs="FrankRuehl"/>
          <w:sz w:val="26"/>
          <w:szCs w:val="26"/>
          <w:rtl/>
        </w:rPr>
        <w:t>החשב הכללי</w:t>
      </w:r>
    </w:p>
    <w:p w14:paraId="72CF45B5" w14:textId="77777777" w:rsidR="0051496B" w:rsidRPr="000A3FA0" w:rsidRDefault="0051496B">
      <w:pPr>
        <w:rPr>
          <w:rFonts w:cs="FrankRuehl"/>
          <w:sz w:val="26"/>
          <w:szCs w:val="26"/>
          <w:rtl/>
        </w:rPr>
      </w:pPr>
      <w:r w:rsidRPr="000A3FA0">
        <w:rPr>
          <w:rFonts w:cs="FrankRuehl"/>
          <w:sz w:val="26"/>
          <w:szCs w:val="26"/>
          <w:rtl/>
        </w:rPr>
        <w:t>מבקר המדינה (2)</w:t>
      </w:r>
    </w:p>
    <w:p w14:paraId="14B2171C" w14:textId="79735474" w:rsidR="0051496B" w:rsidRPr="000A3FA0" w:rsidRDefault="00CC5EE3">
      <w:pPr>
        <w:rPr>
          <w:rFonts w:cs="FrankRuehl"/>
          <w:sz w:val="26"/>
          <w:szCs w:val="26"/>
          <w:rtl/>
        </w:rPr>
      </w:pPr>
      <w:bookmarkStart w:id="12" w:name="TAKZIV22"/>
      <w:r>
        <w:rPr>
          <w:rFonts w:cs="FrankRuehl"/>
          <w:sz w:val="26"/>
          <w:szCs w:val="26"/>
          <w:rtl/>
        </w:rPr>
        <w:t>חשב משרד הבריאות</w:t>
      </w:r>
      <w:bookmarkEnd w:id="12"/>
    </w:p>
    <w:p w14:paraId="0F2D4572" w14:textId="0C8ED22A"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CC5EE3">
        <w:rPr>
          <w:rFonts w:cs="FrankRuehl"/>
          <w:sz w:val="26"/>
          <w:szCs w:val="26"/>
          <w:rtl/>
        </w:rPr>
        <w:t>משרד הבריאות</w:t>
      </w:r>
      <w:bookmarkEnd w:id="13"/>
    </w:p>
    <w:p w14:paraId="56CDE9B3" w14:textId="5E214F7A"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CC5EE3">
        <w:rPr>
          <w:rFonts w:cs="FrankRuehl"/>
          <w:sz w:val="26"/>
          <w:szCs w:val="26"/>
          <w:rtl/>
        </w:rPr>
        <w:t>משרד הבריאות</w:t>
      </w:r>
      <w:bookmarkEnd w:id="14"/>
    </w:p>
    <w:p w14:paraId="348B5637" w14:textId="77777777" w:rsidR="0051496B" w:rsidRPr="000A3FA0" w:rsidRDefault="0051496B">
      <w:pPr>
        <w:rPr>
          <w:rFonts w:cs="FrankRuehl"/>
          <w:sz w:val="26"/>
          <w:szCs w:val="26"/>
          <w:rtl/>
        </w:rPr>
      </w:pPr>
      <w:bookmarkStart w:id="15" w:name="TAKZIV23"/>
      <w:bookmarkEnd w:id="15"/>
    </w:p>
    <w:p w14:paraId="60773BD1" w14:textId="77777777" w:rsidR="0051496B" w:rsidRPr="000A3FA0" w:rsidRDefault="0051496B">
      <w:pPr>
        <w:rPr>
          <w:rFonts w:cs="FrankRuehl"/>
          <w:sz w:val="26"/>
          <w:szCs w:val="26"/>
          <w:rtl/>
        </w:rPr>
      </w:pPr>
    </w:p>
    <w:p w14:paraId="593EB7D6" w14:textId="693FDD25" w:rsidR="0051496B" w:rsidRDefault="0051496B">
      <w:pPr>
        <w:rPr>
          <w:rFonts w:cs="FrankRuehl"/>
          <w:sz w:val="26"/>
          <w:szCs w:val="26"/>
          <w:rtl/>
        </w:rPr>
      </w:pPr>
      <w:bookmarkStart w:id="16" w:name="TAKZIV25"/>
      <w:bookmarkEnd w:id="16"/>
    </w:p>
    <w:p w14:paraId="5213C4C2" w14:textId="5B702B07" w:rsidR="00F36507" w:rsidRDefault="00F36507">
      <w:pPr>
        <w:rPr>
          <w:rFonts w:cs="FrankRuehl"/>
          <w:sz w:val="26"/>
          <w:szCs w:val="26"/>
          <w:rtl/>
        </w:rPr>
      </w:pPr>
    </w:p>
    <w:p w14:paraId="792FA29A" w14:textId="337DDFD6" w:rsidR="00F36507" w:rsidRDefault="00F36507">
      <w:pPr>
        <w:rPr>
          <w:rFonts w:cs="FrankRuehl"/>
          <w:sz w:val="26"/>
          <w:szCs w:val="26"/>
          <w:rtl/>
        </w:rPr>
      </w:pPr>
    </w:p>
    <w:p w14:paraId="7F00F22D" w14:textId="62579597" w:rsidR="00F36507" w:rsidRDefault="00F36507">
      <w:pPr>
        <w:rPr>
          <w:rFonts w:cs="FrankRuehl"/>
          <w:sz w:val="26"/>
          <w:szCs w:val="26"/>
          <w:rtl/>
        </w:rPr>
      </w:pPr>
    </w:p>
    <w:p w14:paraId="5512BBC3" w14:textId="4ABA15FC" w:rsidR="00F36507" w:rsidRDefault="00F36507">
      <w:pPr>
        <w:rPr>
          <w:rFonts w:cs="FrankRuehl"/>
          <w:sz w:val="26"/>
          <w:szCs w:val="26"/>
          <w:rtl/>
        </w:rPr>
      </w:pPr>
    </w:p>
    <w:p w14:paraId="5FEA3ED5" w14:textId="38796CDD" w:rsidR="00F36507" w:rsidRDefault="00F36507">
      <w:pPr>
        <w:rPr>
          <w:rFonts w:cs="FrankRuehl"/>
          <w:sz w:val="26"/>
          <w:szCs w:val="26"/>
          <w:rtl/>
        </w:rPr>
      </w:pPr>
    </w:p>
    <w:p w14:paraId="25521AF3" w14:textId="59E0ACC0" w:rsidR="00F36507" w:rsidRDefault="00F36507">
      <w:pPr>
        <w:rPr>
          <w:rFonts w:cs="FrankRuehl"/>
          <w:sz w:val="26"/>
          <w:szCs w:val="26"/>
          <w:rtl/>
        </w:rPr>
      </w:pPr>
    </w:p>
    <w:p w14:paraId="1B501EBD" w14:textId="6BB7FC18" w:rsidR="00F36507" w:rsidRDefault="00F36507">
      <w:pPr>
        <w:rPr>
          <w:rFonts w:cs="FrankRuehl"/>
          <w:sz w:val="26"/>
          <w:szCs w:val="26"/>
          <w:rtl/>
        </w:rPr>
      </w:pPr>
    </w:p>
    <w:p w14:paraId="0C4F10D8" w14:textId="5045E624" w:rsidR="00F36507" w:rsidRDefault="00F36507">
      <w:pPr>
        <w:rPr>
          <w:rFonts w:cs="FrankRuehl"/>
          <w:sz w:val="26"/>
          <w:szCs w:val="26"/>
          <w:rtl/>
        </w:rPr>
      </w:pPr>
    </w:p>
    <w:p w14:paraId="249ACB58" w14:textId="6177C7C2" w:rsidR="00F36507" w:rsidRDefault="00F36507">
      <w:pPr>
        <w:rPr>
          <w:rFonts w:cs="FrankRuehl"/>
          <w:sz w:val="26"/>
          <w:szCs w:val="26"/>
          <w:rtl/>
        </w:rPr>
      </w:pPr>
    </w:p>
    <w:p w14:paraId="4B3740AE" w14:textId="21B93FEF" w:rsidR="00F36507" w:rsidRDefault="00F36507">
      <w:pPr>
        <w:rPr>
          <w:rFonts w:cs="FrankRuehl"/>
          <w:sz w:val="26"/>
          <w:szCs w:val="26"/>
          <w:rtl/>
        </w:rPr>
      </w:pPr>
    </w:p>
    <w:p w14:paraId="5AD67CCE" w14:textId="717EC186" w:rsidR="00F36507" w:rsidRDefault="00F36507">
      <w:pPr>
        <w:rPr>
          <w:rFonts w:cs="FrankRuehl"/>
          <w:sz w:val="26"/>
          <w:szCs w:val="26"/>
          <w:rtl/>
        </w:rPr>
      </w:pPr>
    </w:p>
    <w:p w14:paraId="26D337F4" w14:textId="1016524D" w:rsidR="00F36507" w:rsidRDefault="00F36507">
      <w:pPr>
        <w:rPr>
          <w:rFonts w:cs="FrankRuehl"/>
          <w:sz w:val="26"/>
          <w:szCs w:val="26"/>
          <w:rtl/>
        </w:rPr>
      </w:pPr>
    </w:p>
    <w:p w14:paraId="43601277" w14:textId="57B12570" w:rsidR="00F36507" w:rsidRDefault="00F36507">
      <w:pPr>
        <w:rPr>
          <w:rFonts w:cs="FrankRuehl"/>
          <w:sz w:val="26"/>
          <w:szCs w:val="26"/>
          <w:rtl/>
        </w:rPr>
      </w:pPr>
    </w:p>
    <w:p w14:paraId="41F61B18" w14:textId="197A46A8" w:rsidR="00F36507" w:rsidRDefault="00F36507">
      <w:pPr>
        <w:rPr>
          <w:rFonts w:cs="FrankRuehl"/>
          <w:sz w:val="26"/>
          <w:szCs w:val="26"/>
          <w:rtl/>
        </w:rPr>
      </w:pPr>
    </w:p>
    <w:p w14:paraId="02F553D5" w14:textId="189DB9B8" w:rsidR="00F36507" w:rsidRDefault="00F36507">
      <w:pPr>
        <w:rPr>
          <w:rFonts w:cs="FrankRuehl"/>
          <w:sz w:val="26"/>
          <w:szCs w:val="26"/>
          <w:rtl/>
        </w:rPr>
      </w:pPr>
    </w:p>
    <w:p w14:paraId="75EA892E" w14:textId="419DA98A" w:rsidR="00F36507" w:rsidRDefault="00F36507">
      <w:pPr>
        <w:rPr>
          <w:rFonts w:cs="FrankRuehl"/>
          <w:sz w:val="26"/>
          <w:szCs w:val="26"/>
          <w:rtl/>
        </w:rPr>
      </w:pPr>
    </w:p>
    <w:p w14:paraId="587DE87A" w14:textId="714C65E3" w:rsidR="00F36507" w:rsidRDefault="00F36507">
      <w:pPr>
        <w:rPr>
          <w:rFonts w:cs="FrankRuehl"/>
          <w:sz w:val="26"/>
          <w:szCs w:val="26"/>
          <w:rtl/>
        </w:rPr>
      </w:pPr>
    </w:p>
    <w:p w14:paraId="1AED9FF1" w14:textId="6E936335" w:rsidR="00F36507" w:rsidRPr="00F36507" w:rsidRDefault="00F36507" w:rsidP="00F36507">
      <w:pPr>
        <w:jc w:val="center"/>
        <w:rPr>
          <w:rFonts w:cs="FrankRuehl"/>
          <w:b/>
          <w:bCs/>
          <w:sz w:val="26"/>
          <w:szCs w:val="26"/>
          <w:u w:val="single"/>
          <w:rtl/>
        </w:rPr>
      </w:pPr>
      <w:r w:rsidRPr="00F36507">
        <w:rPr>
          <w:rFonts w:cs="FrankRuehl" w:hint="cs"/>
          <w:b/>
          <w:bCs/>
          <w:sz w:val="26"/>
          <w:szCs w:val="26"/>
          <w:u w:val="single"/>
          <w:rtl/>
        </w:rPr>
        <w:lastRenderedPageBreak/>
        <w:t>נספח לדברי ההסבר</w:t>
      </w:r>
    </w:p>
    <w:p w14:paraId="2751CCCF" w14:textId="082AF20D" w:rsidR="00F36507" w:rsidRPr="00F36507" w:rsidRDefault="00F36507" w:rsidP="00F36507">
      <w:pPr>
        <w:jc w:val="center"/>
        <w:rPr>
          <w:rFonts w:cs="FrankRuehl"/>
          <w:b/>
          <w:bCs/>
          <w:sz w:val="26"/>
          <w:szCs w:val="26"/>
          <w:u w:val="single"/>
          <w:rtl/>
        </w:rPr>
      </w:pPr>
    </w:p>
    <w:p w14:paraId="72948FD2" w14:textId="0306A168" w:rsidR="00F36507" w:rsidRDefault="00F36507" w:rsidP="00F36507">
      <w:pPr>
        <w:jc w:val="center"/>
        <w:rPr>
          <w:rFonts w:cs="FrankRuehl"/>
          <w:b/>
          <w:bCs/>
          <w:sz w:val="26"/>
          <w:szCs w:val="26"/>
          <w:rtl/>
        </w:rPr>
      </w:pPr>
      <w:r w:rsidRPr="00F36507">
        <w:rPr>
          <w:rFonts w:cs="FrankRuehl"/>
          <w:b/>
          <w:bCs/>
          <w:sz w:val="26"/>
          <w:szCs w:val="26"/>
          <w:rtl/>
        </w:rPr>
        <w:t>היסטוריה תקציבית של הפנייה</w:t>
      </w:r>
    </w:p>
    <w:p w14:paraId="306AC642" w14:textId="0B44A3A7" w:rsidR="00F36507" w:rsidRDefault="00F36507" w:rsidP="00F36507">
      <w:pPr>
        <w:jc w:val="center"/>
        <w:rPr>
          <w:rFonts w:cs="FrankRuehl"/>
          <w:b/>
          <w:bCs/>
          <w:sz w:val="26"/>
          <w:szCs w:val="26"/>
          <w:rtl/>
        </w:rPr>
      </w:pPr>
    </w:p>
    <w:tbl>
      <w:tblPr>
        <w:tblW w:w="5000" w:type="pct"/>
        <w:tblLook w:val="04A0" w:firstRow="1" w:lastRow="0" w:firstColumn="1" w:lastColumn="0" w:noHBand="0" w:noVBand="1"/>
      </w:tblPr>
      <w:tblGrid>
        <w:gridCol w:w="1650"/>
        <w:gridCol w:w="1894"/>
        <w:gridCol w:w="1650"/>
        <w:gridCol w:w="1650"/>
        <w:gridCol w:w="1679"/>
      </w:tblGrid>
      <w:tr w:rsidR="00F36507" w:rsidRPr="00F36507" w14:paraId="7A57E8CB" w14:textId="77777777" w:rsidTr="00F36507">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5253B48A" w14:textId="77777777" w:rsidR="00F36507" w:rsidRPr="00F36507" w:rsidRDefault="00F36507" w:rsidP="00F36507">
            <w:pPr>
              <w:overflowPunct/>
              <w:autoSpaceDE/>
              <w:autoSpaceDN/>
              <w:adjustRightInd/>
              <w:jc w:val="center"/>
              <w:textAlignment w:val="auto"/>
              <w:rPr>
                <w:rFonts w:ascii="Calibri" w:hAnsi="Calibri" w:cs="Calibri"/>
                <w:b/>
                <w:bCs/>
                <w:color w:val="000000"/>
                <w:sz w:val="16"/>
                <w:szCs w:val="16"/>
                <w:lang w:eastAsia="en-US"/>
              </w:rPr>
            </w:pPr>
            <w:r w:rsidRPr="00F36507">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7042048C" w14:textId="77777777" w:rsidR="00F36507" w:rsidRPr="00F36507" w:rsidRDefault="00F36507" w:rsidP="00F36507">
            <w:pPr>
              <w:overflowPunct/>
              <w:autoSpaceDE/>
              <w:autoSpaceDN/>
              <w:adjustRightInd/>
              <w:jc w:val="center"/>
              <w:textAlignment w:val="auto"/>
              <w:rPr>
                <w:rFonts w:ascii="Calibri" w:hAnsi="Calibri" w:cs="Calibri"/>
                <w:b/>
                <w:bCs/>
                <w:color w:val="000000"/>
                <w:sz w:val="16"/>
                <w:szCs w:val="16"/>
                <w:rtl/>
                <w:lang w:eastAsia="en-US"/>
              </w:rPr>
            </w:pPr>
            <w:r w:rsidRPr="00F36507">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FB556B6" w14:textId="77777777" w:rsidR="00F36507" w:rsidRPr="00F36507" w:rsidRDefault="00F36507" w:rsidP="00F36507">
            <w:pPr>
              <w:overflowPunct/>
              <w:autoSpaceDE/>
              <w:autoSpaceDN/>
              <w:adjustRightInd/>
              <w:jc w:val="center"/>
              <w:textAlignment w:val="auto"/>
              <w:rPr>
                <w:rFonts w:ascii="Calibri" w:hAnsi="Calibri" w:cs="Calibri"/>
                <w:b/>
                <w:bCs/>
                <w:color w:val="000000"/>
                <w:sz w:val="16"/>
                <w:szCs w:val="16"/>
                <w:rtl/>
                <w:lang w:eastAsia="en-US"/>
              </w:rPr>
            </w:pPr>
            <w:r w:rsidRPr="00F36507">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ACC54AA" w14:textId="77777777" w:rsidR="00F36507" w:rsidRPr="00F36507" w:rsidRDefault="00F36507" w:rsidP="00F36507">
            <w:pPr>
              <w:overflowPunct/>
              <w:autoSpaceDE/>
              <w:autoSpaceDN/>
              <w:adjustRightInd/>
              <w:jc w:val="center"/>
              <w:textAlignment w:val="auto"/>
              <w:rPr>
                <w:rFonts w:ascii="Calibri" w:hAnsi="Calibri" w:cs="Calibri"/>
                <w:b/>
                <w:bCs/>
                <w:color w:val="000000"/>
                <w:sz w:val="16"/>
                <w:szCs w:val="16"/>
                <w:rtl/>
                <w:lang w:eastAsia="en-US"/>
              </w:rPr>
            </w:pPr>
            <w:r w:rsidRPr="00F36507">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6BD8E1B6" w14:textId="77777777" w:rsidR="00F36507" w:rsidRPr="00F36507" w:rsidRDefault="00F36507" w:rsidP="00F36507">
            <w:pPr>
              <w:overflowPunct/>
              <w:autoSpaceDE/>
              <w:autoSpaceDN/>
              <w:adjustRightInd/>
              <w:jc w:val="center"/>
              <w:textAlignment w:val="auto"/>
              <w:rPr>
                <w:rFonts w:ascii="Calibri" w:hAnsi="Calibri" w:cs="Calibri"/>
                <w:b/>
                <w:bCs/>
                <w:color w:val="000000"/>
                <w:sz w:val="16"/>
                <w:szCs w:val="16"/>
                <w:rtl/>
                <w:lang w:eastAsia="en-US"/>
              </w:rPr>
            </w:pPr>
            <w:r w:rsidRPr="00F36507">
              <w:rPr>
                <w:rFonts w:ascii="Calibri" w:hAnsi="Calibri" w:cs="Calibri"/>
                <w:b/>
                <w:bCs/>
                <w:color w:val="000000"/>
                <w:sz w:val="16"/>
                <w:szCs w:val="16"/>
                <w:rtl/>
                <w:lang w:eastAsia="en-US"/>
              </w:rPr>
              <w:t>סך עודף שהועבר ב-2023</w:t>
            </w:r>
          </w:p>
        </w:tc>
      </w:tr>
      <w:tr w:rsidR="00F36507" w:rsidRPr="00F36507" w14:paraId="4F103ECC" w14:textId="77777777" w:rsidTr="00F36507">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198AA052"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rtl/>
                <w:lang w:eastAsia="en-US"/>
              </w:rPr>
            </w:pPr>
            <w:r w:rsidRPr="00F36507">
              <w:rPr>
                <w:rFonts w:ascii="Calibri" w:hAnsi="Calibri" w:cs="Calibri"/>
                <w:color w:val="000000"/>
                <w:sz w:val="16"/>
                <w:szCs w:val="16"/>
                <w:lang w:eastAsia="en-US"/>
              </w:rPr>
              <w:t>240205</w:t>
            </w:r>
          </w:p>
        </w:tc>
        <w:tc>
          <w:tcPr>
            <w:tcW w:w="1111" w:type="pct"/>
            <w:tcBorders>
              <w:top w:val="nil"/>
              <w:left w:val="single" w:sz="4" w:space="0" w:color="979991"/>
              <w:bottom w:val="single" w:sz="4" w:space="0" w:color="979991"/>
              <w:right w:val="nil"/>
            </w:tcBorders>
            <w:shd w:val="clear" w:color="000000" w:fill="FFFFFF"/>
            <w:vAlign w:val="center"/>
            <w:hideMark/>
          </w:tcPr>
          <w:p w14:paraId="763524E8"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341,078</w:t>
            </w:r>
          </w:p>
        </w:tc>
        <w:tc>
          <w:tcPr>
            <w:tcW w:w="968" w:type="pct"/>
            <w:tcBorders>
              <w:top w:val="nil"/>
              <w:left w:val="single" w:sz="4" w:space="0" w:color="979991"/>
              <w:bottom w:val="single" w:sz="4" w:space="0" w:color="979991"/>
              <w:right w:val="nil"/>
            </w:tcBorders>
            <w:shd w:val="clear" w:color="000000" w:fill="FFFFFF"/>
            <w:vAlign w:val="center"/>
            <w:hideMark/>
          </w:tcPr>
          <w:p w14:paraId="6FD5BE2E"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1,217,352</w:t>
            </w:r>
          </w:p>
        </w:tc>
        <w:tc>
          <w:tcPr>
            <w:tcW w:w="968" w:type="pct"/>
            <w:tcBorders>
              <w:top w:val="nil"/>
              <w:left w:val="single" w:sz="4" w:space="0" w:color="979991"/>
              <w:bottom w:val="single" w:sz="4" w:space="0" w:color="979991"/>
              <w:right w:val="nil"/>
            </w:tcBorders>
            <w:shd w:val="clear" w:color="000000" w:fill="FFFFFF"/>
            <w:vAlign w:val="center"/>
            <w:hideMark/>
          </w:tcPr>
          <w:p w14:paraId="75EDEC1C"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1,153,061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387E2AF"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2,597,182</w:t>
            </w:r>
          </w:p>
        </w:tc>
      </w:tr>
      <w:tr w:rsidR="00F36507" w:rsidRPr="00F36507" w14:paraId="242DBB6F"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D45EF2D"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240218</w:t>
            </w:r>
          </w:p>
        </w:tc>
        <w:tc>
          <w:tcPr>
            <w:tcW w:w="1111" w:type="pct"/>
            <w:tcBorders>
              <w:top w:val="nil"/>
              <w:left w:val="single" w:sz="4" w:space="0" w:color="979991"/>
              <w:bottom w:val="single" w:sz="4" w:space="0" w:color="979991"/>
              <w:right w:val="nil"/>
            </w:tcBorders>
            <w:shd w:val="clear" w:color="000000" w:fill="FFFFFF"/>
            <w:vAlign w:val="center"/>
            <w:hideMark/>
          </w:tcPr>
          <w:p w14:paraId="3EF56DBC"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6,271</w:t>
            </w:r>
          </w:p>
        </w:tc>
        <w:tc>
          <w:tcPr>
            <w:tcW w:w="968" w:type="pct"/>
            <w:tcBorders>
              <w:top w:val="nil"/>
              <w:left w:val="single" w:sz="4" w:space="0" w:color="979991"/>
              <w:bottom w:val="single" w:sz="4" w:space="0" w:color="979991"/>
              <w:right w:val="nil"/>
            </w:tcBorders>
            <w:shd w:val="clear" w:color="000000" w:fill="FFFFFF"/>
            <w:vAlign w:val="center"/>
            <w:hideMark/>
          </w:tcPr>
          <w:p w14:paraId="687F9DB6"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6,751</w:t>
            </w:r>
          </w:p>
        </w:tc>
        <w:tc>
          <w:tcPr>
            <w:tcW w:w="968" w:type="pct"/>
            <w:tcBorders>
              <w:top w:val="nil"/>
              <w:left w:val="single" w:sz="4" w:space="0" w:color="979991"/>
              <w:bottom w:val="single" w:sz="4" w:space="0" w:color="979991"/>
              <w:right w:val="nil"/>
            </w:tcBorders>
            <w:shd w:val="clear" w:color="000000" w:fill="FFFFFF"/>
            <w:vAlign w:val="center"/>
            <w:hideMark/>
          </w:tcPr>
          <w:p w14:paraId="02D235D9"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4,622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5687A6E"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2,063</w:t>
            </w:r>
          </w:p>
        </w:tc>
      </w:tr>
      <w:tr w:rsidR="00F36507" w:rsidRPr="00F36507" w14:paraId="1FFEE003"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97C6A45"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240701</w:t>
            </w:r>
          </w:p>
        </w:tc>
        <w:tc>
          <w:tcPr>
            <w:tcW w:w="1111" w:type="pct"/>
            <w:tcBorders>
              <w:top w:val="nil"/>
              <w:left w:val="single" w:sz="4" w:space="0" w:color="979991"/>
              <w:bottom w:val="single" w:sz="4" w:space="0" w:color="979991"/>
              <w:right w:val="nil"/>
            </w:tcBorders>
            <w:shd w:val="clear" w:color="000000" w:fill="FFFFFF"/>
            <w:vAlign w:val="center"/>
            <w:hideMark/>
          </w:tcPr>
          <w:p w14:paraId="05057D7C"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93,346</w:t>
            </w:r>
          </w:p>
        </w:tc>
        <w:tc>
          <w:tcPr>
            <w:tcW w:w="968" w:type="pct"/>
            <w:tcBorders>
              <w:top w:val="nil"/>
              <w:left w:val="single" w:sz="4" w:space="0" w:color="979991"/>
              <w:bottom w:val="single" w:sz="4" w:space="0" w:color="979991"/>
              <w:right w:val="nil"/>
            </w:tcBorders>
            <w:shd w:val="clear" w:color="000000" w:fill="FFFFFF"/>
            <w:vAlign w:val="center"/>
            <w:hideMark/>
          </w:tcPr>
          <w:p w14:paraId="3EABBC2A"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80,735</w:t>
            </w:r>
          </w:p>
        </w:tc>
        <w:tc>
          <w:tcPr>
            <w:tcW w:w="968" w:type="pct"/>
            <w:tcBorders>
              <w:top w:val="nil"/>
              <w:left w:val="single" w:sz="4" w:space="0" w:color="979991"/>
              <w:bottom w:val="single" w:sz="4" w:space="0" w:color="979991"/>
              <w:right w:val="nil"/>
            </w:tcBorders>
            <w:shd w:val="clear" w:color="000000" w:fill="FFFFFF"/>
            <w:vAlign w:val="center"/>
            <w:hideMark/>
          </w:tcPr>
          <w:p w14:paraId="5D5E60FC"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50,251</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8BB999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56,448</w:t>
            </w:r>
          </w:p>
        </w:tc>
      </w:tr>
      <w:tr w:rsidR="00F36507" w:rsidRPr="00F36507" w14:paraId="3888FE9D"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FE49D7F"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240709</w:t>
            </w:r>
          </w:p>
        </w:tc>
        <w:tc>
          <w:tcPr>
            <w:tcW w:w="1111" w:type="pct"/>
            <w:tcBorders>
              <w:top w:val="nil"/>
              <w:left w:val="single" w:sz="4" w:space="0" w:color="979991"/>
              <w:bottom w:val="single" w:sz="4" w:space="0" w:color="979991"/>
              <w:right w:val="nil"/>
            </w:tcBorders>
            <w:shd w:val="clear" w:color="000000" w:fill="FFFFFF"/>
            <w:vAlign w:val="center"/>
            <w:hideMark/>
          </w:tcPr>
          <w:p w14:paraId="507AD2C6"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119,369</w:t>
            </w:r>
          </w:p>
        </w:tc>
        <w:tc>
          <w:tcPr>
            <w:tcW w:w="968" w:type="pct"/>
            <w:tcBorders>
              <w:top w:val="nil"/>
              <w:left w:val="single" w:sz="4" w:space="0" w:color="979991"/>
              <w:bottom w:val="single" w:sz="4" w:space="0" w:color="979991"/>
              <w:right w:val="nil"/>
            </w:tcBorders>
            <w:shd w:val="clear" w:color="000000" w:fill="FFFFFF"/>
            <w:vAlign w:val="center"/>
            <w:hideMark/>
          </w:tcPr>
          <w:p w14:paraId="12F4D444"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201,617</w:t>
            </w:r>
          </w:p>
        </w:tc>
        <w:tc>
          <w:tcPr>
            <w:tcW w:w="968" w:type="pct"/>
            <w:tcBorders>
              <w:top w:val="nil"/>
              <w:left w:val="single" w:sz="4" w:space="0" w:color="979991"/>
              <w:bottom w:val="single" w:sz="4" w:space="0" w:color="979991"/>
              <w:right w:val="nil"/>
            </w:tcBorders>
            <w:shd w:val="clear" w:color="000000" w:fill="FFFFFF"/>
            <w:vAlign w:val="center"/>
            <w:hideMark/>
          </w:tcPr>
          <w:p w14:paraId="5580027A"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160,820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AEBF0FE"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130,348</w:t>
            </w:r>
          </w:p>
        </w:tc>
      </w:tr>
      <w:tr w:rsidR="00F36507" w:rsidRPr="00F36507" w14:paraId="57584CDF"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A9CABAB"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240710</w:t>
            </w:r>
          </w:p>
        </w:tc>
        <w:tc>
          <w:tcPr>
            <w:tcW w:w="1111" w:type="pct"/>
            <w:tcBorders>
              <w:top w:val="nil"/>
              <w:left w:val="single" w:sz="4" w:space="0" w:color="979991"/>
              <w:bottom w:val="single" w:sz="4" w:space="0" w:color="979991"/>
              <w:right w:val="nil"/>
            </w:tcBorders>
            <w:shd w:val="clear" w:color="000000" w:fill="FFFFFF"/>
            <w:vAlign w:val="center"/>
            <w:hideMark/>
          </w:tcPr>
          <w:p w14:paraId="6772A8C5"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28,570</w:t>
            </w:r>
          </w:p>
        </w:tc>
        <w:tc>
          <w:tcPr>
            <w:tcW w:w="968" w:type="pct"/>
            <w:tcBorders>
              <w:top w:val="nil"/>
              <w:left w:val="single" w:sz="4" w:space="0" w:color="979991"/>
              <w:bottom w:val="single" w:sz="4" w:space="0" w:color="979991"/>
              <w:right w:val="nil"/>
            </w:tcBorders>
            <w:shd w:val="clear" w:color="000000" w:fill="FFFFFF"/>
            <w:vAlign w:val="center"/>
            <w:hideMark/>
          </w:tcPr>
          <w:p w14:paraId="34C16BE7"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25,181</w:t>
            </w:r>
          </w:p>
        </w:tc>
        <w:tc>
          <w:tcPr>
            <w:tcW w:w="968" w:type="pct"/>
            <w:tcBorders>
              <w:top w:val="nil"/>
              <w:left w:val="single" w:sz="4" w:space="0" w:color="979991"/>
              <w:bottom w:val="single" w:sz="4" w:space="0" w:color="979991"/>
              <w:right w:val="nil"/>
            </w:tcBorders>
            <w:shd w:val="clear" w:color="000000" w:fill="FFFFFF"/>
            <w:vAlign w:val="center"/>
            <w:hideMark/>
          </w:tcPr>
          <w:p w14:paraId="7B554AB1"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28,235</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121F56F9"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39,924</w:t>
            </w:r>
          </w:p>
        </w:tc>
      </w:tr>
      <w:tr w:rsidR="00F36507" w:rsidRPr="00F36507" w14:paraId="53564F14"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7189EC9D"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240714</w:t>
            </w:r>
          </w:p>
        </w:tc>
        <w:tc>
          <w:tcPr>
            <w:tcW w:w="1111" w:type="pct"/>
            <w:tcBorders>
              <w:top w:val="nil"/>
              <w:left w:val="single" w:sz="4" w:space="0" w:color="979991"/>
              <w:bottom w:val="single" w:sz="4" w:space="0" w:color="979991"/>
              <w:right w:val="nil"/>
            </w:tcBorders>
            <w:shd w:val="clear" w:color="000000" w:fill="FFFFFF"/>
            <w:vAlign w:val="center"/>
            <w:hideMark/>
          </w:tcPr>
          <w:p w14:paraId="5347289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438,218</w:t>
            </w:r>
          </w:p>
        </w:tc>
        <w:tc>
          <w:tcPr>
            <w:tcW w:w="968" w:type="pct"/>
            <w:tcBorders>
              <w:top w:val="nil"/>
              <w:left w:val="single" w:sz="4" w:space="0" w:color="979991"/>
              <w:bottom w:val="single" w:sz="4" w:space="0" w:color="979991"/>
              <w:right w:val="nil"/>
            </w:tcBorders>
            <w:shd w:val="clear" w:color="000000" w:fill="FFFFFF"/>
            <w:vAlign w:val="center"/>
            <w:hideMark/>
          </w:tcPr>
          <w:p w14:paraId="6BEBFAF2"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285,115</w:t>
            </w:r>
          </w:p>
        </w:tc>
        <w:tc>
          <w:tcPr>
            <w:tcW w:w="968" w:type="pct"/>
            <w:tcBorders>
              <w:top w:val="nil"/>
              <w:left w:val="single" w:sz="4" w:space="0" w:color="979991"/>
              <w:bottom w:val="single" w:sz="4" w:space="0" w:color="979991"/>
              <w:right w:val="nil"/>
            </w:tcBorders>
            <w:shd w:val="clear" w:color="000000" w:fill="FFFFFF"/>
            <w:vAlign w:val="center"/>
            <w:hideMark/>
          </w:tcPr>
          <w:p w14:paraId="5706FF9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237,016</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28715A6"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193,476</w:t>
            </w:r>
          </w:p>
        </w:tc>
      </w:tr>
      <w:tr w:rsidR="00F36507" w:rsidRPr="00F36507" w14:paraId="677C25FD"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124A0F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241603</w:t>
            </w:r>
          </w:p>
        </w:tc>
        <w:tc>
          <w:tcPr>
            <w:tcW w:w="1111" w:type="pct"/>
            <w:tcBorders>
              <w:top w:val="nil"/>
              <w:left w:val="single" w:sz="4" w:space="0" w:color="979991"/>
              <w:bottom w:val="single" w:sz="4" w:space="0" w:color="979991"/>
              <w:right w:val="nil"/>
            </w:tcBorders>
            <w:shd w:val="clear" w:color="000000" w:fill="FFFFFF"/>
            <w:vAlign w:val="center"/>
            <w:hideMark/>
          </w:tcPr>
          <w:p w14:paraId="653ED587"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363,402</w:t>
            </w:r>
          </w:p>
        </w:tc>
        <w:tc>
          <w:tcPr>
            <w:tcW w:w="968" w:type="pct"/>
            <w:tcBorders>
              <w:top w:val="nil"/>
              <w:left w:val="single" w:sz="4" w:space="0" w:color="979991"/>
              <w:bottom w:val="single" w:sz="4" w:space="0" w:color="979991"/>
              <w:right w:val="nil"/>
            </w:tcBorders>
            <w:shd w:val="clear" w:color="000000" w:fill="FFFFFF"/>
            <w:vAlign w:val="center"/>
            <w:hideMark/>
          </w:tcPr>
          <w:p w14:paraId="36927AAE"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249,589</w:t>
            </w:r>
          </w:p>
        </w:tc>
        <w:tc>
          <w:tcPr>
            <w:tcW w:w="968" w:type="pct"/>
            <w:tcBorders>
              <w:top w:val="nil"/>
              <w:left w:val="single" w:sz="4" w:space="0" w:color="979991"/>
              <w:bottom w:val="single" w:sz="4" w:space="0" w:color="979991"/>
              <w:right w:val="nil"/>
            </w:tcBorders>
            <w:shd w:val="clear" w:color="000000" w:fill="FFFFFF"/>
            <w:vAlign w:val="center"/>
            <w:hideMark/>
          </w:tcPr>
          <w:p w14:paraId="2C79288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174,343</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3F136E52"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224,693</w:t>
            </w:r>
          </w:p>
        </w:tc>
      </w:tr>
      <w:tr w:rsidR="00F36507" w:rsidRPr="00F36507" w14:paraId="0CC93288"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20CA51D3"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241689</w:t>
            </w:r>
          </w:p>
        </w:tc>
        <w:tc>
          <w:tcPr>
            <w:tcW w:w="1111" w:type="pct"/>
            <w:tcBorders>
              <w:top w:val="nil"/>
              <w:left w:val="single" w:sz="4" w:space="0" w:color="979991"/>
              <w:bottom w:val="single" w:sz="4" w:space="0" w:color="979991"/>
              <w:right w:val="nil"/>
            </w:tcBorders>
            <w:shd w:val="clear" w:color="000000" w:fill="FFFFFF"/>
            <w:vAlign w:val="center"/>
            <w:hideMark/>
          </w:tcPr>
          <w:p w14:paraId="0CB1C93F"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8,158</w:t>
            </w:r>
          </w:p>
        </w:tc>
        <w:tc>
          <w:tcPr>
            <w:tcW w:w="968" w:type="pct"/>
            <w:tcBorders>
              <w:top w:val="nil"/>
              <w:left w:val="single" w:sz="4" w:space="0" w:color="979991"/>
              <w:bottom w:val="single" w:sz="4" w:space="0" w:color="979991"/>
              <w:right w:val="nil"/>
            </w:tcBorders>
            <w:shd w:val="clear" w:color="000000" w:fill="FFFFFF"/>
            <w:vAlign w:val="center"/>
            <w:hideMark/>
          </w:tcPr>
          <w:p w14:paraId="1B823534"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5,276</w:t>
            </w:r>
          </w:p>
        </w:tc>
        <w:tc>
          <w:tcPr>
            <w:tcW w:w="968" w:type="pct"/>
            <w:tcBorders>
              <w:top w:val="nil"/>
              <w:left w:val="single" w:sz="4" w:space="0" w:color="979991"/>
              <w:bottom w:val="single" w:sz="4" w:space="0" w:color="979991"/>
              <w:right w:val="nil"/>
            </w:tcBorders>
            <w:shd w:val="clear" w:color="000000" w:fill="FFFFFF"/>
            <w:vAlign w:val="center"/>
            <w:hideMark/>
          </w:tcPr>
          <w:p w14:paraId="6D3FD205"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6,404</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44690A9E"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4,264</w:t>
            </w:r>
          </w:p>
        </w:tc>
      </w:tr>
      <w:tr w:rsidR="00F36507" w:rsidRPr="00F36507" w14:paraId="03B7B25C"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1DA44ACC"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241690</w:t>
            </w:r>
          </w:p>
        </w:tc>
        <w:tc>
          <w:tcPr>
            <w:tcW w:w="1111" w:type="pct"/>
            <w:tcBorders>
              <w:top w:val="nil"/>
              <w:left w:val="single" w:sz="4" w:space="0" w:color="979991"/>
              <w:bottom w:val="single" w:sz="4" w:space="0" w:color="979991"/>
              <w:right w:val="nil"/>
            </w:tcBorders>
            <w:shd w:val="clear" w:color="000000" w:fill="FFFFFF"/>
            <w:vAlign w:val="center"/>
            <w:hideMark/>
          </w:tcPr>
          <w:p w14:paraId="42D64136"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20,983</w:t>
            </w:r>
          </w:p>
        </w:tc>
        <w:tc>
          <w:tcPr>
            <w:tcW w:w="968" w:type="pct"/>
            <w:tcBorders>
              <w:top w:val="nil"/>
              <w:left w:val="single" w:sz="4" w:space="0" w:color="979991"/>
              <w:bottom w:val="single" w:sz="4" w:space="0" w:color="979991"/>
              <w:right w:val="nil"/>
            </w:tcBorders>
            <w:shd w:val="clear" w:color="000000" w:fill="FFFFFF"/>
            <w:vAlign w:val="center"/>
            <w:hideMark/>
          </w:tcPr>
          <w:p w14:paraId="30908AF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12,896</w:t>
            </w:r>
          </w:p>
        </w:tc>
        <w:tc>
          <w:tcPr>
            <w:tcW w:w="968" w:type="pct"/>
            <w:tcBorders>
              <w:top w:val="nil"/>
              <w:left w:val="single" w:sz="4" w:space="0" w:color="979991"/>
              <w:bottom w:val="single" w:sz="4" w:space="0" w:color="979991"/>
              <w:right w:val="nil"/>
            </w:tcBorders>
            <w:shd w:val="clear" w:color="000000" w:fill="FFFFFF"/>
            <w:vAlign w:val="center"/>
            <w:hideMark/>
          </w:tcPr>
          <w:p w14:paraId="342ED641"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12,490</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3DE56E1"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5,070</w:t>
            </w:r>
          </w:p>
        </w:tc>
      </w:tr>
      <w:tr w:rsidR="00F36507" w:rsidRPr="00F36507" w14:paraId="27B5D176"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394224E0"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242003</w:t>
            </w:r>
          </w:p>
        </w:tc>
        <w:tc>
          <w:tcPr>
            <w:tcW w:w="1111" w:type="pct"/>
            <w:tcBorders>
              <w:top w:val="nil"/>
              <w:left w:val="single" w:sz="4" w:space="0" w:color="979991"/>
              <w:bottom w:val="single" w:sz="4" w:space="0" w:color="979991"/>
              <w:right w:val="nil"/>
            </w:tcBorders>
            <w:shd w:val="clear" w:color="000000" w:fill="FFFFFF"/>
            <w:vAlign w:val="center"/>
            <w:hideMark/>
          </w:tcPr>
          <w:p w14:paraId="398D7AB8"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196,775</w:t>
            </w:r>
          </w:p>
        </w:tc>
        <w:tc>
          <w:tcPr>
            <w:tcW w:w="968" w:type="pct"/>
            <w:tcBorders>
              <w:top w:val="nil"/>
              <w:left w:val="single" w:sz="4" w:space="0" w:color="979991"/>
              <w:bottom w:val="single" w:sz="4" w:space="0" w:color="979991"/>
              <w:right w:val="nil"/>
            </w:tcBorders>
            <w:shd w:val="clear" w:color="000000" w:fill="FFFFFF"/>
            <w:vAlign w:val="center"/>
            <w:hideMark/>
          </w:tcPr>
          <w:p w14:paraId="03A9BA6A"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925,273</w:t>
            </w:r>
          </w:p>
        </w:tc>
        <w:tc>
          <w:tcPr>
            <w:tcW w:w="968" w:type="pct"/>
            <w:tcBorders>
              <w:top w:val="nil"/>
              <w:left w:val="single" w:sz="4" w:space="0" w:color="979991"/>
              <w:bottom w:val="single" w:sz="4" w:space="0" w:color="979991"/>
              <w:right w:val="nil"/>
            </w:tcBorders>
            <w:shd w:val="clear" w:color="000000" w:fill="FFFFFF"/>
            <w:vAlign w:val="center"/>
            <w:hideMark/>
          </w:tcPr>
          <w:p w14:paraId="2161389F"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1,455,942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9C5E383"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1,150,980</w:t>
            </w:r>
          </w:p>
        </w:tc>
      </w:tr>
      <w:tr w:rsidR="00F36507" w:rsidRPr="00F36507" w14:paraId="710CD106" w14:textId="77777777" w:rsidTr="00F36507">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0531708A"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244009</w:t>
            </w:r>
          </w:p>
        </w:tc>
        <w:tc>
          <w:tcPr>
            <w:tcW w:w="1111" w:type="pct"/>
            <w:tcBorders>
              <w:top w:val="nil"/>
              <w:left w:val="single" w:sz="4" w:space="0" w:color="979991"/>
              <w:bottom w:val="single" w:sz="4" w:space="0" w:color="979991"/>
              <w:right w:val="nil"/>
            </w:tcBorders>
            <w:shd w:val="clear" w:color="000000" w:fill="FFFFFF"/>
            <w:vAlign w:val="center"/>
            <w:hideMark/>
          </w:tcPr>
          <w:p w14:paraId="54B71B59"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4,977</w:t>
            </w:r>
          </w:p>
        </w:tc>
        <w:tc>
          <w:tcPr>
            <w:tcW w:w="968" w:type="pct"/>
            <w:tcBorders>
              <w:top w:val="nil"/>
              <w:left w:val="single" w:sz="4" w:space="0" w:color="979991"/>
              <w:bottom w:val="single" w:sz="4" w:space="0" w:color="979991"/>
              <w:right w:val="nil"/>
            </w:tcBorders>
            <w:shd w:val="clear" w:color="000000" w:fill="FFFFFF"/>
            <w:vAlign w:val="center"/>
            <w:hideMark/>
          </w:tcPr>
          <w:p w14:paraId="0FA10E89"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3,157</w:t>
            </w:r>
          </w:p>
        </w:tc>
        <w:tc>
          <w:tcPr>
            <w:tcW w:w="968" w:type="pct"/>
            <w:tcBorders>
              <w:top w:val="nil"/>
              <w:left w:val="single" w:sz="4" w:space="0" w:color="979991"/>
              <w:bottom w:val="single" w:sz="4" w:space="0" w:color="979991"/>
              <w:right w:val="nil"/>
            </w:tcBorders>
            <w:shd w:val="clear" w:color="000000" w:fill="FFFFFF"/>
            <w:vAlign w:val="center"/>
            <w:hideMark/>
          </w:tcPr>
          <w:p w14:paraId="30B75225"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2,742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03D72E03" w14:textId="77777777" w:rsidR="00F36507" w:rsidRPr="00F36507" w:rsidRDefault="00F36507" w:rsidP="00F36507">
            <w:pPr>
              <w:overflowPunct/>
              <w:autoSpaceDE/>
              <w:autoSpaceDN/>
              <w:bidi w:val="0"/>
              <w:adjustRightInd/>
              <w:jc w:val="center"/>
              <w:textAlignment w:val="auto"/>
              <w:rPr>
                <w:rFonts w:ascii="Calibri" w:hAnsi="Calibri" w:cs="Calibri"/>
                <w:color w:val="000000"/>
                <w:sz w:val="16"/>
                <w:szCs w:val="16"/>
                <w:lang w:eastAsia="en-US"/>
              </w:rPr>
            </w:pPr>
            <w:r w:rsidRPr="00F36507">
              <w:rPr>
                <w:rFonts w:ascii="Calibri" w:hAnsi="Calibri" w:cs="Calibri"/>
                <w:color w:val="000000"/>
                <w:sz w:val="16"/>
                <w:szCs w:val="16"/>
                <w:lang w:eastAsia="en-US"/>
              </w:rPr>
              <w:t>905</w:t>
            </w:r>
          </w:p>
        </w:tc>
      </w:tr>
    </w:tbl>
    <w:p w14:paraId="634707B2" w14:textId="77777777" w:rsidR="00F36507" w:rsidRPr="00F36507" w:rsidRDefault="00F36507" w:rsidP="00F36507">
      <w:pPr>
        <w:jc w:val="center"/>
        <w:rPr>
          <w:rFonts w:cs="FrankRuehl"/>
          <w:b/>
          <w:bCs/>
          <w:sz w:val="26"/>
          <w:szCs w:val="26"/>
          <w:rtl/>
        </w:rPr>
      </w:pPr>
    </w:p>
    <w:p w14:paraId="6F6B5AB6" w14:textId="0483EF08" w:rsidR="00F36507" w:rsidRDefault="00F36507">
      <w:pPr>
        <w:rPr>
          <w:rFonts w:cs="FrankRuehl"/>
          <w:sz w:val="26"/>
          <w:szCs w:val="26"/>
          <w:rtl/>
        </w:rPr>
      </w:pPr>
    </w:p>
    <w:p w14:paraId="5475C392" w14:textId="44DCA4AF" w:rsidR="00F36507" w:rsidRDefault="00F36507">
      <w:pPr>
        <w:rPr>
          <w:rFonts w:cs="FrankRuehl"/>
          <w:sz w:val="26"/>
          <w:szCs w:val="26"/>
          <w:rtl/>
        </w:rPr>
      </w:pPr>
    </w:p>
    <w:p w14:paraId="5FA6B5F3" w14:textId="199F0618" w:rsidR="00F36507" w:rsidRDefault="00F36507">
      <w:pPr>
        <w:rPr>
          <w:rFonts w:cs="FrankRuehl"/>
          <w:sz w:val="26"/>
          <w:szCs w:val="26"/>
          <w:rtl/>
        </w:rPr>
      </w:pPr>
    </w:p>
    <w:p w14:paraId="04B97FE5" w14:textId="5B6C1801" w:rsidR="00F36507" w:rsidRDefault="00F36507">
      <w:pPr>
        <w:rPr>
          <w:rFonts w:cs="FrankRuehl"/>
          <w:sz w:val="26"/>
          <w:szCs w:val="26"/>
          <w:rtl/>
        </w:rPr>
      </w:pPr>
    </w:p>
    <w:p w14:paraId="5CE1D7D2" w14:textId="5F217DFC" w:rsidR="00F36507" w:rsidRDefault="00F36507">
      <w:pPr>
        <w:rPr>
          <w:rFonts w:cs="FrankRuehl"/>
          <w:sz w:val="26"/>
          <w:szCs w:val="26"/>
          <w:rtl/>
        </w:rPr>
      </w:pPr>
    </w:p>
    <w:p w14:paraId="22EB1F90" w14:textId="3126AA2F" w:rsidR="00F36507" w:rsidRDefault="00F36507">
      <w:pPr>
        <w:rPr>
          <w:rFonts w:cs="FrankRuehl"/>
          <w:sz w:val="26"/>
          <w:szCs w:val="26"/>
          <w:rtl/>
        </w:rPr>
      </w:pPr>
    </w:p>
    <w:p w14:paraId="335BA2DE" w14:textId="5D83F7A9" w:rsidR="00F36507" w:rsidRDefault="00F36507">
      <w:pPr>
        <w:rPr>
          <w:rFonts w:cs="FrankRuehl"/>
          <w:sz w:val="26"/>
          <w:szCs w:val="26"/>
          <w:rtl/>
        </w:rPr>
      </w:pPr>
    </w:p>
    <w:p w14:paraId="2AC10682" w14:textId="4A236339" w:rsidR="00F36507" w:rsidRDefault="00F36507">
      <w:pPr>
        <w:rPr>
          <w:rFonts w:cs="FrankRuehl"/>
          <w:sz w:val="26"/>
          <w:szCs w:val="26"/>
          <w:rtl/>
        </w:rPr>
      </w:pPr>
    </w:p>
    <w:p w14:paraId="4AA24BD0" w14:textId="77777777" w:rsidR="00F36507" w:rsidRPr="000A3FA0" w:rsidRDefault="00F36507">
      <w:pPr>
        <w:rPr>
          <w:rFonts w:cs="FrankRuehl"/>
          <w:sz w:val="26"/>
          <w:szCs w:val="26"/>
          <w:rtl/>
        </w:rPr>
      </w:pPr>
    </w:p>
    <w:sectPr w:rsidR="00F36507"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38EC" w14:textId="77777777" w:rsidR="00B8381B" w:rsidRDefault="00B8381B" w:rsidP="00A32326">
      <w:r>
        <w:separator/>
      </w:r>
    </w:p>
  </w:endnote>
  <w:endnote w:type="continuationSeparator" w:id="0">
    <w:p w14:paraId="08285E3D" w14:textId="77777777" w:rsidR="00B8381B" w:rsidRDefault="00B8381B"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AA16D"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0C03"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2B18"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2C237" w14:textId="77777777" w:rsidR="00B8381B" w:rsidRDefault="00B8381B" w:rsidP="00A32326">
      <w:r>
        <w:separator/>
      </w:r>
    </w:p>
  </w:footnote>
  <w:footnote w:type="continuationSeparator" w:id="0">
    <w:p w14:paraId="53FA28AD" w14:textId="77777777" w:rsidR="00B8381B" w:rsidRDefault="00B8381B"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BB79C"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07B7" w14:textId="77777777" w:rsidR="00A32326" w:rsidRPr="00CB5FFD" w:rsidRDefault="00B8381B" w:rsidP="00A32326">
    <w:pPr>
      <w:pStyle w:val="a4"/>
      <w:jc w:val="right"/>
      <w:rPr>
        <w:color w:val="4F81BD"/>
        <w:rtl/>
        <w:cs/>
      </w:rPr>
    </w:pPr>
    <w:r>
      <w:rPr>
        <w:noProof/>
        <w:rtl/>
      </w:rPr>
      <w:pict w14:anchorId="41888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67F6E71F" w14:textId="77777777" w:rsidR="00A32326" w:rsidRPr="00CB5FFD" w:rsidRDefault="00A32326" w:rsidP="00A32326">
    <w:pPr>
      <w:pStyle w:val="a4"/>
      <w:jc w:val="right"/>
      <w:rPr>
        <w:color w:val="4F81BD"/>
        <w:rtl/>
        <w:cs/>
      </w:rPr>
    </w:pPr>
  </w:p>
  <w:p w14:paraId="060D82FB" w14:textId="77777777" w:rsidR="00A32326" w:rsidRDefault="00A32326" w:rsidP="00A32326">
    <w:pPr>
      <w:pStyle w:val="a4"/>
    </w:pPr>
  </w:p>
  <w:p w14:paraId="4F668E2E"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2A16"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411078"/>
    <w:rsid w:val="00507569"/>
    <w:rsid w:val="0051496B"/>
    <w:rsid w:val="00596B46"/>
    <w:rsid w:val="007332A2"/>
    <w:rsid w:val="0096594F"/>
    <w:rsid w:val="009E3253"/>
    <w:rsid w:val="00A14A9C"/>
    <w:rsid w:val="00A249A0"/>
    <w:rsid w:val="00A32326"/>
    <w:rsid w:val="00A51CFB"/>
    <w:rsid w:val="00A6761F"/>
    <w:rsid w:val="00AC0FB8"/>
    <w:rsid w:val="00B8381B"/>
    <w:rsid w:val="00BE74E8"/>
    <w:rsid w:val="00C64D45"/>
    <w:rsid w:val="00C81BEB"/>
    <w:rsid w:val="00CC5EE3"/>
    <w:rsid w:val="00D00A6A"/>
    <w:rsid w:val="00D02451"/>
    <w:rsid w:val="00D1564D"/>
    <w:rsid w:val="00D15DD5"/>
    <w:rsid w:val="00E15D12"/>
    <w:rsid w:val="00F36507"/>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125EAE4"/>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09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1157</Words>
  <Characters>5788</Characters>
  <Application>Microsoft Office Word</Application>
  <DocSecurity>0</DocSecurity>
  <Lines>48</Lines>
  <Paragraphs>13</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2026-04-28T11:24:00Z</dcterms:created>
  <dcterms:modified xsi:type="dcterms:W3CDTF">2026-04-28T13:52:00Z</dcterms:modified>
</cp:coreProperties>
</file>