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05291" w14:textId="77777777" w:rsidR="0051496B" w:rsidRDefault="0051496B">
      <w:pPr>
        <w:pStyle w:val="a7"/>
        <w:rPr>
          <w:rtl/>
        </w:rPr>
      </w:pPr>
      <w:r>
        <w:rPr>
          <w:rtl/>
        </w:rPr>
        <w:t>מדינת ישראל</w:t>
      </w:r>
    </w:p>
    <w:p w14:paraId="488C548D" w14:textId="77777777" w:rsidR="0051496B" w:rsidRDefault="0051496B">
      <w:pPr>
        <w:pStyle w:val="a7"/>
        <w:rPr>
          <w:rtl/>
        </w:rPr>
      </w:pPr>
      <w:r>
        <w:rPr>
          <w:rtl/>
        </w:rPr>
        <w:t>האוצר - אגף התקציבים</w:t>
      </w:r>
    </w:p>
    <w:p w14:paraId="4A9470D3" w14:textId="77777777" w:rsidR="0051496B" w:rsidRDefault="0051496B">
      <w:pPr>
        <w:rPr>
          <w:rtl/>
        </w:rPr>
      </w:pPr>
    </w:p>
    <w:p w14:paraId="3BB9330F" w14:textId="77777777" w:rsidR="0051496B" w:rsidRDefault="0051496B">
      <w:pPr>
        <w:rPr>
          <w:rtl/>
        </w:rPr>
      </w:pPr>
    </w:p>
    <w:p w14:paraId="4AE88936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  <w:bookmarkStart w:id="0" w:name="TAKZIV8"/>
      <w:bookmarkEnd w:id="0"/>
    </w:p>
    <w:p w14:paraId="55E4B063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ab/>
      </w:r>
    </w:p>
    <w:p w14:paraId="414FA2A7" w14:textId="77777777" w:rsidR="0051496B" w:rsidRPr="000A3FA0" w:rsidRDefault="0051496B" w:rsidP="007332A2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271FAE98" w14:textId="127A8937" w:rsidR="0051496B" w:rsidRPr="000A3FA0" w:rsidRDefault="0051496B" w:rsidP="007332A2">
      <w:pPr>
        <w:tabs>
          <w:tab w:val="left" w:pos="6039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4B5191">
        <w:rPr>
          <w:rFonts w:cs="FrankRuehl"/>
          <w:sz w:val="26"/>
          <w:szCs w:val="26"/>
          <w:rtl/>
        </w:rPr>
        <w:t>201</w:t>
      </w:r>
      <w:bookmarkEnd w:id="2"/>
      <w:r w:rsidRPr="000A3FA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4B5191">
        <w:rPr>
          <w:rFonts w:cs="FrankRuehl"/>
          <w:sz w:val="26"/>
          <w:szCs w:val="26"/>
          <w:rtl/>
        </w:rPr>
        <w:t>22</w:t>
      </w:r>
      <w:bookmarkEnd w:id="3"/>
    </w:p>
    <w:p w14:paraId="0579D377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2DB23255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28419FE7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לכבוד,</w:t>
      </w:r>
    </w:p>
    <w:p w14:paraId="78A01D28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יו"ר ועדת הכספים</w:t>
      </w:r>
    </w:p>
    <w:p w14:paraId="318B893C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הכנסת</w:t>
      </w:r>
    </w:p>
    <w:p w14:paraId="511C8675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4E5F112B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א.נ.,</w:t>
      </w:r>
    </w:p>
    <w:p w14:paraId="30227038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3437E6C4" w14:textId="39FCAEDE" w:rsidR="0051496B" w:rsidRPr="000A3FA0" w:rsidRDefault="0051496B">
      <w:pPr>
        <w:pStyle w:val="a6"/>
        <w:rPr>
          <w:rFonts w:cs="FrankRuehl"/>
          <w:sz w:val="26"/>
          <w:rtl/>
        </w:rPr>
      </w:pPr>
      <w:r w:rsidRPr="000A3FA0">
        <w:rPr>
          <w:rFonts w:cs="FrankRuehl"/>
          <w:bCs w:val="0"/>
          <w:sz w:val="26"/>
          <w:u w:val="none"/>
          <w:rtl/>
        </w:rPr>
        <w:t xml:space="preserve">הנדון: </w:t>
      </w:r>
      <w:r w:rsidRPr="000A3FA0">
        <w:rPr>
          <w:rFonts w:cs="FrankRuehl"/>
          <w:bCs w:val="0"/>
          <w:sz w:val="26"/>
          <w:rtl/>
        </w:rPr>
        <w:t>שימוש בעודפי תקציב לשנת</w:t>
      </w:r>
      <w:r w:rsidRPr="000A3FA0">
        <w:rPr>
          <w:rFonts w:cs="FrankRuehl"/>
          <w:sz w:val="26"/>
          <w:rtl/>
        </w:rPr>
        <w:t xml:space="preserve"> </w:t>
      </w:r>
      <w:bookmarkStart w:id="4" w:name="TAKZIV1_2"/>
      <w:bookmarkStart w:id="5" w:name="TAKZIV1_1"/>
      <w:bookmarkEnd w:id="4"/>
      <w:r w:rsidR="004B5191">
        <w:rPr>
          <w:rFonts w:cs="FrankRuehl"/>
          <w:sz w:val="26"/>
          <w:rtl/>
        </w:rPr>
        <w:t>2026</w:t>
      </w:r>
      <w:bookmarkEnd w:id="5"/>
      <w:r w:rsidRPr="000A3FA0">
        <w:rPr>
          <w:rFonts w:cs="FrankRuehl"/>
          <w:sz w:val="26"/>
          <w:rtl/>
        </w:rPr>
        <w:t xml:space="preserve">     </w:t>
      </w:r>
    </w:p>
    <w:p w14:paraId="5F9CBF8C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4B939672" w14:textId="2607B63B" w:rsidR="0051496B" w:rsidRPr="000A3FA0" w:rsidRDefault="0051496B" w:rsidP="00F77CE9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שר האוצר מתכבד להודיע לו</w:t>
      </w:r>
      <w:r w:rsidR="00A14A9C" w:rsidRPr="000A3FA0">
        <w:rPr>
          <w:rFonts w:cs="FrankRuehl" w:hint="cs"/>
          <w:sz w:val="26"/>
          <w:szCs w:val="26"/>
          <w:rtl/>
        </w:rPr>
        <w:t>ו</w:t>
      </w:r>
      <w:r w:rsidRPr="000A3FA0">
        <w:rPr>
          <w:rFonts w:cs="FrankRuehl"/>
          <w:sz w:val="26"/>
          <w:szCs w:val="26"/>
          <w:rtl/>
        </w:rPr>
        <w:t xml:space="preserve">עדת הכספים של הכנסת על העברת סכום של </w:t>
      </w:r>
      <w:bookmarkStart w:id="6" w:name="TAKZIV30"/>
      <w:r w:rsidR="004B5191">
        <w:rPr>
          <w:rFonts w:cs="FrankRuehl"/>
          <w:sz w:val="26"/>
          <w:szCs w:val="26"/>
          <w:rtl/>
        </w:rPr>
        <w:t>68,432</w:t>
      </w:r>
      <w:bookmarkEnd w:id="6"/>
      <w:r w:rsidRPr="000A3FA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r w:rsidR="004B5191">
        <w:rPr>
          <w:rFonts w:cs="FrankRuehl"/>
          <w:sz w:val="26"/>
          <w:szCs w:val="26"/>
          <w:rtl/>
        </w:rPr>
        <w:t>22</w:t>
      </w:r>
      <w:bookmarkEnd w:id="7"/>
      <w:r w:rsidRPr="000A3FA0">
        <w:rPr>
          <w:rFonts w:cs="FrankRuehl"/>
          <w:sz w:val="26"/>
          <w:szCs w:val="26"/>
          <w:rtl/>
        </w:rPr>
        <w:t xml:space="preserve"> - </w:t>
      </w:r>
      <w:bookmarkStart w:id="8" w:name="TAKZIV6_2"/>
      <w:r w:rsidR="004B5191">
        <w:rPr>
          <w:rFonts w:cs="FrankRuehl"/>
          <w:sz w:val="26"/>
          <w:szCs w:val="26"/>
          <w:rtl/>
        </w:rPr>
        <w:t>המשרד לשירותי דת</w:t>
      </w:r>
      <w:bookmarkEnd w:id="8"/>
      <w:r w:rsidRPr="000A3FA0">
        <w:rPr>
          <w:rFonts w:cs="FrankRuehl"/>
          <w:sz w:val="26"/>
          <w:szCs w:val="26"/>
          <w:rtl/>
        </w:rPr>
        <w:t xml:space="preserve"> משנת הכספים </w:t>
      </w:r>
      <w:bookmarkStart w:id="9" w:name="TAKZIV2_1"/>
      <w:r w:rsidR="004B5191">
        <w:rPr>
          <w:rFonts w:cs="FrankRuehl"/>
          <w:sz w:val="26"/>
          <w:szCs w:val="26"/>
          <w:rtl/>
        </w:rPr>
        <w:t>2025</w:t>
      </w:r>
      <w:bookmarkEnd w:id="9"/>
      <w:r w:rsidRPr="000A3FA0">
        <w:rPr>
          <w:rFonts w:cs="FrankRuehl"/>
          <w:sz w:val="26"/>
          <w:szCs w:val="26"/>
          <w:rtl/>
        </w:rPr>
        <w:t xml:space="preserve">, כעודף לשימוש בשנת הכספים </w:t>
      </w:r>
      <w:bookmarkStart w:id="10" w:name="TAKZIV1"/>
      <w:r w:rsidR="004B5191">
        <w:rPr>
          <w:rFonts w:cs="FrankRuehl"/>
          <w:sz w:val="26"/>
          <w:szCs w:val="26"/>
          <w:rtl/>
        </w:rPr>
        <w:t>2026</w:t>
      </w:r>
      <w:bookmarkEnd w:id="10"/>
      <w:r w:rsidRPr="000A3FA0">
        <w:rPr>
          <w:rFonts w:cs="FrankRuehl"/>
          <w:sz w:val="26"/>
          <w:szCs w:val="26"/>
          <w:rtl/>
        </w:rPr>
        <w:t xml:space="preserve">, בהתאם לסעיף 13 (א) לחוק יסודות התקציב </w:t>
      </w:r>
      <w:proofErr w:type="spellStart"/>
      <w:r w:rsidRPr="000A3FA0">
        <w:rPr>
          <w:rFonts w:cs="FrankRuehl"/>
          <w:sz w:val="26"/>
          <w:szCs w:val="26"/>
          <w:rtl/>
        </w:rPr>
        <w:t>התשמ"ה</w:t>
      </w:r>
      <w:proofErr w:type="spellEnd"/>
      <w:r w:rsidRPr="000A3FA0">
        <w:rPr>
          <w:rFonts w:cs="FrankRuehl"/>
          <w:sz w:val="26"/>
          <w:szCs w:val="26"/>
          <w:rtl/>
        </w:rPr>
        <w:t xml:space="preserve"> - 1985,</w:t>
      </w:r>
      <w:r w:rsidR="00F77CE9">
        <w:rPr>
          <w:rFonts w:cs="FrankRuehl" w:hint="cs"/>
          <w:sz w:val="26"/>
          <w:szCs w:val="26"/>
          <w:rtl/>
        </w:rPr>
        <w:t xml:space="preserve"> </w:t>
      </w:r>
      <w:r w:rsidRPr="000A3FA0">
        <w:rPr>
          <w:rFonts w:cs="FrankRuehl"/>
          <w:sz w:val="26"/>
          <w:szCs w:val="26"/>
          <w:rtl/>
        </w:rPr>
        <w:t>כמפורט בתדפיס המצורף בזה.</w:t>
      </w:r>
    </w:p>
    <w:p w14:paraId="77FF6289" w14:textId="4DD84D4B" w:rsidR="0051496B" w:rsidRDefault="0051496B" w:rsidP="00F77CE9">
      <w:pPr>
        <w:jc w:val="both"/>
        <w:rPr>
          <w:rFonts w:cs="FrankRuehl"/>
          <w:sz w:val="26"/>
          <w:szCs w:val="26"/>
          <w:rtl/>
        </w:rPr>
      </w:pPr>
    </w:p>
    <w:p w14:paraId="6285F573" w14:textId="77777777" w:rsidR="00F77CE9" w:rsidRDefault="00F77CE9" w:rsidP="00F77CE9">
      <w:pPr>
        <w:jc w:val="both"/>
        <w:rPr>
          <w:rFonts w:ascii="FrankRuehl" w:hAnsi="FrankRuehl" w:cs="FrankRuehl"/>
          <w:b/>
          <w:bCs/>
          <w:sz w:val="26"/>
          <w:szCs w:val="26"/>
          <w:lang w:eastAsia="en-US"/>
        </w:rPr>
      </w:pPr>
      <w:bookmarkStart w:id="11" w:name="DIVREY_HESBER"/>
      <w:bookmarkEnd w:id="11"/>
      <w:r>
        <w:rPr>
          <w:rFonts w:ascii="FrankRuehl" w:hAnsi="FrankRuehl" w:cs="FrankRuehl"/>
          <w:b/>
          <w:bCs/>
          <w:sz w:val="26"/>
          <w:szCs w:val="26"/>
          <w:rtl/>
        </w:rPr>
        <w:t>הבקשה דנה בסעיף תקציבי:</w:t>
      </w:r>
      <w:r>
        <w:rPr>
          <w:rFonts w:ascii="FrankRuehl" w:hAnsi="FrankRuehl" w:cs="FrankRuehl"/>
          <w:sz w:val="26"/>
          <w:szCs w:val="26"/>
          <w:rtl/>
        </w:rPr>
        <w:t xml:space="preserve"> 22 - שירותי דת</w:t>
      </w:r>
    </w:p>
    <w:p w14:paraId="48262753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</w:rPr>
      </w:pPr>
    </w:p>
    <w:p w14:paraId="7ABF803A" w14:textId="77777777" w:rsidR="00F77CE9" w:rsidRDefault="00F77CE9" w:rsidP="00F77CE9">
      <w:pPr>
        <w:jc w:val="both"/>
        <w:rPr>
          <w:rFonts w:ascii="FrankRuehl" w:hAnsi="FrankRuehl" w:cs="FrankRuehl"/>
          <w:b/>
          <w:bCs/>
          <w:sz w:val="26"/>
          <w:szCs w:val="26"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עיקרי הפנייה:</w:t>
      </w:r>
    </w:p>
    <w:p w14:paraId="1FA7328C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sz w:val="26"/>
          <w:szCs w:val="26"/>
          <w:rtl/>
        </w:rPr>
        <w:t xml:space="preserve">הפנייה התקציבית נועדה להעברת עודפים בסך של 68,432 אלפי ש"ח משנת התקציב 2025 לשנת התקציב 2026 שנועדו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לתכניות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התקציב הבאות, כמפורט להלן:</w:t>
      </w:r>
    </w:p>
    <w:p w14:paraId="6C4AF9E7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1361F2FB" w14:textId="77777777" w:rsidR="00F77CE9" w:rsidRPr="00F77CE9" w:rsidRDefault="00F77CE9" w:rsidP="00F77CE9">
      <w:pPr>
        <w:jc w:val="both"/>
        <w:rPr>
          <w:rFonts w:ascii="FrankRuehl" w:hAnsi="FrankRuehl" w:cs="FrankRuehl"/>
          <w:b/>
          <w:bCs/>
          <w:sz w:val="26"/>
          <w:szCs w:val="26"/>
        </w:rPr>
      </w:pPr>
      <w:r w:rsidRPr="00F77CE9">
        <w:rPr>
          <w:rFonts w:ascii="FrankRuehl" w:hAnsi="FrankRuehl" w:cs="FrankRuehl"/>
          <w:b/>
          <w:bCs/>
          <w:sz w:val="26"/>
          <w:szCs w:val="26"/>
          <w:rtl/>
        </w:rPr>
        <w:t xml:space="preserve">עיקרי הפניה בחלוקה </w:t>
      </w:r>
      <w:proofErr w:type="spellStart"/>
      <w:r w:rsidRPr="00F77CE9">
        <w:rPr>
          <w:rFonts w:ascii="FrankRuehl" w:hAnsi="FrankRuehl" w:cs="FrankRuehl"/>
          <w:b/>
          <w:bCs/>
          <w:sz w:val="26"/>
          <w:szCs w:val="26"/>
          <w:rtl/>
        </w:rPr>
        <w:t>לתכניות</w:t>
      </w:r>
      <w:proofErr w:type="spellEnd"/>
      <w:r w:rsidRPr="00F77CE9">
        <w:rPr>
          <w:rFonts w:ascii="FrankRuehl" w:hAnsi="FrankRuehl" w:cs="FrankRuehl"/>
          <w:b/>
          <w:bCs/>
          <w:sz w:val="26"/>
          <w:szCs w:val="26"/>
          <w:rtl/>
        </w:rPr>
        <w:t>:</w:t>
      </w:r>
    </w:p>
    <w:p w14:paraId="2FB33591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091ABFDD" w14:textId="77777777" w:rsidR="00F77CE9" w:rsidRDefault="00F77CE9" w:rsidP="00F77CE9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220101 מועצות דתיות - 6,307 אלפי ש"ח בהוצאה נטו</w:t>
      </w:r>
    </w:p>
    <w:p w14:paraId="623F4000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: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נועדה לתקצב התמיכה של המשרד לשירותי דת בפעילות המועצות הדתיות.</w:t>
      </w:r>
    </w:p>
    <w:p w14:paraId="2F871B1D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>:</w:t>
      </w:r>
      <w:r>
        <w:rPr>
          <w:rFonts w:ascii="FrankRuehl" w:hAnsi="FrankRuehl" w:cs="FrankRuehl"/>
          <w:sz w:val="26"/>
          <w:szCs w:val="26"/>
          <w:rtl/>
        </w:rPr>
        <w:t xml:space="preserve"> עיקר העודפים נוצרים בגין תשלומים שוטפים במועצות הדתיות מסוף שנת 2025, ביניהם תשלומי שכר, שמועדם ביצועם הוא בתחילת שנת 2026, וכן תשלומים למיזמים חוצי שנה במועצות הדתיות.</w:t>
      </w:r>
    </w:p>
    <w:p w14:paraId="6D27FC94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321199D3" w14:textId="77777777" w:rsidR="00F77CE9" w:rsidRDefault="00F77CE9" w:rsidP="00F77CE9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220102 - תמיכה בשירותי דת – 12,712 אלפי ש"ח בהוצאה נטו</w:t>
      </w:r>
    </w:p>
    <w:p w14:paraId="68470865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: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נועדה לתקצוב תמיכות ופעולות אשר מבצע המשרד עבור שיפור שירותי דת וכללת בין היתר פיתוח מקומות קדושים, המרכז למקומות קדושים, פיתוח מוסדות ציבור, ותמיכות 3א.</w:t>
      </w:r>
    </w:p>
    <w:p w14:paraId="0819F53E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>:</w:t>
      </w:r>
      <w:r>
        <w:rPr>
          <w:rFonts w:ascii="FrankRuehl" w:hAnsi="FrankRuehl" w:cs="FrankRuehl"/>
          <w:sz w:val="26"/>
          <w:szCs w:val="26"/>
          <w:rtl/>
        </w:rPr>
        <w:t xml:space="preserve"> העודפים נוצרים בגין תשלומים בהתאם לביצוע בפועל של התחייבויות לפיתוח מבני דת, במסגרת הקול הקורא המשרדי, וכן עודפים בגין תשלומים עבור הילולת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הבבא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סאלי בנתיבות, שהתקיימה בתחילת שנת 2026 וההתקשרויות בגינה חוצות שנה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קלנדרית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>.</w:t>
      </w:r>
    </w:p>
    <w:p w14:paraId="66E20A3D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08AFA147" w14:textId="77777777" w:rsidR="00F77CE9" w:rsidRDefault="00F77CE9" w:rsidP="00F77CE9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220103 - בתי עלמין – 2,492 אלפי ש"ח בהוצאה נטו</w:t>
      </w:r>
    </w:p>
    <w:p w14:paraId="54CACF79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: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נועדה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לתקצב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פיתוח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בתי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עלמין, תמיכות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בקבורה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רוויה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ובקבורה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אזרחית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וכן</w:t>
      </w:r>
      <w:r>
        <w:rPr>
          <w:rFonts w:ascii="Calibri" w:hAnsi="Calibri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את התפעול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השוטף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של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מועצות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בתי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העלמין</w:t>
      </w:r>
      <w:r>
        <w:rPr>
          <w:rFonts w:ascii="FrankRuehl" w:hAnsi="FrankRuehl" w:cs="FrankRuehl"/>
          <w:sz w:val="26"/>
          <w:szCs w:val="26"/>
        </w:rPr>
        <w:t>.</w:t>
      </w:r>
    </w:p>
    <w:p w14:paraId="03863505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סיבות</w:t>
      </w:r>
      <w:r>
        <w:rPr>
          <w:rFonts w:ascii="FrankRuehl" w:hAnsi="FrankRuehl" w:cs="FrankRuehl"/>
          <w:b/>
          <w:bCs/>
          <w:sz w:val="26"/>
          <w:szCs w:val="26"/>
        </w:rPr>
        <w:t xml:space="preserve"> </w:t>
      </w:r>
      <w:r>
        <w:rPr>
          <w:rFonts w:ascii="FrankRuehl" w:hAnsi="FrankRuehl" w:cs="FrankRuehl"/>
          <w:b/>
          <w:bCs/>
          <w:sz w:val="26"/>
          <w:szCs w:val="26"/>
          <w:rtl/>
        </w:rPr>
        <w:t>מרכזיות</w:t>
      </w:r>
      <w:r>
        <w:rPr>
          <w:rFonts w:ascii="FrankRuehl" w:hAnsi="FrankRuehl" w:cs="FrankRuehl"/>
          <w:b/>
          <w:bCs/>
          <w:sz w:val="26"/>
          <w:szCs w:val="26"/>
        </w:rPr>
        <w:t xml:space="preserve"> </w:t>
      </w:r>
      <w:r>
        <w:rPr>
          <w:rFonts w:ascii="FrankRuehl" w:hAnsi="FrankRuehl" w:cs="FrankRuehl"/>
          <w:b/>
          <w:bCs/>
          <w:sz w:val="26"/>
          <w:szCs w:val="26"/>
          <w:rtl/>
        </w:rPr>
        <w:t>בגינן</w:t>
      </w:r>
      <w:r>
        <w:rPr>
          <w:rFonts w:ascii="FrankRuehl" w:hAnsi="FrankRuehl" w:cs="FrankRuehl"/>
          <w:b/>
          <w:bCs/>
          <w:sz w:val="26"/>
          <w:szCs w:val="26"/>
        </w:rPr>
        <w:t xml:space="preserve"> </w:t>
      </w:r>
      <w:r>
        <w:rPr>
          <w:rFonts w:ascii="FrankRuehl" w:hAnsi="FrankRuehl" w:cs="FrankRuehl"/>
          <w:b/>
          <w:bCs/>
          <w:sz w:val="26"/>
          <w:szCs w:val="26"/>
          <w:rtl/>
        </w:rPr>
        <w:t>נוצרו</w:t>
      </w:r>
      <w:r>
        <w:rPr>
          <w:rFonts w:ascii="FrankRuehl" w:hAnsi="FrankRuehl" w:cs="FrankRuehl"/>
          <w:b/>
          <w:bCs/>
          <w:sz w:val="26"/>
          <w:szCs w:val="26"/>
        </w:rPr>
        <w:t xml:space="preserve"> </w:t>
      </w:r>
      <w:r>
        <w:rPr>
          <w:rFonts w:ascii="FrankRuehl" w:hAnsi="FrankRuehl" w:cs="FrankRuehl"/>
          <w:b/>
          <w:bCs/>
          <w:sz w:val="26"/>
          <w:szCs w:val="26"/>
          <w:rtl/>
        </w:rPr>
        <w:t>עודפים</w:t>
      </w:r>
      <w:r>
        <w:rPr>
          <w:rFonts w:ascii="FrankRuehl" w:hAnsi="FrankRuehl" w:cs="FrankRuehl"/>
          <w:b/>
          <w:bCs/>
          <w:sz w:val="26"/>
          <w:szCs w:val="26"/>
        </w:rPr>
        <w:t xml:space="preserve">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: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פרוייקטי</w:t>
      </w:r>
      <w:proofErr w:type="spellEnd"/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פיתוח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של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בתי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עלמין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 xml:space="preserve">המתוקצבים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מתכנית</w:t>
      </w:r>
      <w:proofErr w:type="spellEnd"/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זו הם פרויקטים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חוצי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שנה, ולכן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לאור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המשך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הפיתוח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מועברים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עודפים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לשנת</w:t>
      </w:r>
      <w:r>
        <w:rPr>
          <w:rFonts w:ascii="FrankRuehl" w:hAnsi="FrankRuehl" w:cs="FrankRuehl"/>
          <w:sz w:val="26"/>
          <w:szCs w:val="26"/>
        </w:rPr>
        <w:t xml:space="preserve"> </w:t>
      </w:r>
      <w:r>
        <w:rPr>
          <w:rFonts w:ascii="FrankRuehl" w:hAnsi="FrankRuehl" w:cs="FrankRuehl"/>
          <w:sz w:val="26"/>
          <w:szCs w:val="26"/>
          <w:rtl/>
        </w:rPr>
        <w:t>הכספים העוקבת</w:t>
      </w:r>
      <w:r>
        <w:rPr>
          <w:rFonts w:ascii="FrankRuehl" w:hAnsi="FrankRuehl" w:cs="FrankRuehl"/>
          <w:sz w:val="26"/>
          <w:szCs w:val="26"/>
        </w:rPr>
        <w:t>.</w:t>
      </w:r>
    </w:p>
    <w:p w14:paraId="4EACAF0C" w14:textId="5F114764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34ECB074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51C43BF8" w14:textId="77777777" w:rsidR="00F77CE9" w:rsidRDefault="00F77CE9" w:rsidP="00F77CE9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lastRenderedPageBreak/>
        <w:t>220105 - שכר ותפעול – 24,104 אלפי ש"ח בהוצאה נטו</w:t>
      </w:r>
    </w:p>
    <w:p w14:paraId="703D8669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: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נועדה לתקצב את הפעילות השוטפת של מטה המשרד לשירותי דת.</w:t>
      </w:r>
    </w:p>
    <w:p w14:paraId="035A6AE0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סיבות</w:t>
      </w:r>
      <w:r>
        <w:rPr>
          <w:rFonts w:ascii="FrankRuehl" w:hAnsi="FrankRuehl" w:cs="FrankRuehl"/>
          <w:b/>
          <w:bCs/>
          <w:sz w:val="26"/>
          <w:szCs w:val="26"/>
        </w:rPr>
        <w:t xml:space="preserve"> </w:t>
      </w:r>
      <w:r>
        <w:rPr>
          <w:rFonts w:ascii="FrankRuehl" w:hAnsi="FrankRuehl" w:cs="FrankRuehl"/>
          <w:b/>
          <w:bCs/>
          <w:sz w:val="26"/>
          <w:szCs w:val="26"/>
          <w:rtl/>
        </w:rPr>
        <w:t>מרכזיות</w:t>
      </w:r>
      <w:r>
        <w:rPr>
          <w:rFonts w:ascii="FrankRuehl" w:hAnsi="FrankRuehl" w:cs="FrankRuehl"/>
          <w:b/>
          <w:bCs/>
          <w:sz w:val="26"/>
          <w:szCs w:val="26"/>
        </w:rPr>
        <w:t xml:space="preserve"> </w:t>
      </w:r>
      <w:r>
        <w:rPr>
          <w:rFonts w:ascii="FrankRuehl" w:hAnsi="FrankRuehl" w:cs="FrankRuehl"/>
          <w:b/>
          <w:bCs/>
          <w:sz w:val="26"/>
          <w:szCs w:val="26"/>
          <w:rtl/>
        </w:rPr>
        <w:t>בגינן</w:t>
      </w:r>
      <w:r>
        <w:rPr>
          <w:rFonts w:ascii="FrankRuehl" w:hAnsi="FrankRuehl" w:cs="FrankRuehl"/>
          <w:b/>
          <w:bCs/>
          <w:sz w:val="26"/>
          <w:szCs w:val="26"/>
        </w:rPr>
        <w:t xml:space="preserve"> </w:t>
      </w:r>
      <w:r>
        <w:rPr>
          <w:rFonts w:ascii="FrankRuehl" w:hAnsi="FrankRuehl" w:cs="FrankRuehl"/>
          <w:b/>
          <w:bCs/>
          <w:sz w:val="26"/>
          <w:szCs w:val="26"/>
          <w:rtl/>
        </w:rPr>
        <w:t>נוצרו</w:t>
      </w:r>
      <w:r>
        <w:rPr>
          <w:rFonts w:ascii="FrankRuehl" w:hAnsi="FrankRuehl" w:cs="FrankRuehl"/>
          <w:b/>
          <w:bCs/>
          <w:sz w:val="26"/>
          <w:szCs w:val="26"/>
        </w:rPr>
        <w:t xml:space="preserve"> </w:t>
      </w:r>
      <w:r>
        <w:rPr>
          <w:rFonts w:ascii="FrankRuehl" w:hAnsi="FrankRuehl" w:cs="FrankRuehl"/>
          <w:b/>
          <w:bCs/>
          <w:sz w:val="26"/>
          <w:szCs w:val="26"/>
          <w:rtl/>
        </w:rPr>
        <w:t>עודפים</w:t>
      </w:r>
      <w:r>
        <w:rPr>
          <w:rFonts w:ascii="FrankRuehl" w:hAnsi="FrankRuehl" w:cs="FrankRuehl"/>
          <w:b/>
          <w:bCs/>
          <w:sz w:val="26"/>
          <w:szCs w:val="26"/>
        </w:rPr>
        <w:t xml:space="preserve">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: </w:t>
      </w:r>
      <w:r>
        <w:rPr>
          <w:rFonts w:ascii="FrankRuehl" w:hAnsi="FrankRuehl" w:cs="FrankRuehl"/>
          <w:sz w:val="26"/>
          <w:szCs w:val="26"/>
          <w:rtl/>
        </w:rPr>
        <w:t>עודפים בגין התחייבויות שוטפות חוצות שנה בתחום התפעול, התחזוקה, פיתוח מערכות מחשוב. בנוסף, פעילות להנצחת הרב עובדיה יוסף בהתאם לחוק להנצחת זכרו של מרן הרב עובדיה יוסף, תשפ"ה-2025, וכן תשלומים בעבור שירותים שסופקו למשרד בסוף שנת 2025 בתחום הפיקוח והבקרה על המועצות הדתיות.</w:t>
      </w:r>
    </w:p>
    <w:p w14:paraId="3EC2C940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51AF66BA" w14:textId="77777777" w:rsidR="00F77CE9" w:rsidRDefault="00F77CE9" w:rsidP="00F77CE9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220201 - הרבנות הראשית – 5,544 אלפי ש"ח בהוצאה נטו </w:t>
      </w:r>
    </w:p>
    <w:p w14:paraId="5104DC8A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: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נועדה לתקצב את פעילות הרבנות הראשית.</w:t>
      </w:r>
    </w:p>
    <w:p w14:paraId="428D7459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: </w:t>
      </w:r>
      <w:r>
        <w:rPr>
          <w:rFonts w:ascii="FrankRuehl" w:hAnsi="FrankRuehl" w:cs="FrankRuehl"/>
          <w:sz w:val="26"/>
          <w:szCs w:val="26"/>
          <w:rtl/>
        </w:rPr>
        <w:t xml:space="preserve">העודפים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זו נוצרו לאור התחייבויות וחוזים אשר נפרסים לתקופה שאינה חופפת עם שנת התקציב.</w:t>
      </w:r>
    </w:p>
    <w:p w14:paraId="47B5487B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</w:p>
    <w:p w14:paraId="10AA81D6" w14:textId="77777777" w:rsidR="00F77CE9" w:rsidRDefault="00F77CE9" w:rsidP="00F77CE9">
      <w:pPr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220301 - בתי הדין הרבניים – 17,273 אלפי ש"ח בהוצאה נטו</w:t>
      </w:r>
    </w:p>
    <w:p w14:paraId="78439879" w14:textId="77777777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: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התכנית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נועדה לתקצב את הפעילות של בתי הדין הרבניים.</w:t>
      </w:r>
    </w:p>
    <w:p w14:paraId="543D60D4" w14:textId="69042521" w:rsidR="00F77CE9" w:rsidRDefault="00F77CE9" w:rsidP="00F77CE9">
      <w:pPr>
        <w:jc w:val="both"/>
        <w:rPr>
          <w:rFonts w:ascii="FrankRuehl" w:hAnsi="FrankRuehl" w:cs="FrankRuehl"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ascii="FrankRuehl" w:hAnsi="FrankRuehl"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b/>
          <w:bCs/>
          <w:sz w:val="26"/>
          <w:szCs w:val="26"/>
          <w:rtl/>
        </w:rPr>
        <w:t xml:space="preserve">: </w:t>
      </w:r>
      <w:r>
        <w:rPr>
          <w:rFonts w:ascii="FrankRuehl" w:hAnsi="FrankRuehl" w:cs="FrankRuehl"/>
          <w:sz w:val="26"/>
          <w:szCs w:val="26"/>
          <w:rtl/>
        </w:rPr>
        <w:t xml:space="preserve">העודפים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בתכנית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זו נוצרו לאור התחייבויות לפיתוח מערכת מחשוב למערך בתי הדין וכן </w:t>
      </w:r>
      <w:r>
        <w:rPr>
          <w:rFonts w:ascii="FrankRuehl" w:hAnsi="FrankRuehl" w:cs="FrankRuehl" w:hint="cs"/>
          <w:sz w:val="26"/>
          <w:szCs w:val="26"/>
          <w:rtl/>
        </w:rPr>
        <w:t>עבור</w:t>
      </w:r>
      <w:r>
        <w:rPr>
          <w:rFonts w:ascii="FrankRuehl" w:hAnsi="FrankRuehl" w:cs="FrankRuehl"/>
          <w:sz w:val="26"/>
          <w:szCs w:val="26"/>
          <w:rtl/>
        </w:rPr>
        <w:t xml:space="preserve"> התחייבויות תפעוליות שוטפות חוצות שנה.</w:t>
      </w:r>
    </w:p>
    <w:p w14:paraId="51B87D0E" w14:textId="77777777" w:rsidR="00F77CE9" w:rsidRDefault="00F77CE9" w:rsidP="00F77CE9">
      <w:pPr>
        <w:jc w:val="both"/>
        <w:rPr>
          <w:rFonts w:ascii="Narkisim" w:hAnsi="Calibri" w:cs="David"/>
          <w:sz w:val="24"/>
          <w:rtl/>
        </w:rPr>
      </w:pPr>
    </w:p>
    <w:p w14:paraId="2DA26C56" w14:textId="77777777" w:rsidR="00F77CE9" w:rsidRDefault="00F77CE9" w:rsidP="00F77CE9">
      <w:pPr>
        <w:jc w:val="both"/>
        <w:rPr>
          <w:rFonts w:cs="FrankRuehl"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השפעה על כוח אדם:</w:t>
      </w:r>
      <w:r>
        <w:rPr>
          <w:rFonts w:cs="FrankRuehl"/>
          <w:sz w:val="26"/>
          <w:szCs w:val="26"/>
          <w:rtl/>
        </w:rPr>
        <w:t xml:space="preserve"> אין.</w:t>
      </w:r>
    </w:p>
    <w:p w14:paraId="4B22E872" w14:textId="77777777" w:rsidR="00F77CE9" w:rsidRDefault="00F77CE9" w:rsidP="00F77CE9">
      <w:pPr>
        <w:jc w:val="both"/>
        <w:rPr>
          <w:rFonts w:cs="FrankRuehl"/>
          <w:sz w:val="26"/>
          <w:szCs w:val="26"/>
          <w:rtl/>
        </w:rPr>
      </w:pPr>
    </w:p>
    <w:p w14:paraId="50342B9E" w14:textId="77777777" w:rsidR="0051496B" w:rsidRPr="000A3FA0" w:rsidRDefault="0051496B" w:rsidP="00F77CE9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7C7A38BE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77DFC3E3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5E6AC6D6" w14:textId="77777777" w:rsidR="0051496B" w:rsidRPr="000A3FA0" w:rsidRDefault="0051496B" w:rsidP="00AC0FB8">
      <w:pPr>
        <w:tabs>
          <w:tab w:val="left" w:pos="6416"/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AC0FB8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>בכבוד רב,</w:t>
      </w:r>
    </w:p>
    <w:p w14:paraId="415AE4D2" w14:textId="77777777" w:rsidR="0051496B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57092767" w14:textId="77777777" w:rsidR="00AC0FB8" w:rsidRPr="000A3FA0" w:rsidRDefault="00AC0FB8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2" w:name="Sign_Image"/>
      <w:bookmarkEnd w:id="12"/>
    </w:p>
    <w:p w14:paraId="15396F77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5775E1ED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606915B1" w14:textId="77777777" w:rsidR="0051496B" w:rsidRPr="000A3FA0" w:rsidRDefault="0051496B" w:rsidP="000062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3A7203EA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430CEEF7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העתק:</w:t>
      </w:r>
    </w:p>
    <w:p w14:paraId="62385418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החשב הכללי</w:t>
      </w:r>
    </w:p>
    <w:p w14:paraId="25FEF8CF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מבקר המדינה (2)</w:t>
      </w:r>
    </w:p>
    <w:p w14:paraId="1B3F561E" w14:textId="77777777" w:rsidR="004B5191" w:rsidRDefault="004B5191">
      <w:pPr>
        <w:rPr>
          <w:rFonts w:cs="FrankRuehl"/>
          <w:sz w:val="26"/>
          <w:szCs w:val="26"/>
          <w:rtl/>
        </w:rPr>
      </w:pPr>
      <w:bookmarkStart w:id="13" w:name="TAKZIV22"/>
      <w:r>
        <w:rPr>
          <w:rFonts w:cs="FrankRuehl"/>
          <w:sz w:val="26"/>
          <w:szCs w:val="26"/>
          <w:rtl/>
        </w:rPr>
        <w:t>חשב בתי הדין הרבניים</w:t>
      </w:r>
    </w:p>
    <w:p w14:paraId="419BD9BE" w14:textId="6367693D" w:rsidR="0051496B" w:rsidRPr="000A3FA0" w:rsidRDefault="004B5191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משרד הדתות</w:t>
      </w:r>
      <w:bookmarkEnd w:id="13"/>
    </w:p>
    <w:p w14:paraId="12FD1EE0" w14:textId="01EEC020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קצין תקציבים </w:t>
      </w:r>
      <w:bookmarkStart w:id="14" w:name="TAKZIV6"/>
      <w:r w:rsidR="004B5191">
        <w:rPr>
          <w:rFonts w:cs="FrankRuehl"/>
          <w:sz w:val="26"/>
          <w:szCs w:val="26"/>
          <w:rtl/>
        </w:rPr>
        <w:t>המשרד לשירותי דת</w:t>
      </w:r>
      <w:bookmarkEnd w:id="14"/>
    </w:p>
    <w:p w14:paraId="13962A7B" w14:textId="3F4D477E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רפרנט </w:t>
      </w:r>
      <w:bookmarkStart w:id="15" w:name="TAKZIV6_1"/>
      <w:r w:rsidR="004B5191">
        <w:rPr>
          <w:rFonts w:cs="FrankRuehl"/>
          <w:sz w:val="26"/>
          <w:szCs w:val="26"/>
          <w:rtl/>
        </w:rPr>
        <w:t>המשרד לשירותי דת</w:t>
      </w:r>
      <w:bookmarkEnd w:id="15"/>
    </w:p>
    <w:p w14:paraId="02E85F85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6" w:name="TAKZIV23"/>
      <w:bookmarkEnd w:id="16"/>
    </w:p>
    <w:p w14:paraId="27A51296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02C6D0DA" w14:textId="296B6138" w:rsidR="0051496B" w:rsidRDefault="0051496B">
      <w:pPr>
        <w:rPr>
          <w:rFonts w:cs="FrankRuehl"/>
          <w:sz w:val="26"/>
          <w:szCs w:val="26"/>
          <w:rtl/>
        </w:rPr>
      </w:pPr>
      <w:bookmarkStart w:id="17" w:name="TAKZIV25"/>
      <w:bookmarkEnd w:id="17"/>
    </w:p>
    <w:p w14:paraId="177D6C80" w14:textId="41B82518" w:rsidR="005443EC" w:rsidRDefault="005443EC">
      <w:pPr>
        <w:rPr>
          <w:rFonts w:cs="FrankRuehl"/>
          <w:sz w:val="26"/>
          <w:szCs w:val="26"/>
          <w:rtl/>
        </w:rPr>
      </w:pPr>
    </w:p>
    <w:p w14:paraId="5073E535" w14:textId="092CF3C8" w:rsidR="005443EC" w:rsidRDefault="005443EC">
      <w:pPr>
        <w:rPr>
          <w:rFonts w:cs="FrankRuehl"/>
          <w:sz w:val="26"/>
          <w:szCs w:val="26"/>
          <w:rtl/>
        </w:rPr>
      </w:pPr>
    </w:p>
    <w:p w14:paraId="1C90E4C0" w14:textId="7DA449DA" w:rsidR="005443EC" w:rsidRDefault="005443EC">
      <w:pPr>
        <w:rPr>
          <w:rFonts w:cs="FrankRuehl"/>
          <w:sz w:val="26"/>
          <w:szCs w:val="26"/>
          <w:rtl/>
        </w:rPr>
      </w:pPr>
    </w:p>
    <w:p w14:paraId="22B22190" w14:textId="26BE6469" w:rsidR="005443EC" w:rsidRDefault="005443EC">
      <w:pPr>
        <w:rPr>
          <w:rFonts w:cs="FrankRuehl"/>
          <w:sz w:val="26"/>
          <w:szCs w:val="26"/>
          <w:rtl/>
        </w:rPr>
      </w:pPr>
    </w:p>
    <w:p w14:paraId="711ED47A" w14:textId="46CA3F56" w:rsidR="005443EC" w:rsidRDefault="005443EC">
      <w:pPr>
        <w:rPr>
          <w:rFonts w:cs="FrankRuehl"/>
          <w:sz w:val="26"/>
          <w:szCs w:val="26"/>
          <w:rtl/>
        </w:rPr>
      </w:pPr>
    </w:p>
    <w:p w14:paraId="57EC9930" w14:textId="2ABDA333" w:rsidR="005443EC" w:rsidRDefault="005443EC">
      <w:pPr>
        <w:rPr>
          <w:rFonts w:cs="FrankRuehl"/>
          <w:sz w:val="26"/>
          <w:szCs w:val="26"/>
          <w:rtl/>
        </w:rPr>
      </w:pPr>
    </w:p>
    <w:p w14:paraId="482AB06C" w14:textId="28BEF15C" w:rsidR="005443EC" w:rsidRDefault="005443EC">
      <w:pPr>
        <w:rPr>
          <w:rFonts w:cs="FrankRuehl"/>
          <w:sz w:val="26"/>
          <w:szCs w:val="26"/>
          <w:rtl/>
        </w:rPr>
      </w:pPr>
    </w:p>
    <w:p w14:paraId="403E0CE5" w14:textId="2781890E" w:rsidR="005443EC" w:rsidRDefault="005443EC">
      <w:pPr>
        <w:rPr>
          <w:rFonts w:cs="FrankRuehl"/>
          <w:sz w:val="26"/>
          <w:szCs w:val="26"/>
          <w:rtl/>
        </w:rPr>
      </w:pPr>
    </w:p>
    <w:p w14:paraId="2F73AC16" w14:textId="039DA535" w:rsidR="005443EC" w:rsidRDefault="005443EC">
      <w:pPr>
        <w:rPr>
          <w:rFonts w:cs="FrankRuehl"/>
          <w:sz w:val="26"/>
          <w:szCs w:val="26"/>
          <w:rtl/>
        </w:rPr>
      </w:pPr>
    </w:p>
    <w:p w14:paraId="51D7943B" w14:textId="565E7B31" w:rsidR="005443EC" w:rsidRDefault="005443EC">
      <w:pPr>
        <w:rPr>
          <w:rFonts w:cs="FrankRuehl"/>
          <w:sz w:val="26"/>
          <w:szCs w:val="26"/>
          <w:rtl/>
        </w:rPr>
      </w:pPr>
    </w:p>
    <w:p w14:paraId="01A8E5E4" w14:textId="4787FC32" w:rsidR="005443EC" w:rsidRDefault="005443EC">
      <w:pPr>
        <w:rPr>
          <w:rFonts w:cs="FrankRuehl"/>
          <w:sz w:val="26"/>
          <w:szCs w:val="26"/>
          <w:rtl/>
        </w:rPr>
      </w:pPr>
    </w:p>
    <w:p w14:paraId="46E2F5FD" w14:textId="0C03B877" w:rsidR="005443EC" w:rsidRDefault="005443EC">
      <w:pPr>
        <w:rPr>
          <w:rFonts w:cs="FrankRuehl"/>
          <w:sz w:val="26"/>
          <w:szCs w:val="26"/>
          <w:rtl/>
        </w:rPr>
      </w:pPr>
    </w:p>
    <w:p w14:paraId="05C860A3" w14:textId="732FF18D" w:rsidR="005443EC" w:rsidRDefault="005443EC">
      <w:pPr>
        <w:rPr>
          <w:rFonts w:cs="FrankRuehl"/>
          <w:sz w:val="26"/>
          <w:szCs w:val="26"/>
          <w:rtl/>
        </w:rPr>
      </w:pPr>
    </w:p>
    <w:p w14:paraId="530C3894" w14:textId="77777777" w:rsidR="005443EC" w:rsidRDefault="005443EC" w:rsidP="005443EC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  <w:r w:rsidRPr="002E36C4">
        <w:rPr>
          <w:rFonts w:cs="FrankRuehl" w:hint="cs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16E36B12" w14:textId="77777777" w:rsidR="005443EC" w:rsidRPr="002E36C4" w:rsidRDefault="005443EC" w:rsidP="005443EC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</w:p>
    <w:p w14:paraId="2D8F5B32" w14:textId="77777777" w:rsidR="005443EC" w:rsidRDefault="005443EC" w:rsidP="005443EC">
      <w:pPr>
        <w:jc w:val="center"/>
        <w:rPr>
          <w:rFonts w:cs="FrankRuehl"/>
          <w:b/>
          <w:bCs/>
          <w:sz w:val="26"/>
          <w:szCs w:val="26"/>
          <w:rtl/>
        </w:rPr>
      </w:pPr>
      <w:r w:rsidRPr="002E36C4">
        <w:rPr>
          <w:rFonts w:cs="FrankRuehl"/>
          <w:b/>
          <w:bCs/>
          <w:sz w:val="26"/>
          <w:szCs w:val="26"/>
          <w:rtl/>
        </w:rPr>
        <w:t>היסטוריה תקציבית של הפנייה</w:t>
      </w:r>
    </w:p>
    <w:p w14:paraId="5A533E19" w14:textId="468225AA" w:rsidR="005443EC" w:rsidRDefault="005443EC">
      <w:pPr>
        <w:rPr>
          <w:rFonts w:cs="FrankRuehl"/>
          <w:sz w:val="26"/>
          <w:szCs w:val="26"/>
          <w:rtl/>
        </w:rPr>
      </w:pPr>
    </w:p>
    <w:tbl>
      <w:tblPr>
        <w:bidiVisual/>
        <w:tblW w:w="5000" w:type="pct"/>
        <w:tblLook w:val="04A0" w:firstRow="1" w:lastRow="0" w:firstColumn="1" w:lastColumn="0" w:noHBand="0" w:noVBand="1"/>
      </w:tblPr>
      <w:tblGrid>
        <w:gridCol w:w="1650"/>
        <w:gridCol w:w="1894"/>
        <w:gridCol w:w="1650"/>
        <w:gridCol w:w="1650"/>
        <w:gridCol w:w="1679"/>
      </w:tblGrid>
      <w:tr w:rsidR="005443EC" w:rsidRPr="00D23580" w14:paraId="48CDF49B" w14:textId="77777777" w:rsidTr="005443EC">
        <w:trPr>
          <w:trHeight w:val="675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000000" w:fill="F0F4FA"/>
            <w:vAlign w:val="center"/>
            <w:hideMark/>
          </w:tcPr>
          <w:p w14:paraId="07F58BEB" w14:textId="77777777" w:rsidR="005443EC" w:rsidRPr="00D23580" w:rsidRDefault="005443EC" w:rsidP="00B2380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קוד תוכנית</w:t>
            </w:r>
          </w:p>
        </w:tc>
        <w:tc>
          <w:tcPr>
            <w:tcW w:w="1111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720579A7" w14:textId="77777777" w:rsidR="005443EC" w:rsidRPr="00D23580" w:rsidRDefault="005443EC" w:rsidP="00B2380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D235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השינוי התקציבי של העודף המוצע בפניה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57190037" w14:textId="77777777" w:rsidR="005443EC" w:rsidRPr="00D23580" w:rsidRDefault="005443EC" w:rsidP="00B2380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D235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סך עודף שהועבר ב-2025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752A2441" w14:textId="77777777" w:rsidR="005443EC" w:rsidRPr="00D23580" w:rsidRDefault="005443EC" w:rsidP="00B2380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D235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סך עודף שהועבר ב-2024</w:t>
            </w:r>
          </w:p>
        </w:tc>
        <w:tc>
          <w:tcPr>
            <w:tcW w:w="986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0F4FA"/>
            <w:vAlign w:val="center"/>
            <w:hideMark/>
          </w:tcPr>
          <w:p w14:paraId="6CBDCF7E" w14:textId="77777777" w:rsidR="005443EC" w:rsidRPr="00D23580" w:rsidRDefault="005443EC" w:rsidP="00B2380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</w:pPr>
            <w:r w:rsidRPr="00D23580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</w:rPr>
              <w:t>סך עודף שהועבר ב-2023</w:t>
            </w:r>
          </w:p>
        </w:tc>
      </w:tr>
      <w:tr w:rsidR="005443EC" w:rsidRPr="00D23580" w14:paraId="6C4234D7" w14:textId="77777777" w:rsidTr="005443EC">
        <w:trPr>
          <w:trHeight w:val="300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02DC470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  <w:rtl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220101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16D5C645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6,307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222406C8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6,727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5B24E598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15,259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3188E83D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2,817</w:t>
            </w:r>
          </w:p>
        </w:tc>
      </w:tr>
      <w:tr w:rsidR="005443EC" w:rsidRPr="00D23580" w14:paraId="623FB230" w14:textId="77777777" w:rsidTr="005443EC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42F1FD4A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220102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588EC9FC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12,712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78E7BB09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42,060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6CFF3716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21,771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15F139B6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72,820</w:t>
            </w:r>
          </w:p>
        </w:tc>
      </w:tr>
      <w:tr w:rsidR="005443EC" w:rsidRPr="00D23580" w14:paraId="6AC29C80" w14:textId="77777777" w:rsidTr="005443EC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40A3C8AF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220103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6656B4F8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2,492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27696E4E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1,531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12B96282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4,854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6D04C33B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30,056</w:t>
            </w:r>
          </w:p>
        </w:tc>
      </w:tr>
      <w:tr w:rsidR="005443EC" w:rsidRPr="00D23580" w14:paraId="543223B1" w14:textId="77777777" w:rsidTr="005443EC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46FAD442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220105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1FADC830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24,104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68E5959A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14,567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AA92FAD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12,952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5796EDEB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23,338</w:t>
            </w:r>
          </w:p>
        </w:tc>
      </w:tr>
      <w:tr w:rsidR="005443EC" w:rsidRPr="00D23580" w14:paraId="4905BA15" w14:textId="77777777" w:rsidTr="005443EC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290168B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220201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0CBD92CA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5,544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5FB4FD03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8,616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3D5B4DAE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27,678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72BFF422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7,324</w:t>
            </w:r>
          </w:p>
        </w:tc>
      </w:tr>
      <w:tr w:rsidR="005443EC" w:rsidRPr="00D23580" w14:paraId="4E14333C" w14:textId="77777777" w:rsidTr="005443EC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7BC089AC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220301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246E87B8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17,273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3F59579D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10,696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6182FD99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9,514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7947AF12" w14:textId="77777777" w:rsidR="005443EC" w:rsidRPr="00D23580" w:rsidRDefault="005443EC" w:rsidP="00B23808">
            <w:pPr>
              <w:bidi w:val="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D23580">
              <w:rPr>
                <w:rFonts w:ascii="Calibri" w:hAnsi="Calibri" w:cs="Calibri"/>
                <w:color w:val="000000"/>
                <w:sz w:val="16"/>
                <w:szCs w:val="16"/>
              </w:rPr>
              <w:t>18,101</w:t>
            </w:r>
          </w:p>
        </w:tc>
      </w:tr>
    </w:tbl>
    <w:p w14:paraId="09EBC9C5" w14:textId="35A84A55" w:rsidR="005443EC" w:rsidRDefault="005443EC">
      <w:pPr>
        <w:rPr>
          <w:rFonts w:cs="FrankRuehl"/>
          <w:sz w:val="26"/>
          <w:szCs w:val="26"/>
          <w:rtl/>
        </w:rPr>
      </w:pPr>
    </w:p>
    <w:p w14:paraId="14386876" w14:textId="77777777" w:rsidR="005443EC" w:rsidRPr="000A3FA0" w:rsidRDefault="005443EC">
      <w:pPr>
        <w:rPr>
          <w:rFonts w:cs="FrankRuehl"/>
          <w:sz w:val="26"/>
          <w:szCs w:val="26"/>
          <w:rtl/>
        </w:rPr>
      </w:pPr>
    </w:p>
    <w:sectPr w:rsidR="005443EC" w:rsidRPr="000A3FA0" w:rsidSect="00A32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AAFCD" w14:textId="77777777" w:rsidR="00400664" w:rsidRDefault="00400664" w:rsidP="00A32326">
      <w:r>
        <w:separator/>
      </w:r>
    </w:p>
  </w:endnote>
  <w:endnote w:type="continuationSeparator" w:id="0">
    <w:p w14:paraId="3BDB4600" w14:textId="77777777" w:rsidR="00400664" w:rsidRDefault="00400664" w:rsidP="00A3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6B78B" w14:textId="77777777" w:rsidR="0096594F" w:rsidRDefault="00965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E8318" w14:textId="77777777" w:rsidR="0096594F" w:rsidRDefault="00965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DA70D" w14:textId="77777777" w:rsidR="0096594F" w:rsidRDefault="00965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A24CDE" w14:textId="77777777" w:rsidR="00400664" w:rsidRDefault="00400664" w:rsidP="00A32326">
      <w:r>
        <w:separator/>
      </w:r>
    </w:p>
  </w:footnote>
  <w:footnote w:type="continuationSeparator" w:id="0">
    <w:p w14:paraId="3CF49B85" w14:textId="77777777" w:rsidR="00400664" w:rsidRDefault="00400664" w:rsidP="00A3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70F59" w14:textId="77777777" w:rsidR="0096594F" w:rsidRDefault="00965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4A0A8" w14:textId="77777777" w:rsidR="00A32326" w:rsidRPr="00CB5FFD" w:rsidRDefault="00400664" w:rsidP="00A32326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33201D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90pt;margin-top:-88.05pt;width:594.75pt;height:87.3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3C4266D" w14:textId="77777777" w:rsidR="00A32326" w:rsidRPr="00CB5FFD" w:rsidRDefault="00A32326" w:rsidP="00A32326">
    <w:pPr>
      <w:pStyle w:val="a4"/>
      <w:jc w:val="right"/>
      <w:rPr>
        <w:color w:val="4F81BD"/>
        <w:rtl/>
        <w:cs/>
      </w:rPr>
    </w:pPr>
  </w:p>
  <w:p w14:paraId="1702CB76" w14:textId="77777777" w:rsidR="00A32326" w:rsidRDefault="00A32326" w:rsidP="00A32326">
    <w:pPr>
      <w:pStyle w:val="a4"/>
    </w:pPr>
  </w:p>
  <w:p w14:paraId="6144399E" w14:textId="77777777" w:rsidR="00A32326" w:rsidRDefault="00A32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CFC09" w14:textId="77777777" w:rsidR="0096594F" w:rsidRDefault="00965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96B"/>
    <w:rsid w:val="000062C3"/>
    <w:rsid w:val="000A3FA0"/>
    <w:rsid w:val="00400664"/>
    <w:rsid w:val="00411078"/>
    <w:rsid w:val="004B5191"/>
    <w:rsid w:val="00507569"/>
    <w:rsid w:val="0051496B"/>
    <w:rsid w:val="005443EC"/>
    <w:rsid w:val="00596B46"/>
    <w:rsid w:val="007332A2"/>
    <w:rsid w:val="0096594F"/>
    <w:rsid w:val="009E3253"/>
    <w:rsid w:val="00A14A9C"/>
    <w:rsid w:val="00A32326"/>
    <w:rsid w:val="00A51CFB"/>
    <w:rsid w:val="00A6761F"/>
    <w:rsid w:val="00AC0FB8"/>
    <w:rsid w:val="00BE74E8"/>
    <w:rsid w:val="00C6310D"/>
    <w:rsid w:val="00C81BEB"/>
    <w:rsid w:val="00D00A6A"/>
    <w:rsid w:val="00D02451"/>
    <w:rsid w:val="00D1564D"/>
    <w:rsid w:val="00D15DD5"/>
    <w:rsid w:val="00E15D12"/>
    <w:rsid w:val="00F7434C"/>
    <w:rsid w:val="00F77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86E8B85"/>
  <w15:chartTrackingRefBased/>
  <w15:docId w15:val="{48F446EA-7D42-4FD9-9957-F309C84E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A32326"/>
    <w:pPr>
      <w:tabs>
        <w:tab w:val="center" w:pos="4153"/>
        <w:tab w:val="right" w:pos="8306"/>
      </w:tabs>
    </w:pPr>
  </w:style>
  <w:style w:type="paragraph" w:customStyle="1" w:styleId="a6">
    <w:name w:val="כותרת נדון"/>
    <w:basedOn w:val="a"/>
    <w:rPr>
      <w:bCs/>
      <w:szCs w:val="26"/>
      <w:u w:val="single"/>
    </w:rPr>
  </w:style>
  <w:style w:type="paragraph" w:customStyle="1" w:styleId="a7">
    <w:name w:val="מדינת ישראל"/>
    <w:basedOn w:val="a"/>
    <w:pPr>
      <w:jc w:val="center"/>
    </w:pPr>
    <w:rPr>
      <w:b/>
      <w:bCs/>
      <w:szCs w:val="28"/>
    </w:rPr>
  </w:style>
  <w:style w:type="character" w:customStyle="1" w:styleId="a5">
    <w:name w:val="כותרת עליונה תו"/>
    <w:link w:val="a4"/>
    <w:uiPriority w:val="99"/>
    <w:rsid w:val="00A32326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A32326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A32326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0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568</Words>
  <Characters>2840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5</cp:revision>
  <cp:lastPrinted>1899-12-31T22:00:00Z</cp:lastPrinted>
  <dcterms:created xsi:type="dcterms:W3CDTF">2026-04-28T11:21:00Z</dcterms:created>
  <dcterms:modified xsi:type="dcterms:W3CDTF">2026-04-29T06:35:00Z</dcterms:modified>
</cp:coreProperties>
</file>