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43A6" w14:textId="77777777" w:rsidR="00B910C3" w:rsidRDefault="00B910C3">
      <w:pPr>
        <w:pStyle w:val="a"/>
        <w:rPr>
          <w:rtl/>
        </w:rPr>
      </w:pPr>
    </w:p>
    <w:p w14:paraId="21030D8D" w14:textId="77777777" w:rsidR="00B910C3" w:rsidRDefault="00B910C3">
      <w:pPr>
        <w:pStyle w:val="a"/>
        <w:rPr>
          <w:rtl/>
        </w:rPr>
      </w:pPr>
      <w:r>
        <w:rPr>
          <w:rtl/>
        </w:rPr>
        <w:t>מדינת ישראל</w:t>
      </w:r>
    </w:p>
    <w:p w14:paraId="0D2B9053" w14:textId="77777777" w:rsidR="00B910C3" w:rsidRPr="00806779" w:rsidRDefault="00B910C3">
      <w:pPr>
        <w:pStyle w:val="a"/>
        <w:rPr>
          <w:rFonts w:cs="FrankRuehl"/>
          <w:sz w:val="26"/>
          <w:szCs w:val="26"/>
          <w:rtl/>
        </w:rPr>
      </w:pPr>
      <w:r>
        <w:rPr>
          <w:rtl/>
        </w:rPr>
        <w:t xml:space="preserve">האוצר </w:t>
      </w:r>
      <w:r w:rsidRPr="00806779">
        <w:rPr>
          <w:rFonts w:cs="FrankRuehl"/>
          <w:sz w:val="26"/>
          <w:szCs w:val="26"/>
          <w:rtl/>
        </w:rPr>
        <w:t>- אגף התקציבים</w:t>
      </w:r>
    </w:p>
    <w:p w14:paraId="5B4C792C" w14:textId="77777777" w:rsidR="00B910C3" w:rsidRPr="00806779" w:rsidRDefault="00B910C3">
      <w:pPr>
        <w:rPr>
          <w:rFonts w:cs="FrankRuehl"/>
          <w:sz w:val="26"/>
          <w:szCs w:val="26"/>
          <w:rtl/>
        </w:rPr>
      </w:pPr>
    </w:p>
    <w:p w14:paraId="1FD16F98" w14:textId="77777777" w:rsidR="00B910C3" w:rsidRPr="00806779" w:rsidRDefault="00B910C3">
      <w:pPr>
        <w:tabs>
          <w:tab w:val="left" w:pos="6441"/>
        </w:tabs>
        <w:rPr>
          <w:rFonts w:cs="FrankRuehl"/>
          <w:sz w:val="26"/>
          <w:szCs w:val="26"/>
          <w:rtl/>
        </w:rPr>
      </w:pPr>
    </w:p>
    <w:p w14:paraId="40B2CF31" w14:textId="43368AC6" w:rsidR="00B910C3" w:rsidRPr="00806779" w:rsidRDefault="00B910C3">
      <w:pPr>
        <w:tabs>
          <w:tab w:val="left" w:pos="6158"/>
        </w:tabs>
        <w:rPr>
          <w:rFonts w:cs="FrankRuehl"/>
          <w:sz w:val="26"/>
          <w:szCs w:val="26"/>
          <w:rtl/>
        </w:rPr>
      </w:pPr>
      <w:r w:rsidRPr="00806779">
        <w:rPr>
          <w:rFonts w:cs="FrankRuehl"/>
          <w:sz w:val="26"/>
          <w:szCs w:val="26"/>
          <w:rtl/>
        </w:rPr>
        <w:tab/>
      </w:r>
      <w:bookmarkStart w:id="0" w:name="TAKZIV8"/>
      <w:r w:rsidR="00970207">
        <w:rPr>
          <w:rFonts w:cs="FrankRuehl"/>
          <w:sz w:val="26"/>
          <w:szCs w:val="26"/>
          <w:rtl/>
        </w:rPr>
        <w:t>תקציב רגיל</w:t>
      </w:r>
      <w:bookmarkEnd w:id="0"/>
    </w:p>
    <w:p w14:paraId="26C374C0"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3362BD72" w14:textId="77777777" w:rsidR="00B910C3" w:rsidRPr="00806779" w:rsidRDefault="00B910C3">
      <w:pPr>
        <w:tabs>
          <w:tab w:val="left" w:pos="6158"/>
        </w:tabs>
        <w:rPr>
          <w:rFonts w:cs="FrankRuehl"/>
          <w:sz w:val="26"/>
          <w:szCs w:val="26"/>
          <w:rtl/>
        </w:rPr>
      </w:pPr>
      <w:r w:rsidRPr="00806779">
        <w:rPr>
          <w:rFonts w:cs="FrankRuehl"/>
          <w:sz w:val="26"/>
          <w:szCs w:val="26"/>
          <w:rtl/>
        </w:rPr>
        <w:tab/>
        <w:t xml:space="preserve">ירושלים, </w:t>
      </w:r>
      <w:bookmarkStart w:id="1" w:name="TAKZIV9"/>
      <w:bookmarkEnd w:id="1"/>
    </w:p>
    <w:p w14:paraId="6E0A9421" w14:textId="1C29D543" w:rsidR="00B910C3" w:rsidRPr="00806779" w:rsidRDefault="00B910C3">
      <w:pPr>
        <w:tabs>
          <w:tab w:val="left" w:pos="6158"/>
        </w:tabs>
        <w:rPr>
          <w:rFonts w:cs="FrankRuehl"/>
          <w:sz w:val="26"/>
          <w:szCs w:val="26"/>
          <w:rtl/>
        </w:rPr>
      </w:pPr>
      <w:r w:rsidRPr="00806779">
        <w:rPr>
          <w:rFonts w:cs="FrankRuehl"/>
          <w:sz w:val="26"/>
          <w:szCs w:val="26"/>
          <w:rtl/>
        </w:rPr>
        <w:tab/>
        <w:t xml:space="preserve">בקשה מספר: </w:t>
      </w:r>
      <w:bookmarkStart w:id="2" w:name="TAKZIV4"/>
      <w:r w:rsidR="00970207">
        <w:rPr>
          <w:rFonts w:cs="FrankRuehl"/>
          <w:sz w:val="26"/>
          <w:szCs w:val="26"/>
          <w:rtl/>
        </w:rPr>
        <w:t>201</w:t>
      </w:r>
      <w:bookmarkEnd w:id="2"/>
      <w:r w:rsidRPr="00806779">
        <w:rPr>
          <w:rFonts w:cs="FrankRuehl"/>
          <w:sz w:val="26"/>
          <w:szCs w:val="26"/>
          <w:rtl/>
        </w:rPr>
        <w:t xml:space="preserve"> - </w:t>
      </w:r>
      <w:bookmarkStart w:id="3" w:name="TAKZIV3"/>
      <w:r w:rsidR="00970207">
        <w:rPr>
          <w:rFonts w:cs="FrankRuehl"/>
          <w:sz w:val="26"/>
          <w:szCs w:val="26"/>
          <w:rtl/>
        </w:rPr>
        <w:t>20</w:t>
      </w:r>
      <w:bookmarkEnd w:id="3"/>
      <w:r w:rsidRPr="00806779">
        <w:rPr>
          <w:rFonts w:cs="FrankRuehl"/>
          <w:sz w:val="26"/>
          <w:szCs w:val="26"/>
          <w:rtl/>
        </w:rPr>
        <w:t xml:space="preserve">     </w:t>
      </w:r>
    </w:p>
    <w:p w14:paraId="26E1AE66" w14:textId="1ED63CD3" w:rsidR="00B910C3" w:rsidRPr="00806779" w:rsidRDefault="00B910C3">
      <w:pPr>
        <w:tabs>
          <w:tab w:val="left" w:pos="6158"/>
        </w:tabs>
        <w:rPr>
          <w:rFonts w:cs="FrankRuehl"/>
          <w:sz w:val="26"/>
          <w:szCs w:val="26"/>
          <w:rtl/>
        </w:rPr>
      </w:pPr>
      <w:r w:rsidRPr="00806779">
        <w:rPr>
          <w:rFonts w:cs="FrankRuehl"/>
          <w:sz w:val="26"/>
          <w:szCs w:val="26"/>
          <w:rtl/>
        </w:rPr>
        <w:tab/>
        <w:t xml:space="preserve">מספר פניה </w:t>
      </w:r>
      <w:r w:rsidR="00F364B7" w:rsidRPr="00806779">
        <w:rPr>
          <w:rFonts w:cs="FrankRuehl" w:hint="cs"/>
          <w:sz w:val="26"/>
          <w:szCs w:val="26"/>
          <w:rtl/>
        </w:rPr>
        <w:t>לוועד</w:t>
      </w:r>
      <w:r w:rsidR="00F364B7" w:rsidRPr="00806779">
        <w:rPr>
          <w:rFonts w:cs="FrankRuehl" w:hint="eastAsia"/>
          <w:sz w:val="26"/>
          <w:szCs w:val="26"/>
          <w:rtl/>
        </w:rPr>
        <w:t>ה</w:t>
      </w:r>
      <w:r w:rsidRPr="00806779">
        <w:rPr>
          <w:rFonts w:cs="FrankRuehl"/>
          <w:sz w:val="26"/>
          <w:szCs w:val="26"/>
          <w:rtl/>
        </w:rPr>
        <w:t xml:space="preserve">: </w:t>
      </w:r>
      <w:bookmarkStart w:id="4" w:name="TAKZIV11"/>
      <w:r w:rsidR="00970207">
        <w:rPr>
          <w:rFonts w:cs="FrankRuehl"/>
          <w:sz w:val="26"/>
          <w:szCs w:val="26"/>
          <w:rtl/>
        </w:rPr>
        <w:t>1</w:t>
      </w:r>
      <w:bookmarkEnd w:id="4"/>
    </w:p>
    <w:p w14:paraId="3AEC5500"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1785A197" w14:textId="77777777" w:rsidR="00B910C3" w:rsidRPr="00806779" w:rsidRDefault="00B910C3">
      <w:pPr>
        <w:tabs>
          <w:tab w:val="left" w:pos="6441"/>
        </w:tabs>
        <w:rPr>
          <w:rFonts w:cs="FrankRuehl"/>
          <w:sz w:val="26"/>
          <w:szCs w:val="26"/>
          <w:rtl/>
        </w:rPr>
      </w:pPr>
      <w:r w:rsidRPr="00806779">
        <w:rPr>
          <w:rFonts w:cs="FrankRuehl"/>
          <w:sz w:val="26"/>
          <w:szCs w:val="26"/>
          <w:rtl/>
        </w:rPr>
        <w:t>לכבוד,</w:t>
      </w:r>
    </w:p>
    <w:p w14:paraId="7C94E75B" w14:textId="77777777" w:rsidR="00B910C3" w:rsidRPr="00806779" w:rsidRDefault="00B910C3">
      <w:pPr>
        <w:rPr>
          <w:rFonts w:cs="FrankRuehl"/>
          <w:sz w:val="26"/>
          <w:szCs w:val="26"/>
          <w:rtl/>
        </w:rPr>
      </w:pPr>
      <w:r w:rsidRPr="00806779">
        <w:rPr>
          <w:rFonts w:cs="FrankRuehl"/>
          <w:sz w:val="26"/>
          <w:szCs w:val="26"/>
          <w:rtl/>
        </w:rPr>
        <w:t>יו"ר ועדת הכספים</w:t>
      </w:r>
    </w:p>
    <w:p w14:paraId="777C9587" w14:textId="77777777" w:rsidR="00B910C3" w:rsidRPr="00806779" w:rsidRDefault="00B910C3">
      <w:pPr>
        <w:rPr>
          <w:rFonts w:cs="FrankRuehl"/>
          <w:sz w:val="26"/>
          <w:szCs w:val="26"/>
          <w:rtl/>
        </w:rPr>
      </w:pPr>
      <w:r w:rsidRPr="00806779">
        <w:rPr>
          <w:rFonts w:cs="FrankRuehl"/>
          <w:sz w:val="26"/>
          <w:szCs w:val="26"/>
          <w:rtl/>
        </w:rPr>
        <w:t>של הכנסת</w:t>
      </w:r>
    </w:p>
    <w:p w14:paraId="01814579" w14:textId="77777777" w:rsidR="00B910C3" w:rsidRPr="00806779" w:rsidRDefault="00B910C3">
      <w:pPr>
        <w:rPr>
          <w:rFonts w:cs="FrankRuehl"/>
          <w:sz w:val="26"/>
          <w:szCs w:val="26"/>
          <w:rtl/>
        </w:rPr>
      </w:pPr>
    </w:p>
    <w:p w14:paraId="5752D5F3" w14:textId="77777777" w:rsidR="00B910C3" w:rsidRPr="00806779" w:rsidRDefault="00B910C3">
      <w:pPr>
        <w:rPr>
          <w:rFonts w:cs="FrankRuehl"/>
          <w:sz w:val="26"/>
          <w:szCs w:val="26"/>
          <w:rtl/>
        </w:rPr>
      </w:pPr>
      <w:r w:rsidRPr="00806779">
        <w:rPr>
          <w:rFonts w:cs="FrankRuehl"/>
          <w:sz w:val="26"/>
          <w:szCs w:val="26"/>
          <w:rtl/>
        </w:rPr>
        <w:t>א.נ.,</w:t>
      </w:r>
    </w:p>
    <w:p w14:paraId="1FE69E74" w14:textId="77777777" w:rsidR="00B910C3" w:rsidRPr="00806779" w:rsidRDefault="00B910C3">
      <w:pPr>
        <w:rPr>
          <w:rFonts w:cs="FrankRuehl"/>
          <w:sz w:val="26"/>
          <w:szCs w:val="26"/>
          <w:rtl/>
        </w:rPr>
      </w:pPr>
    </w:p>
    <w:p w14:paraId="6D59788B" w14:textId="6752041B" w:rsidR="00B910C3" w:rsidRPr="00806779" w:rsidRDefault="00B910C3">
      <w:pPr>
        <w:pStyle w:val="a0"/>
        <w:rPr>
          <w:rFonts w:cs="FrankRuehl"/>
          <w:sz w:val="26"/>
          <w:rtl/>
        </w:rPr>
      </w:pPr>
      <w:r w:rsidRPr="00806779">
        <w:rPr>
          <w:rFonts w:cs="FrankRuehl"/>
          <w:bCs w:val="0"/>
          <w:sz w:val="26"/>
          <w:u w:val="none"/>
          <w:rtl/>
        </w:rPr>
        <w:t xml:space="preserve">הנדון: </w:t>
      </w:r>
      <w:r w:rsidRPr="00806779">
        <w:rPr>
          <w:rFonts w:cs="FrankRuehl"/>
          <w:bCs w:val="0"/>
          <w:sz w:val="26"/>
          <w:rtl/>
        </w:rPr>
        <w:t>שינויים בתקציב לשנת</w:t>
      </w:r>
      <w:r w:rsidRPr="00806779">
        <w:rPr>
          <w:rFonts w:cs="FrankRuehl"/>
          <w:sz w:val="26"/>
          <w:rtl/>
        </w:rPr>
        <w:t xml:space="preserve"> </w:t>
      </w:r>
      <w:bookmarkStart w:id="5" w:name="TAKZIV1"/>
      <w:r w:rsidR="00970207">
        <w:rPr>
          <w:rFonts w:cs="FrankRuehl"/>
          <w:sz w:val="26"/>
          <w:rtl/>
        </w:rPr>
        <w:t>2026</w:t>
      </w:r>
      <w:bookmarkEnd w:id="5"/>
      <w:r w:rsidRPr="00806779">
        <w:rPr>
          <w:rFonts w:cs="FrankRuehl"/>
          <w:sz w:val="26"/>
          <w:rtl/>
        </w:rPr>
        <w:t xml:space="preserve">    </w:t>
      </w:r>
    </w:p>
    <w:p w14:paraId="1C725360" w14:textId="77777777" w:rsidR="00B910C3" w:rsidRPr="00806779" w:rsidRDefault="00B910C3">
      <w:pPr>
        <w:rPr>
          <w:rFonts w:cs="FrankRuehl"/>
          <w:sz w:val="26"/>
          <w:szCs w:val="26"/>
          <w:rtl/>
        </w:rPr>
      </w:pPr>
    </w:p>
    <w:p w14:paraId="25841D3F" w14:textId="66C42F6A" w:rsidR="00B910C3" w:rsidRPr="00806779" w:rsidRDefault="00B910C3" w:rsidP="00B81C80">
      <w:pPr>
        <w:jc w:val="both"/>
        <w:rPr>
          <w:rFonts w:cs="FrankRuehl"/>
          <w:sz w:val="26"/>
          <w:szCs w:val="26"/>
          <w:rtl/>
        </w:rPr>
      </w:pPr>
      <w:r w:rsidRPr="00806779">
        <w:rPr>
          <w:rFonts w:cs="FrankRuehl"/>
          <w:sz w:val="26"/>
          <w:szCs w:val="26"/>
          <w:rtl/>
        </w:rPr>
        <w:t xml:space="preserve">שר </w:t>
      </w:r>
      <w:r w:rsidR="00B81C80">
        <w:rPr>
          <w:rFonts w:cs="FrankRuehl" w:hint="cs"/>
          <w:sz w:val="26"/>
          <w:szCs w:val="26"/>
          <w:rtl/>
        </w:rPr>
        <w:t xml:space="preserve">החינוך </w:t>
      </w:r>
      <w:r w:rsidRPr="00806779">
        <w:rPr>
          <w:rFonts w:cs="FrankRuehl"/>
          <w:sz w:val="26"/>
          <w:szCs w:val="26"/>
          <w:rtl/>
        </w:rPr>
        <w:t>מציע שינויים בתקציב משרדו, ושר האוצר מבקש אישורה של ועדת הכספים של הכנסת על כך, בהתאם לסעיף 11 לחוק יסודות התקציב התשמ"ה - 1985,</w:t>
      </w:r>
      <w:r w:rsidR="00B81C80">
        <w:rPr>
          <w:rFonts w:cs="FrankRuehl" w:hint="cs"/>
          <w:sz w:val="26"/>
          <w:szCs w:val="26"/>
          <w:rtl/>
        </w:rPr>
        <w:t xml:space="preserve"> </w:t>
      </w:r>
      <w:r w:rsidRPr="00806779">
        <w:rPr>
          <w:rFonts w:cs="FrankRuehl"/>
          <w:sz w:val="26"/>
          <w:szCs w:val="26"/>
          <w:rtl/>
        </w:rPr>
        <w:t>כמפורט בתדפיס המצורף בזה.</w:t>
      </w:r>
    </w:p>
    <w:p w14:paraId="5862B873" w14:textId="77777777" w:rsidR="00B910C3" w:rsidRPr="00806779" w:rsidRDefault="00B910C3" w:rsidP="00B81C80">
      <w:pPr>
        <w:jc w:val="both"/>
        <w:rPr>
          <w:rFonts w:cs="FrankRuehl"/>
          <w:sz w:val="26"/>
          <w:szCs w:val="26"/>
          <w:rtl/>
        </w:rPr>
      </w:pPr>
    </w:p>
    <w:p w14:paraId="497791A9" w14:textId="77777777" w:rsidR="0044447D" w:rsidRDefault="0044447D" w:rsidP="0044447D">
      <w:pPr>
        <w:jc w:val="both"/>
        <w:rPr>
          <w:rFonts w:ascii="FrankRuehl" w:hAnsi="FrankRuehl" w:cs="FrankRuehl"/>
          <w:sz w:val="26"/>
          <w:szCs w:val="26"/>
        </w:rPr>
      </w:pPr>
      <w:bookmarkStart w:id="6" w:name="_GoBack"/>
      <w:bookmarkEnd w:id="6"/>
      <w:r>
        <w:rPr>
          <w:rFonts w:ascii="FrankRuehl" w:hAnsi="FrankRuehl" w:cs="FrankRuehl"/>
          <w:b/>
          <w:bCs/>
          <w:sz w:val="26"/>
          <w:szCs w:val="26"/>
          <w:rtl/>
        </w:rPr>
        <w:t xml:space="preserve">הבקשה דנה בסעיף תקציבי: </w:t>
      </w:r>
      <w:r>
        <w:rPr>
          <w:rFonts w:ascii="FrankRuehl" w:hAnsi="FrankRuehl" w:cs="FrankRuehl"/>
          <w:sz w:val="26"/>
          <w:szCs w:val="26"/>
          <w:rtl/>
        </w:rPr>
        <w:t>20 – משרד החינוך</w:t>
      </w:r>
    </w:p>
    <w:p w14:paraId="0B1BD2F8" w14:textId="77777777" w:rsidR="0044447D" w:rsidRDefault="0044447D" w:rsidP="0044447D">
      <w:pPr>
        <w:jc w:val="both"/>
        <w:rPr>
          <w:rFonts w:ascii="FrankRuehl" w:hAnsi="FrankRuehl" w:cs="FrankRuehl"/>
          <w:sz w:val="26"/>
          <w:szCs w:val="26"/>
          <w:rtl/>
        </w:rPr>
      </w:pPr>
    </w:p>
    <w:p w14:paraId="45792E03" w14:textId="77777777" w:rsidR="0044447D" w:rsidRDefault="0044447D" w:rsidP="0044447D">
      <w:pPr>
        <w:jc w:val="both"/>
        <w:rPr>
          <w:rFonts w:ascii="FrankRuehl" w:hAnsi="FrankRuehl" w:cs="FrankRuehl"/>
          <w:b/>
          <w:bCs/>
          <w:sz w:val="26"/>
          <w:szCs w:val="26"/>
          <w:rtl/>
        </w:rPr>
      </w:pPr>
      <w:r>
        <w:rPr>
          <w:rFonts w:ascii="FrankRuehl" w:hAnsi="FrankRuehl" w:cs="FrankRuehl"/>
          <w:b/>
          <w:bCs/>
          <w:sz w:val="26"/>
          <w:szCs w:val="26"/>
          <w:rtl/>
        </w:rPr>
        <w:t>עיקרי הפנייה</w:t>
      </w:r>
      <w:r>
        <w:rPr>
          <w:rFonts w:ascii="FrankRuehl" w:hAnsi="FrankRuehl" w:cs="FrankRuehl"/>
          <w:b/>
          <w:bCs/>
          <w:sz w:val="26"/>
          <w:szCs w:val="26"/>
        </w:rPr>
        <w:t>:</w:t>
      </w:r>
    </w:p>
    <w:p w14:paraId="54E71297" w14:textId="77777777" w:rsidR="0044447D" w:rsidRDefault="0044447D" w:rsidP="0044447D">
      <w:pPr>
        <w:jc w:val="both"/>
        <w:rPr>
          <w:rFonts w:ascii="FrankRuehl" w:hAnsi="FrankRuehl" w:cs="FrankRuehl"/>
          <w:sz w:val="26"/>
          <w:szCs w:val="26"/>
        </w:rPr>
      </w:pPr>
      <w:r>
        <w:rPr>
          <w:rFonts w:ascii="FrankRuehl" w:hAnsi="FrankRuehl" w:cs="FrankRuehl"/>
          <w:sz w:val="26"/>
          <w:szCs w:val="26"/>
          <w:rtl/>
        </w:rPr>
        <w:t xml:space="preserve">על פי החלטת בג"ץ 88418-12-25 מיום 25 במרץ 2026 לפיה ועדת הכספים של הכנסת תתכנס לשם דיון בפניה תקציבית הנוגעת לתקציב עליו חל צו הביניים שהוצא ביום 31 בדצמבר 2025 שהקצאתו אינו בגדר מעשה עשוי והועבר בפנייה תקציבית שמספרה 20-013 (מצ"ב) מיום 25 בדצמבר 2025 בסך כולל של 2,658,376 אלפי ש"ח. להלן פניה תקציבית עבור התקציב שאינו בגדר מעשה עשוי על סך של 98,289 אלפי ש"ח בתקציב הוצאה מותנית בהכנסה עבור תקציב התקורה, הסעות ושירותי היקף ברשתות החינוך החרדיות וזאת בהתאם למעבר תוך כדי השנה בין שיטות התקצוב השונות, התוצאתית והנורמטיבית, שעל פיה תקציב רשתות החינוך החרדיות יקבע בהתאם למצבת התלמידים, פרופיל עובדי ההוראה ונוסחאות התקצוב המקובלות במשרד החינוך. </w:t>
      </w:r>
    </w:p>
    <w:p w14:paraId="3FC0FB1B" w14:textId="77777777" w:rsidR="0044447D" w:rsidRDefault="0044447D" w:rsidP="0044447D">
      <w:pPr>
        <w:jc w:val="both"/>
        <w:rPr>
          <w:rFonts w:ascii="FrankRuehl" w:hAnsi="FrankRuehl" w:cs="FrankRuehl"/>
          <w:sz w:val="26"/>
          <w:szCs w:val="26"/>
          <w:rtl/>
        </w:rPr>
      </w:pPr>
    </w:p>
    <w:p w14:paraId="696E02E3" w14:textId="77777777" w:rsidR="0044447D" w:rsidRDefault="0044447D" w:rsidP="0044447D">
      <w:pPr>
        <w:jc w:val="both"/>
        <w:rPr>
          <w:rFonts w:ascii="FrankRuehl" w:hAnsi="FrankRuehl" w:cs="FrankRuehl"/>
          <w:sz w:val="26"/>
          <w:szCs w:val="26"/>
          <w:rtl/>
        </w:rPr>
      </w:pPr>
      <w:r>
        <w:rPr>
          <w:rFonts w:ascii="FrankRuehl" w:hAnsi="FrankRuehl" w:cs="FrankRuehl"/>
          <w:sz w:val="26"/>
          <w:szCs w:val="26"/>
          <w:rtl/>
        </w:rPr>
        <w:t>עיקרי הפנייה בחלוקה לתכניות מובאים להלן:</w:t>
      </w:r>
    </w:p>
    <w:p w14:paraId="3C71B4A1" w14:textId="77777777" w:rsidR="0044447D" w:rsidRDefault="0044447D" w:rsidP="0044447D">
      <w:pPr>
        <w:bidi w:val="0"/>
        <w:jc w:val="right"/>
        <w:rPr>
          <w:rFonts w:ascii="FrankRuehl" w:hAnsi="FrankRuehl" w:cs="FrankRuehl"/>
          <w:b/>
          <w:bCs/>
          <w:sz w:val="26"/>
          <w:szCs w:val="26"/>
          <w:rtl/>
        </w:rPr>
      </w:pPr>
      <w:r>
        <w:rPr>
          <w:rFonts w:ascii="FrankRuehl" w:hAnsi="FrankRuehl" w:cs="FrankRuehl"/>
          <w:b/>
          <w:bCs/>
          <w:sz w:val="26"/>
          <w:szCs w:val="26"/>
          <w:rtl/>
        </w:rPr>
        <w:t>206302 - החינוך העצמאי</w:t>
      </w:r>
    </w:p>
    <w:p w14:paraId="712B491F"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תיאור התכנית:</w:t>
      </w:r>
      <w:r>
        <w:rPr>
          <w:rFonts w:ascii="FrankRuehl" w:hAnsi="FrankRuehl" w:cs="FrankRuehl"/>
          <w:sz w:val="26"/>
          <w:szCs w:val="26"/>
          <w:rtl/>
        </w:rPr>
        <w:t xml:space="preserve"> בהתאם לחוק יסודות התקציב, התמיכה בחינוך העצמאי נעשית באמות מידה שוות למטרות חינוך בלבד ועל פי קריטריונים שווים, ענייניים ואחידים כמו לכלל ילדי ישראל</w:t>
      </w:r>
      <w:r>
        <w:rPr>
          <w:rFonts w:ascii="FrankRuehl" w:hAnsi="FrankRuehl" w:cs="FrankRuehl"/>
          <w:sz w:val="26"/>
          <w:szCs w:val="26"/>
        </w:rPr>
        <w:t>.</w:t>
      </w:r>
      <w:r>
        <w:rPr>
          <w:rFonts w:ascii="FrankRuehl" w:hAnsi="FrankRuehl" w:cs="FrankRuehl"/>
          <w:sz w:val="26"/>
          <w:szCs w:val="26"/>
          <w:rtl/>
        </w:rPr>
        <w:t xml:space="preserve"> התקציב מיועד למימון שעות הלימוד בחינוך העצמאי, בהתאם לשיטת התקצוב הנהוגה בחינוך היסודי</w:t>
      </w:r>
      <w:r>
        <w:rPr>
          <w:rFonts w:ascii="FrankRuehl" w:hAnsi="FrankRuehl" w:cs="FrankRuehl"/>
          <w:sz w:val="26"/>
          <w:szCs w:val="26"/>
        </w:rPr>
        <w:t>.</w:t>
      </w:r>
      <w:r>
        <w:rPr>
          <w:rFonts w:ascii="FrankRuehl" w:hAnsi="FrankRuehl" w:cs="FrankRuehl"/>
          <w:sz w:val="26"/>
          <w:szCs w:val="26"/>
          <w:rtl/>
        </w:rPr>
        <w:t xml:space="preserve"> כמו כן, בתוכנית מתוקצבת תקורת רשת החינוך העצמאי, הסעות תלמידים ומורים ושכר הגמלאים בפנסיה תקציבית. החינוך העצמאי מפוקח על ידי המחוז החרדי</w:t>
      </w:r>
      <w:r>
        <w:rPr>
          <w:rFonts w:ascii="FrankRuehl" w:hAnsi="FrankRuehl" w:cs="FrankRuehl"/>
          <w:sz w:val="26"/>
          <w:szCs w:val="26"/>
        </w:rPr>
        <w:t>.</w:t>
      </w:r>
    </w:p>
    <w:p w14:paraId="24A112CA"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מטרת השינוי:</w:t>
      </w:r>
      <w:r>
        <w:rPr>
          <w:rFonts w:ascii="FrankRuehl" w:hAnsi="FrankRuehl" w:cs="FrankRuehl"/>
          <w:sz w:val="26"/>
          <w:szCs w:val="26"/>
          <w:rtl/>
        </w:rPr>
        <w:t xml:space="preserve"> תקצוב סך של 19,966 אלפי ש"ח בהוצאה מותנית בהכנסה. מתוך הסכום האמור תקצוב סך של 16,168 אלפי ש"ח עבור תקציב התקורה של רשת מרכז החינוך העצמאי אשר נועד להוצאות מטה הרשת לרבות שכר עובדי המטה והוצאות תפעוליות כדוגמת תשלומי שכירות, ארנונה, מים, חשמל והוצאות אחזקה שוטפות וזאת במסגרת שנת התקציב המעורבת אשר כללה שתי שיטות תקצוב שונות, התוצאתית עד לתאריך 31 באוגוסט 2025 והתקצוב הנורמטיבי החל מתאריך 1 בספטמבר 2025. כמו כן, סך של 3,798 אלפי ש"ח בעבור הסעות תלמידים ברשת מרכז החינוך העצמאי וזאת בהתאם למצבת התלמידים הזכאים על פי משרד החינוך לשירותי הסעות אשר מתעדכנת מידי שנה בהתאם למקום מגורי התלמידים ועמידה בכללי הזכאות. הסכומים אינם תוקצבו במלואם בבסיס לאור אי הודאות השררה בעת אישור תקציב המדינה לשנת 2025 לעניין מצבת התלמידים שיהיו זכאים לשירותי הסעות וכן לעניין מודל התקצוב הנורמטיבי שגובש לאורך שנת 2025 וטרם היה ברור בעת בניית התקציב מה יהיה מנגנון ההפעלה של המודל אליו הועברו הרשתות, הן מבחינה טכנית (לעניין מבנה התקציב, לרבות השאלה מאילו תוכניות תקציביות יוקצה התקציב לרשתות במסגרת הנושאים </w:t>
      </w:r>
      <w:r>
        <w:rPr>
          <w:rFonts w:ascii="FrankRuehl" w:hAnsi="FrankRuehl" w:cs="FrankRuehl"/>
          <w:sz w:val="26"/>
          <w:szCs w:val="26"/>
          <w:rtl/>
        </w:rPr>
        <w:lastRenderedPageBreak/>
        <w:t>השונים), והן מבחינה מהותית לעניין גובה התקציב ומועד התחולה. החל ממועד המעבר לשיטת התקצוב הנורמטיבית תקציב התקורה יחושב על פי 6% מתקן הבסיס כהגדרתו בתקנות חינוך ממלכתי (מוסדות מוכרים), תשי"ד- 1953 כאשר בין שנות הלימודים תשפ"ה לתשפ"ו לא חל שינוי במנגנון התקצוב, התעריפים והקריטריונים לעניין זכאות לשירותי הסעות.</w:t>
      </w:r>
    </w:p>
    <w:p w14:paraId="525A91D8" w14:textId="77777777" w:rsidR="0044447D" w:rsidRDefault="0044447D" w:rsidP="0044447D">
      <w:pPr>
        <w:jc w:val="both"/>
        <w:rPr>
          <w:rFonts w:ascii="FrankRuehl" w:hAnsi="FrankRuehl" w:cs="FrankRuehl"/>
          <w:b/>
          <w:bCs/>
          <w:sz w:val="26"/>
          <w:szCs w:val="26"/>
          <w:rtl/>
        </w:rPr>
      </w:pPr>
    </w:p>
    <w:p w14:paraId="7799E9BA" w14:textId="77777777" w:rsidR="0044447D" w:rsidRDefault="0044447D" w:rsidP="0044447D">
      <w:pPr>
        <w:jc w:val="both"/>
        <w:rPr>
          <w:rFonts w:ascii="FrankRuehl" w:hAnsi="FrankRuehl" w:cs="FrankRuehl"/>
          <w:b/>
          <w:bCs/>
          <w:sz w:val="26"/>
          <w:szCs w:val="26"/>
          <w:rtl/>
        </w:rPr>
      </w:pPr>
      <w:r>
        <w:rPr>
          <w:rFonts w:ascii="FrankRuehl" w:hAnsi="FrankRuehl" w:cs="FrankRuehl"/>
          <w:b/>
          <w:bCs/>
          <w:sz w:val="26"/>
          <w:szCs w:val="26"/>
          <w:rtl/>
        </w:rPr>
        <w:t>206303 - מעיין החינוך התורני</w:t>
      </w:r>
    </w:p>
    <w:p w14:paraId="66A871BD" w14:textId="77777777" w:rsidR="0044447D" w:rsidRDefault="0044447D" w:rsidP="0044447D">
      <w:pPr>
        <w:jc w:val="both"/>
        <w:rPr>
          <w:rFonts w:ascii="FrankRuehl" w:hAnsi="FrankRuehl" w:cs="FrankRuehl"/>
          <w:sz w:val="26"/>
          <w:szCs w:val="26"/>
        </w:rPr>
      </w:pPr>
      <w:r>
        <w:rPr>
          <w:rFonts w:ascii="FrankRuehl" w:hAnsi="FrankRuehl" w:cs="FrankRuehl"/>
          <w:b/>
          <w:bCs/>
          <w:sz w:val="26"/>
          <w:szCs w:val="26"/>
          <w:rtl/>
        </w:rPr>
        <w:t>תיאור התכנית:</w:t>
      </w:r>
      <w:r>
        <w:rPr>
          <w:rFonts w:ascii="FrankRuehl" w:hAnsi="FrankRuehl" w:cs="FrankRuehl"/>
          <w:sz w:val="26"/>
          <w:szCs w:val="26"/>
          <w:rtl/>
        </w:rPr>
        <w:t xml:space="preserve"> בהתאם לחוק יסודות התקציב, התמיכה במעיין החינוך התורני נעשית באמות מידה שוות למטרות חינוך בלבד ועל פי קריטריונים שווים, ענייניים ואחידים כמו לכלל ילדי ישראל</w:t>
      </w:r>
      <w:r>
        <w:rPr>
          <w:rFonts w:ascii="FrankRuehl" w:hAnsi="FrankRuehl" w:cs="FrankRuehl"/>
          <w:sz w:val="26"/>
          <w:szCs w:val="26"/>
        </w:rPr>
        <w:t>.</w:t>
      </w:r>
      <w:r>
        <w:rPr>
          <w:rFonts w:ascii="FrankRuehl" w:hAnsi="FrankRuehl" w:cs="FrankRuehl"/>
          <w:sz w:val="26"/>
          <w:szCs w:val="26"/>
          <w:rtl/>
        </w:rPr>
        <w:t xml:space="preserve"> התקציב מיועד למימון שעות הלימוד במעיין החינוך התורני, בהתאם לשיטת התקצוב הנהוגה בחינוך היסודי</w:t>
      </w:r>
      <w:r>
        <w:rPr>
          <w:rFonts w:ascii="FrankRuehl" w:hAnsi="FrankRuehl" w:cs="FrankRuehl"/>
          <w:sz w:val="26"/>
          <w:szCs w:val="26"/>
        </w:rPr>
        <w:t>.</w:t>
      </w:r>
      <w:r>
        <w:rPr>
          <w:rFonts w:ascii="FrankRuehl" w:hAnsi="FrankRuehl" w:cs="FrankRuehl"/>
          <w:sz w:val="26"/>
          <w:szCs w:val="26"/>
          <w:rtl/>
        </w:rPr>
        <w:t xml:space="preserve"> כמו כן, בתוכנית מתוקצבת תקורת רשת מעיין החינוך התורני והסעות תלמידים ומורים. מעיין החינוך התורני מפוקח על ידי המחוז החרדי</w:t>
      </w:r>
      <w:r>
        <w:rPr>
          <w:rFonts w:ascii="FrankRuehl" w:hAnsi="FrankRuehl" w:cs="FrankRuehl"/>
          <w:sz w:val="26"/>
          <w:szCs w:val="26"/>
        </w:rPr>
        <w:t>.</w:t>
      </w:r>
    </w:p>
    <w:p w14:paraId="67205286"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מטרת השינוי:</w:t>
      </w:r>
      <w:r>
        <w:rPr>
          <w:rFonts w:ascii="FrankRuehl" w:hAnsi="FrankRuehl" w:cs="FrankRuehl"/>
          <w:sz w:val="26"/>
          <w:szCs w:val="26"/>
          <w:rtl/>
        </w:rPr>
        <w:t xml:space="preserve"> תקצוב סך של 39,080 אלפי ש"ח בהוצאה מותנית בהכנסה. מתוך הסכום האמור תקצוב סך של 23,080 אלפי ש"ח עבור תקציב התקורה של רשת מרכז החינוך העצמאי אשר נועד להוצאות מטה הרשת לרבות שכר עובדי המטה והוצאות תפעוליות כדוגמת תשלומי שכירות, ארנונה, מים, חשמל והוצאות אחזקה שוטפות וזאת במסגרת שנת התקציב המעורבת אשר כללה שתי שיטות תקצוב שונות, התוצאתית עד לתאריך 31 באוגוסט 2025 והתקצוב הנורמטיבי החל מתאריך 1 בספטמבר 2025. כמו כן, סך של 16,000 אלפי ש"ח בעבור הסעות תלמידים ברשת מעיין החינוך התורני וזאת בהתאם למצבת התלמידים הזכאים על פי משרד החינוך לשירותי הסעות אשר מתעדכנת מידי שנה בהתאם למקום מגורי התלמידים ועמידה בכללי הזכאות. הסכומים אינם תוקצבו במלואם בבסיס לאור אי הודאות השררה בעת אישור תקציב המדינה לשנת 2025 לעניין מצבת התלמידים שיהיו זכאים לשירותי הסעות וכן לעניין מודל התקצוב הנורמטיבי שגובש לאורך שנת 2025 וטרם היה ברור בעת בניית התקציב מה יהיה מנגנון ההפעלה של המודל אליו הועברו הרשתות, הן מבחינה טכנית (לעניין מבנה התקציב, לרבות השאלה מאילו תוכניות תקציביות יוקצה התקציב לרשתות במסגרת הנושאים השונים), והן מבחינה מהותית לעניין גובה התקציב ומועד התחולה. החל ממועד המעבר לשיטת התקצוב הנורמטיבית תקציב התקורה יחושב על פי 6% מתקן הבסיס כהגדרתו בתקנות חינוך ממלכתי (מוסדות מוכרים), תשי"ד- 1953 כאשר בין שנות הלימודים תשפ"ה לתשפ"ו לא חל שינוי במנגנון התקצוב, התעריפים והקריטריונים לעניין זכאות לשירותי הסעות.</w:t>
      </w:r>
    </w:p>
    <w:p w14:paraId="5E0AC9FA" w14:textId="77777777" w:rsidR="0044447D" w:rsidRDefault="0044447D" w:rsidP="0044447D">
      <w:pPr>
        <w:jc w:val="both"/>
        <w:rPr>
          <w:rFonts w:ascii="FrankRuehl" w:hAnsi="FrankRuehl" w:cs="FrankRuehl"/>
          <w:b/>
          <w:bCs/>
          <w:sz w:val="26"/>
          <w:szCs w:val="26"/>
          <w:rtl/>
        </w:rPr>
      </w:pPr>
    </w:p>
    <w:p w14:paraId="5EF359DB" w14:textId="77777777" w:rsidR="0044447D" w:rsidRDefault="0044447D" w:rsidP="0044447D">
      <w:pPr>
        <w:jc w:val="both"/>
        <w:rPr>
          <w:rFonts w:ascii="FrankRuehl" w:hAnsi="FrankRuehl" w:cs="FrankRuehl"/>
          <w:b/>
          <w:bCs/>
          <w:sz w:val="26"/>
          <w:szCs w:val="26"/>
          <w:rtl/>
        </w:rPr>
      </w:pPr>
      <w:r>
        <w:rPr>
          <w:rFonts w:ascii="FrankRuehl" w:hAnsi="FrankRuehl" w:cs="FrankRuehl"/>
          <w:b/>
          <w:bCs/>
          <w:sz w:val="26"/>
          <w:szCs w:val="26"/>
          <w:rtl/>
        </w:rPr>
        <w:t>206401 – חטיבה עליונה</w:t>
      </w:r>
    </w:p>
    <w:p w14:paraId="38CAFED3" w14:textId="77777777" w:rsidR="0044447D" w:rsidRDefault="0044447D" w:rsidP="0044447D">
      <w:pPr>
        <w:contextualSpacing/>
        <w:jc w:val="both"/>
        <w:rPr>
          <w:rFonts w:ascii="FrankRuehl" w:hAnsi="FrankRuehl" w:cs="FrankRuehl"/>
          <w:sz w:val="26"/>
          <w:szCs w:val="26"/>
          <w:rtl/>
        </w:rPr>
      </w:pPr>
      <w:r>
        <w:rPr>
          <w:rFonts w:ascii="FrankRuehl" w:hAnsi="FrankRuehl" w:cs="FrankRuehl"/>
          <w:b/>
          <w:bCs/>
          <w:sz w:val="26"/>
          <w:szCs w:val="26"/>
          <w:rtl/>
        </w:rPr>
        <w:t>תיאור התוכנית</w:t>
      </w:r>
      <w:r>
        <w:rPr>
          <w:rFonts w:ascii="FrankRuehl" w:hAnsi="FrankRuehl" w:cs="FrankRuehl"/>
          <w:sz w:val="26"/>
          <w:szCs w:val="26"/>
          <w:rtl/>
        </w:rPr>
        <w:t>: התקציב מיועד למימון שכר הלימוד בחטיבה העליונה. תשלומי שכר הלימוד מיועדים בעיקר לתשלומי שכר המורים על פי פרופיל המורים, לתשלום שכר השרתים, המזכירים, עובדי הסיוע ועובדי אחזקה אחרים וכן לרכישת ציוד והוצאות אחרות. כמו כן התקציב משמש לתמיכה בבתי ספר בפריפריה ולהפעלה ואחזקת מרכזי נוער.</w:t>
      </w:r>
    </w:p>
    <w:p w14:paraId="5E9EBD71"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סך של 4,000 אלפי ש"ח בהוצאה מותנית בהכנסה עבור מימון שירותי היקף במוסדות החינוך העל יסודיים של רשת מעיין החינוך התורני. שירותי ההיקף כוללים הפעלת מוסדות החינוך ובפרט שירותי ניקיון, תחזוקה ושכר העובדים המנהליים. יובהר כי בשנת 2025 תקציב זה הוקצה לתוכנית 206303 ואילו כעת משהושלם המעבר למודל התקצוב הנורמטיבי לרבות ניתוק הרשתות ממערכות התשלומים הממשלתיות ושלד התקציב לשנת 2026 הותאם לכך, ההקצאה נעשית באותם מנגנונים וקריטריונים כביתר החינוך העל יסודי לרבות התכנית התקציבית ממנה מוקצה התקציב שהינה התכנית ממנה מוקצה כלל תקציב שכר הלימודי ואחזקת בתי הספר בחטיבה העליונה.</w:t>
      </w:r>
    </w:p>
    <w:p w14:paraId="0AD67B42" w14:textId="77777777" w:rsidR="0044447D" w:rsidRDefault="0044447D" w:rsidP="0044447D">
      <w:pPr>
        <w:jc w:val="both"/>
        <w:rPr>
          <w:rFonts w:ascii="FrankRuehl" w:hAnsi="FrankRuehl" w:cs="FrankRuehl"/>
          <w:sz w:val="26"/>
          <w:szCs w:val="26"/>
          <w:rtl/>
        </w:rPr>
      </w:pPr>
    </w:p>
    <w:p w14:paraId="61435955" w14:textId="77777777" w:rsidR="0044447D" w:rsidRDefault="0044447D" w:rsidP="0044447D">
      <w:pPr>
        <w:jc w:val="both"/>
        <w:rPr>
          <w:rFonts w:ascii="FrankRuehl" w:hAnsi="FrankRuehl" w:cs="FrankRuehl"/>
          <w:b/>
          <w:bCs/>
          <w:sz w:val="26"/>
          <w:szCs w:val="26"/>
          <w:rtl/>
        </w:rPr>
      </w:pPr>
      <w:r>
        <w:rPr>
          <w:rFonts w:ascii="FrankRuehl" w:hAnsi="FrankRuehl" w:cs="FrankRuehl"/>
          <w:b/>
          <w:bCs/>
          <w:sz w:val="26"/>
          <w:szCs w:val="26"/>
          <w:rtl/>
        </w:rPr>
        <w:t xml:space="preserve">206501 - שירותי עזר, הסעות ומענקים  </w:t>
      </w:r>
    </w:p>
    <w:p w14:paraId="6FC70138"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תיאור התוכנית:</w:t>
      </w:r>
      <w:r>
        <w:rPr>
          <w:rFonts w:ascii="FrankRuehl" w:hAnsi="FrankRuehl" w:cs="FrankRuehl"/>
          <w:sz w:val="26"/>
          <w:szCs w:val="26"/>
          <w:rtl/>
        </w:rPr>
        <w:t xml:space="preserve"> התקציב מיועד למימון השתתפות המדינה בשירותי העזר, מימון השתתפות המדינה בהסעות תלמידים ומורים במערכת החינוך, סיוע תקציבי למועצות האזוריות ברכישת אוטובוסים להסעת תלמידים, מימון השתתפות בשכר דירה למבני חינוך מושכרים, מענקים לפיתוח מתקנים במבני תרבות</w:t>
      </w:r>
      <w:r>
        <w:rPr>
          <w:rFonts w:ascii="FrankRuehl" w:hAnsi="FrankRuehl" w:cs="FrankRuehl"/>
          <w:sz w:val="26"/>
          <w:szCs w:val="26"/>
        </w:rPr>
        <w:t>,</w:t>
      </w:r>
      <w:r>
        <w:rPr>
          <w:rFonts w:ascii="FrankRuehl" w:hAnsi="FrankRuehl" w:cs="FrankRuehl"/>
          <w:sz w:val="26"/>
          <w:szCs w:val="26"/>
          <w:rtl/>
        </w:rPr>
        <w:t xml:space="preserve"> ספורט ונוער, סיוע בהקצבות לגופים שונים בישראל, להקמה ופיתוח מתקני חינוך להכרת הארץ ושמירת הטבע, פיתוח אכסניות נוער ושיפוץ מוסדות חינוך והנגשתם עבור בעלי מוגבלות</w:t>
      </w:r>
      <w:r>
        <w:rPr>
          <w:rFonts w:ascii="FrankRuehl" w:hAnsi="FrankRuehl" w:cs="FrankRuehl"/>
          <w:sz w:val="26"/>
          <w:szCs w:val="26"/>
        </w:rPr>
        <w:t>.</w:t>
      </w:r>
    </w:p>
    <w:p w14:paraId="4086BE66"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 xml:space="preserve">תקצוב סך של 35,243 אלפי ש"ח בהוצאה מותנית בהכנסה עבור מימון שירותי היקף ברשתות החינוך מעיין החינוך התורני ומרכז החינוך העצמאי. שירותי ההיקף כוללים הפעלת מוסדות החינוך ובפרט שירותי ניקיון, תחזוקה ושכר העובדים המנהליים. יובהר כי בשנת 2025 תקציב זה הוקצה לתוכניות 206302 ו-206303 ואילו כעת משהושלם המעבר למודל התקצוב הנורמטיבי לרבות ניתוק הרשתות ממערכות התשלומים הממשלתיות ושלד התקציב לשנת 2026 הותאם לכך, ההקצאה נעשית באותם מנגנונים וקריטריונים כביתר החינוך היסודי לרבות התכנית התקציבית ממנה מוקצה </w:t>
      </w:r>
      <w:r>
        <w:rPr>
          <w:rFonts w:ascii="FrankRuehl" w:hAnsi="FrankRuehl" w:cs="FrankRuehl"/>
          <w:sz w:val="26"/>
          <w:szCs w:val="26"/>
          <w:rtl/>
        </w:rPr>
        <w:lastRenderedPageBreak/>
        <w:t>התקציב אשר משמשת להקצאת תקציבי שירותי ההיקף בכלל מוסדות החינוך היסודיים, הרשמיים והמוכרים כאחד.</w:t>
      </w:r>
    </w:p>
    <w:p w14:paraId="0C432F0B" w14:textId="77777777" w:rsidR="0044447D" w:rsidRDefault="0044447D" w:rsidP="0044447D">
      <w:pPr>
        <w:jc w:val="both"/>
        <w:rPr>
          <w:rFonts w:ascii="FrankRuehl" w:hAnsi="FrankRuehl" w:cs="FrankRuehl"/>
          <w:sz w:val="26"/>
          <w:szCs w:val="26"/>
          <w:rtl/>
        </w:rPr>
      </w:pPr>
    </w:p>
    <w:p w14:paraId="08706043" w14:textId="77777777" w:rsidR="0044447D" w:rsidRDefault="0044447D" w:rsidP="0044447D">
      <w:pPr>
        <w:jc w:val="both"/>
        <w:rPr>
          <w:rFonts w:ascii="FrankRuehl" w:hAnsi="FrankRuehl" w:cs="FrankRuehl"/>
          <w:sz w:val="26"/>
          <w:szCs w:val="26"/>
          <w:rtl/>
        </w:rPr>
      </w:pPr>
      <w:r>
        <w:rPr>
          <w:rFonts w:ascii="FrankRuehl" w:hAnsi="FrankRuehl" w:cs="FrankRuehl"/>
          <w:b/>
          <w:bCs/>
          <w:sz w:val="26"/>
          <w:szCs w:val="26"/>
          <w:rtl/>
        </w:rPr>
        <w:t xml:space="preserve">השפעה על כוח אדם: </w:t>
      </w:r>
      <w:r>
        <w:rPr>
          <w:rFonts w:ascii="FrankRuehl" w:hAnsi="FrankRuehl" w:cs="FrankRuehl"/>
          <w:sz w:val="26"/>
          <w:szCs w:val="26"/>
          <w:rtl/>
        </w:rPr>
        <w:t>אין.</w:t>
      </w:r>
    </w:p>
    <w:p w14:paraId="5A29A4B5" w14:textId="77777777" w:rsidR="0044447D" w:rsidRPr="002D7789" w:rsidRDefault="0044447D" w:rsidP="0044447D">
      <w:pPr>
        <w:rPr>
          <w:rtl/>
        </w:rPr>
      </w:pPr>
    </w:p>
    <w:p w14:paraId="7F648BB5" w14:textId="39AD472C" w:rsidR="00B910C3" w:rsidRPr="00B81C80" w:rsidRDefault="00B910C3" w:rsidP="00B81C80">
      <w:pPr>
        <w:rPr>
          <w:rFonts w:ascii="Franklin Gothic Book" w:hAnsi="Franklin Gothic Book" w:cs="FrankRuehl"/>
          <w:sz w:val="26"/>
          <w:szCs w:val="26"/>
          <w:rtl/>
        </w:rPr>
      </w:pPr>
    </w:p>
    <w:p w14:paraId="4F50A46D" w14:textId="77777777" w:rsidR="00B910C3" w:rsidRPr="00806779" w:rsidRDefault="00B910C3">
      <w:pPr>
        <w:rPr>
          <w:rFonts w:cs="FrankRuehl"/>
          <w:sz w:val="26"/>
          <w:szCs w:val="26"/>
          <w:rtl/>
        </w:rPr>
      </w:pPr>
    </w:p>
    <w:p w14:paraId="63C0C53C" w14:textId="77777777" w:rsidR="00B910C3" w:rsidRPr="00806779" w:rsidRDefault="00B910C3">
      <w:pPr>
        <w:rPr>
          <w:rFonts w:cs="FrankRuehl"/>
          <w:sz w:val="26"/>
          <w:szCs w:val="26"/>
          <w:rtl/>
        </w:rPr>
      </w:pPr>
    </w:p>
    <w:p w14:paraId="755B6E41" w14:textId="77777777" w:rsidR="00B910C3" w:rsidRPr="00806779" w:rsidRDefault="00B910C3">
      <w:pPr>
        <w:tabs>
          <w:tab w:val="center" w:pos="6867"/>
        </w:tabs>
        <w:rPr>
          <w:rFonts w:cs="FrankRuehl"/>
          <w:sz w:val="26"/>
          <w:szCs w:val="26"/>
          <w:rtl/>
        </w:rPr>
      </w:pPr>
      <w:r w:rsidRPr="00806779">
        <w:rPr>
          <w:rFonts w:cs="FrankRuehl"/>
          <w:sz w:val="26"/>
          <w:szCs w:val="26"/>
          <w:rtl/>
        </w:rPr>
        <w:tab/>
        <w:t>בכבוד רב,</w:t>
      </w:r>
    </w:p>
    <w:p w14:paraId="4FA19D30" w14:textId="77777777" w:rsidR="00B910C3" w:rsidRDefault="00B910C3">
      <w:pPr>
        <w:tabs>
          <w:tab w:val="center" w:pos="6867"/>
        </w:tabs>
        <w:rPr>
          <w:rFonts w:cs="FrankRuehl"/>
          <w:sz w:val="26"/>
          <w:szCs w:val="26"/>
          <w:rtl/>
        </w:rPr>
      </w:pPr>
    </w:p>
    <w:p w14:paraId="061811BC" w14:textId="77777777" w:rsidR="00884517" w:rsidRPr="00806779" w:rsidRDefault="00884517">
      <w:pPr>
        <w:tabs>
          <w:tab w:val="center" w:pos="6867"/>
        </w:tabs>
        <w:rPr>
          <w:rFonts w:cs="FrankRuehl"/>
          <w:sz w:val="26"/>
          <w:szCs w:val="26"/>
        </w:rPr>
      </w:pPr>
      <w:r>
        <w:rPr>
          <w:rFonts w:cs="FrankRuehl"/>
          <w:sz w:val="26"/>
          <w:szCs w:val="26"/>
          <w:rtl/>
        </w:rPr>
        <w:tab/>
      </w:r>
      <w:bookmarkStart w:id="7" w:name="Sign_Image"/>
      <w:bookmarkEnd w:id="7"/>
    </w:p>
    <w:p w14:paraId="646CFDDC"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4453D356"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5EDF7217" w14:textId="77777777" w:rsidR="00B910C3" w:rsidRPr="00806779" w:rsidRDefault="00B910C3" w:rsidP="00CE636C">
      <w:pPr>
        <w:tabs>
          <w:tab w:val="center" w:pos="6867"/>
        </w:tabs>
        <w:rPr>
          <w:rFonts w:cs="FrankRuehl"/>
          <w:sz w:val="26"/>
          <w:szCs w:val="26"/>
          <w:rtl/>
        </w:rPr>
      </w:pPr>
      <w:r w:rsidRPr="00806779">
        <w:rPr>
          <w:rFonts w:cs="FrankRuehl"/>
          <w:sz w:val="26"/>
          <w:szCs w:val="26"/>
          <w:rtl/>
        </w:rPr>
        <w:tab/>
      </w:r>
    </w:p>
    <w:p w14:paraId="3D28D31E" w14:textId="77777777" w:rsidR="00B910C3" w:rsidRPr="00806779" w:rsidRDefault="00B910C3">
      <w:pPr>
        <w:rPr>
          <w:rFonts w:cs="FrankRuehl"/>
          <w:sz w:val="26"/>
          <w:szCs w:val="26"/>
          <w:rtl/>
        </w:rPr>
      </w:pPr>
      <w:r w:rsidRPr="00806779">
        <w:rPr>
          <w:rFonts w:cs="FrankRuehl"/>
          <w:sz w:val="26"/>
          <w:szCs w:val="26"/>
          <w:rtl/>
        </w:rPr>
        <w:t>העתק:</w:t>
      </w:r>
    </w:p>
    <w:p w14:paraId="6237FBEA" w14:textId="77777777" w:rsidR="00B910C3" w:rsidRPr="00806779" w:rsidRDefault="00B910C3">
      <w:pPr>
        <w:rPr>
          <w:rFonts w:cs="FrankRuehl"/>
          <w:sz w:val="26"/>
          <w:szCs w:val="26"/>
          <w:rtl/>
        </w:rPr>
      </w:pPr>
      <w:r w:rsidRPr="00806779">
        <w:rPr>
          <w:rFonts w:cs="FrankRuehl"/>
          <w:sz w:val="26"/>
          <w:szCs w:val="26"/>
          <w:rtl/>
        </w:rPr>
        <w:t>החשב הכללי</w:t>
      </w:r>
    </w:p>
    <w:p w14:paraId="18C82DEE" w14:textId="77777777" w:rsidR="00B910C3" w:rsidRPr="00806779" w:rsidRDefault="00B910C3">
      <w:pPr>
        <w:rPr>
          <w:rFonts w:cs="FrankRuehl"/>
          <w:sz w:val="26"/>
          <w:szCs w:val="26"/>
          <w:rtl/>
        </w:rPr>
      </w:pPr>
      <w:r w:rsidRPr="00806779">
        <w:rPr>
          <w:rFonts w:cs="FrankRuehl"/>
          <w:sz w:val="26"/>
          <w:szCs w:val="26"/>
          <w:rtl/>
        </w:rPr>
        <w:t>מבקר המדינה (2)</w:t>
      </w:r>
    </w:p>
    <w:p w14:paraId="5296C8D8" w14:textId="77777777" w:rsidR="00B910C3" w:rsidRPr="00806779" w:rsidRDefault="00B910C3">
      <w:pPr>
        <w:rPr>
          <w:rFonts w:cs="FrankRuehl"/>
          <w:sz w:val="26"/>
          <w:szCs w:val="26"/>
          <w:rtl/>
        </w:rPr>
      </w:pPr>
      <w:r w:rsidRPr="00806779">
        <w:rPr>
          <w:rFonts w:cs="FrankRuehl"/>
          <w:sz w:val="26"/>
          <w:szCs w:val="26"/>
          <w:rtl/>
        </w:rPr>
        <w:t>חשב משרד</w:t>
      </w:r>
    </w:p>
    <w:p w14:paraId="014115EF" w14:textId="77777777" w:rsidR="00B81C80" w:rsidRDefault="00970207">
      <w:pPr>
        <w:rPr>
          <w:rFonts w:cs="FrankRuehl"/>
          <w:sz w:val="26"/>
          <w:szCs w:val="26"/>
          <w:rtl/>
        </w:rPr>
      </w:pPr>
      <w:bookmarkStart w:id="8" w:name="TAKZIV22"/>
      <w:r>
        <w:rPr>
          <w:rFonts w:cs="FrankRuehl"/>
          <w:sz w:val="26"/>
          <w:szCs w:val="26"/>
          <w:rtl/>
        </w:rPr>
        <w:t>חשב משרד החינוך והתרבות</w:t>
      </w:r>
      <w:bookmarkEnd w:id="8"/>
    </w:p>
    <w:p w14:paraId="7DA3E7F2" w14:textId="47902DFD" w:rsidR="00B910C3" w:rsidRPr="00806779" w:rsidRDefault="00B910C3">
      <w:pPr>
        <w:rPr>
          <w:rFonts w:cs="FrankRuehl"/>
          <w:sz w:val="26"/>
          <w:szCs w:val="26"/>
          <w:rtl/>
        </w:rPr>
      </w:pPr>
      <w:r w:rsidRPr="00806779">
        <w:rPr>
          <w:rFonts w:cs="FrankRuehl"/>
          <w:sz w:val="26"/>
          <w:szCs w:val="26"/>
          <w:rtl/>
        </w:rPr>
        <w:t xml:space="preserve">קצין תקציבים </w:t>
      </w:r>
      <w:bookmarkStart w:id="9" w:name="TAKZIV6"/>
      <w:r w:rsidR="00970207">
        <w:rPr>
          <w:rFonts w:cs="FrankRuehl"/>
          <w:sz w:val="26"/>
          <w:szCs w:val="26"/>
          <w:rtl/>
        </w:rPr>
        <w:t>משרד החינוך</w:t>
      </w:r>
      <w:bookmarkEnd w:id="9"/>
    </w:p>
    <w:p w14:paraId="14063B2F" w14:textId="3E25979F" w:rsidR="00B910C3" w:rsidRPr="00806779" w:rsidRDefault="00B910C3">
      <w:pPr>
        <w:rPr>
          <w:rFonts w:cs="FrankRuehl"/>
          <w:sz w:val="26"/>
          <w:szCs w:val="26"/>
          <w:rtl/>
        </w:rPr>
      </w:pPr>
      <w:r w:rsidRPr="00806779">
        <w:rPr>
          <w:rFonts w:cs="FrankRuehl"/>
          <w:sz w:val="26"/>
          <w:szCs w:val="26"/>
          <w:rtl/>
        </w:rPr>
        <w:t xml:space="preserve">רפרנט </w:t>
      </w:r>
      <w:bookmarkStart w:id="10" w:name="TAKZIV6_1"/>
      <w:r w:rsidR="00970207">
        <w:rPr>
          <w:rFonts w:cs="FrankRuehl"/>
          <w:sz w:val="26"/>
          <w:szCs w:val="26"/>
          <w:rtl/>
        </w:rPr>
        <w:t>משרד החינוך</w:t>
      </w:r>
      <w:bookmarkEnd w:id="10"/>
    </w:p>
    <w:p w14:paraId="4E192EC0" w14:textId="77777777" w:rsidR="00B910C3" w:rsidRPr="00806779" w:rsidRDefault="00B910C3">
      <w:pPr>
        <w:rPr>
          <w:rFonts w:cs="FrankRuehl"/>
          <w:sz w:val="26"/>
          <w:szCs w:val="26"/>
          <w:rtl/>
        </w:rPr>
      </w:pPr>
      <w:bookmarkStart w:id="11" w:name="TAKZIV23"/>
      <w:bookmarkEnd w:id="11"/>
    </w:p>
    <w:p w14:paraId="38F32F31" w14:textId="77777777" w:rsidR="00B81C80" w:rsidRDefault="00B81C80" w:rsidP="00B81C80">
      <w:pPr>
        <w:rPr>
          <w:rFonts w:ascii="Franklin Gothic Book" w:hAnsi="Franklin Gothic Book" w:cs="FrankRuehl"/>
          <w:rtl/>
        </w:rPr>
      </w:pPr>
    </w:p>
    <w:p w14:paraId="64663B93" w14:textId="77777777" w:rsidR="00B81C80" w:rsidRDefault="00B81C80" w:rsidP="00B81C80">
      <w:pPr>
        <w:rPr>
          <w:rFonts w:ascii="Franklin Gothic Book" w:hAnsi="Franklin Gothic Book" w:cs="FrankRuehl"/>
          <w:rtl/>
        </w:rPr>
      </w:pPr>
    </w:p>
    <w:tbl>
      <w:tblPr>
        <w:tblW w:w="5000" w:type="pct"/>
        <w:tblLook w:val="04A0" w:firstRow="1" w:lastRow="0" w:firstColumn="1" w:lastColumn="0" w:noHBand="0" w:noVBand="1"/>
      </w:tblPr>
      <w:tblGrid>
        <w:gridCol w:w="1049"/>
        <w:gridCol w:w="1187"/>
        <w:gridCol w:w="910"/>
        <w:gridCol w:w="910"/>
        <w:gridCol w:w="910"/>
        <w:gridCol w:w="910"/>
        <w:gridCol w:w="910"/>
        <w:gridCol w:w="912"/>
        <w:gridCol w:w="825"/>
      </w:tblGrid>
      <w:tr w:rsidR="00B81C80" w14:paraId="4DFC138A" w14:textId="77777777" w:rsidTr="005B5463">
        <w:trPr>
          <w:trHeight w:val="290"/>
        </w:trPr>
        <w:tc>
          <w:tcPr>
            <w:tcW w:w="4516" w:type="pct"/>
            <w:gridSpan w:val="8"/>
            <w:vAlign w:val="center"/>
            <w:hideMark/>
          </w:tcPr>
          <w:p w14:paraId="4108545D" w14:textId="77777777" w:rsidR="00B81C80" w:rsidRDefault="00B81C80" w:rsidP="005B5463">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מותנית בהכנסה</w:t>
            </w:r>
          </w:p>
        </w:tc>
        <w:tc>
          <w:tcPr>
            <w:tcW w:w="484" w:type="pct"/>
            <w:noWrap/>
            <w:vAlign w:val="bottom"/>
            <w:hideMark/>
          </w:tcPr>
          <w:p w14:paraId="77994514" w14:textId="77777777" w:rsidR="00B81C80" w:rsidRDefault="00B81C80" w:rsidP="005B5463">
            <w:pPr>
              <w:rPr>
                <w:rFonts w:ascii="Calibri" w:hAnsi="Calibri" w:cs="Calibri"/>
                <w:b/>
                <w:bCs/>
                <w:color w:val="000000"/>
                <w:szCs w:val="20"/>
              </w:rPr>
            </w:pPr>
          </w:p>
        </w:tc>
      </w:tr>
      <w:tr w:rsidR="00B81C80" w14:paraId="67B0DC26" w14:textId="77777777" w:rsidTr="005B5463">
        <w:trPr>
          <w:trHeight w:val="290"/>
        </w:trPr>
        <w:tc>
          <w:tcPr>
            <w:tcW w:w="615" w:type="pct"/>
            <w:vAlign w:val="center"/>
            <w:hideMark/>
          </w:tcPr>
          <w:p w14:paraId="5A8677F6" w14:textId="77777777" w:rsidR="00B81C80" w:rsidRDefault="00B81C80" w:rsidP="005B5463">
            <w:pPr>
              <w:bidi w:val="0"/>
              <w:rPr>
                <w:rFonts w:ascii="Calibri" w:hAnsi="Calibri" w:cs="Arial"/>
                <w:szCs w:val="20"/>
                <w:lang w:val="en-IL" w:eastAsia="en-IL"/>
              </w:rPr>
            </w:pPr>
          </w:p>
        </w:tc>
        <w:tc>
          <w:tcPr>
            <w:tcW w:w="696" w:type="pct"/>
            <w:noWrap/>
            <w:vAlign w:val="bottom"/>
            <w:hideMark/>
          </w:tcPr>
          <w:p w14:paraId="73B5089B" w14:textId="77777777" w:rsidR="00B81C80" w:rsidRDefault="00B81C80" w:rsidP="005B5463">
            <w:pPr>
              <w:bidi w:val="0"/>
              <w:rPr>
                <w:rFonts w:ascii="Calibri" w:hAnsi="Calibri" w:cs="Arial"/>
                <w:szCs w:val="20"/>
                <w:lang w:val="en-IL" w:eastAsia="en-IL"/>
              </w:rPr>
            </w:pPr>
          </w:p>
        </w:tc>
        <w:tc>
          <w:tcPr>
            <w:tcW w:w="534" w:type="pct"/>
            <w:noWrap/>
            <w:vAlign w:val="bottom"/>
            <w:hideMark/>
          </w:tcPr>
          <w:p w14:paraId="03182643" w14:textId="77777777" w:rsidR="00B81C80" w:rsidRDefault="00B81C80" w:rsidP="005B5463">
            <w:pPr>
              <w:bidi w:val="0"/>
              <w:rPr>
                <w:rFonts w:ascii="Calibri" w:hAnsi="Calibri" w:cs="Arial"/>
                <w:szCs w:val="20"/>
                <w:lang w:val="en-IL" w:eastAsia="en-IL"/>
              </w:rPr>
            </w:pPr>
          </w:p>
        </w:tc>
        <w:tc>
          <w:tcPr>
            <w:tcW w:w="534" w:type="pct"/>
            <w:noWrap/>
            <w:vAlign w:val="bottom"/>
            <w:hideMark/>
          </w:tcPr>
          <w:p w14:paraId="508086DF" w14:textId="77777777" w:rsidR="00B81C80" w:rsidRDefault="00B81C80" w:rsidP="005B5463">
            <w:pPr>
              <w:bidi w:val="0"/>
              <w:rPr>
                <w:rFonts w:ascii="Calibri" w:hAnsi="Calibri" w:cs="Arial"/>
                <w:szCs w:val="20"/>
                <w:lang w:val="en-IL" w:eastAsia="en-IL"/>
              </w:rPr>
            </w:pPr>
          </w:p>
        </w:tc>
        <w:tc>
          <w:tcPr>
            <w:tcW w:w="534" w:type="pct"/>
            <w:noWrap/>
            <w:vAlign w:val="bottom"/>
            <w:hideMark/>
          </w:tcPr>
          <w:p w14:paraId="6DC2EB22" w14:textId="77777777" w:rsidR="00B81C80" w:rsidRDefault="00B81C80" w:rsidP="005B5463">
            <w:pPr>
              <w:bidi w:val="0"/>
              <w:rPr>
                <w:rFonts w:ascii="Calibri" w:hAnsi="Calibri" w:cs="Arial"/>
                <w:szCs w:val="20"/>
                <w:lang w:val="en-IL" w:eastAsia="en-IL"/>
              </w:rPr>
            </w:pPr>
          </w:p>
        </w:tc>
        <w:tc>
          <w:tcPr>
            <w:tcW w:w="534" w:type="pct"/>
            <w:noWrap/>
            <w:vAlign w:val="bottom"/>
            <w:hideMark/>
          </w:tcPr>
          <w:p w14:paraId="69C36B30" w14:textId="77777777" w:rsidR="00B81C80" w:rsidRDefault="00B81C80" w:rsidP="005B5463">
            <w:pPr>
              <w:bidi w:val="0"/>
              <w:rPr>
                <w:rFonts w:ascii="Calibri" w:hAnsi="Calibri" w:cs="Arial"/>
                <w:szCs w:val="20"/>
                <w:lang w:val="en-IL" w:eastAsia="en-IL"/>
              </w:rPr>
            </w:pPr>
          </w:p>
        </w:tc>
        <w:tc>
          <w:tcPr>
            <w:tcW w:w="534" w:type="pct"/>
            <w:noWrap/>
            <w:vAlign w:val="bottom"/>
            <w:hideMark/>
          </w:tcPr>
          <w:p w14:paraId="08F409C0" w14:textId="77777777" w:rsidR="00B81C80" w:rsidRDefault="00B81C80" w:rsidP="005B5463">
            <w:pPr>
              <w:bidi w:val="0"/>
              <w:rPr>
                <w:rFonts w:ascii="Calibri" w:hAnsi="Calibri" w:cs="Arial"/>
                <w:szCs w:val="20"/>
                <w:lang w:val="en-IL" w:eastAsia="en-IL"/>
              </w:rPr>
            </w:pPr>
          </w:p>
        </w:tc>
        <w:tc>
          <w:tcPr>
            <w:tcW w:w="534" w:type="pct"/>
            <w:noWrap/>
            <w:vAlign w:val="bottom"/>
            <w:hideMark/>
          </w:tcPr>
          <w:p w14:paraId="1526C127" w14:textId="77777777" w:rsidR="00B81C80" w:rsidRDefault="00B81C80" w:rsidP="005B5463">
            <w:pPr>
              <w:bidi w:val="0"/>
              <w:rPr>
                <w:rFonts w:ascii="Calibri" w:hAnsi="Calibri" w:cs="Arial"/>
                <w:szCs w:val="20"/>
                <w:lang w:val="en-IL" w:eastAsia="en-IL"/>
              </w:rPr>
            </w:pPr>
          </w:p>
        </w:tc>
        <w:tc>
          <w:tcPr>
            <w:tcW w:w="484" w:type="pct"/>
            <w:noWrap/>
            <w:vAlign w:val="bottom"/>
            <w:hideMark/>
          </w:tcPr>
          <w:p w14:paraId="0ACCA3B4" w14:textId="77777777" w:rsidR="00B81C80" w:rsidRDefault="00B81C80" w:rsidP="005B5463">
            <w:pPr>
              <w:bidi w:val="0"/>
              <w:rPr>
                <w:rFonts w:ascii="Calibri" w:hAnsi="Calibri" w:cs="Arial"/>
                <w:szCs w:val="20"/>
                <w:lang w:val="en-IL" w:eastAsia="en-IL"/>
              </w:rPr>
            </w:pPr>
          </w:p>
        </w:tc>
      </w:tr>
      <w:tr w:rsidR="00B81C80" w14:paraId="04A3AB43" w14:textId="77777777" w:rsidTr="005B5463">
        <w:trPr>
          <w:trHeight w:val="420"/>
        </w:trPr>
        <w:tc>
          <w:tcPr>
            <w:tcW w:w="615" w:type="pct"/>
            <w:tcBorders>
              <w:top w:val="single" w:sz="4" w:space="0" w:color="979991"/>
              <w:left w:val="single" w:sz="4" w:space="0" w:color="979991"/>
              <w:bottom w:val="nil"/>
              <w:right w:val="nil"/>
            </w:tcBorders>
            <w:shd w:val="clear" w:color="auto" w:fill="F0F4FA"/>
            <w:vAlign w:val="center"/>
            <w:hideMark/>
          </w:tcPr>
          <w:p w14:paraId="06FA7AA5" w14:textId="77777777" w:rsidR="00B81C80" w:rsidRDefault="00B81C80" w:rsidP="005B5463">
            <w:pPr>
              <w:jc w:val="center"/>
              <w:rPr>
                <w:rFonts w:ascii="Calibri" w:hAnsi="Calibri" w:cs="Calibri"/>
                <w:b/>
                <w:bCs/>
                <w:color w:val="000000"/>
                <w:sz w:val="16"/>
                <w:szCs w:val="16"/>
                <w:lang w:eastAsia="en-US"/>
              </w:rPr>
            </w:pPr>
            <w:r>
              <w:rPr>
                <w:rFonts w:ascii="Calibri" w:hAnsi="Calibri" w:cs="Calibri"/>
                <w:b/>
                <w:bCs/>
                <w:color w:val="000000"/>
                <w:sz w:val="16"/>
                <w:szCs w:val="16"/>
                <w:rtl/>
              </w:rPr>
              <w:t>קוד תוכנית</w:t>
            </w:r>
          </w:p>
        </w:tc>
        <w:tc>
          <w:tcPr>
            <w:tcW w:w="696" w:type="pct"/>
            <w:tcBorders>
              <w:top w:val="single" w:sz="4" w:space="0" w:color="979991"/>
              <w:left w:val="single" w:sz="4" w:space="0" w:color="979991"/>
              <w:bottom w:val="single" w:sz="4" w:space="0" w:color="979991"/>
              <w:right w:val="nil"/>
            </w:tcBorders>
            <w:shd w:val="clear" w:color="auto" w:fill="F0F4FA"/>
            <w:vAlign w:val="center"/>
            <w:hideMark/>
          </w:tcPr>
          <w:p w14:paraId="523FC170" w14:textId="77777777" w:rsidR="00B81C80" w:rsidRDefault="00B81C80" w:rsidP="005B5463">
            <w:pPr>
              <w:jc w:val="center"/>
              <w:rPr>
                <w:rFonts w:ascii="Calibri" w:hAnsi="Calibri" w:cs="Calibri"/>
                <w:b/>
                <w:bCs/>
                <w:color w:val="000000"/>
                <w:sz w:val="16"/>
                <w:szCs w:val="16"/>
              </w:rPr>
            </w:pPr>
            <w:r>
              <w:rPr>
                <w:rFonts w:ascii="Calibri" w:hAnsi="Calibri" w:cs="Calibri"/>
                <w:b/>
                <w:bCs/>
                <w:color w:val="000000"/>
                <w:sz w:val="16"/>
                <w:szCs w:val="16"/>
                <w:rtl/>
              </w:rPr>
              <w:t>השינוי התקציבי המוצע בפנייה זו</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72ECDA0C"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037601F0"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6135062A"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4A3A5904"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3B75CD8A"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315AEDDE"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84"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864231C" w14:textId="77777777" w:rsidR="00B81C80" w:rsidRDefault="00B81C80" w:rsidP="005B5463">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81C80" w14:paraId="08635304" w14:textId="77777777" w:rsidTr="005B5463">
        <w:trPr>
          <w:trHeight w:val="290"/>
        </w:trPr>
        <w:tc>
          <w:tcPr>
            <w:tcW w:w="615" w:type="pct"/>
            <w:tcBorders>
              <w:top w:val="single" w:sz="4" w:space="0" w:color="979991"/>
              <w:left w:val="single" w:sz="4" w:space="0" w:color="979991"/>
              <w:bottom w:val="single" w:sz="4" w:space="0" w:color="979991"/>
              <w:right w:val="nil"/>
            </w:tcBorders>
            <w:shd w:val="clear" w:color="auto" w:fill="F0F4FA"/>
            <w:vAlign w:val="center"/>
            <w:hideMark/>
          </w:tcPr>
          <w:p w14:paraId="15EDE4C3" w14:textId="77777777" w:rsidR="00B81C80" w:rsidRDefault="00B81C80" w:rsidP="005B5463">
            <w:pPr>
              <w:bidi w:val="0"/>
              <w:jc w:val="center"/>
              <w:rPr>
                <w:rFonts w:ascii="Calibri" w:hAnsi="Calibri" w:cs="Calibri"/>
                <w:color w:val="000000"/>
                <w:sz w:val="16"/>
                <w:szCs w:val="16"/>
                <w:rtl/>
              </w:rPr>
            </w:pPr>
            <w:r>
              <w:rPr>
                <w:rFonts w:ascii="Calibri" w:hAnsi="Calibri" w:cs="Calibri"/>
                <w:color w:val="000000"/>
                <w:sz w:val="16"/>
                <w:szCs w:val="16"/>
              </w:rPr>
              <w:t>206302</w:t>
            </w:r>
          </w:p>
        </w:tc>
        <w:tc>
          <w:tcPr>
            <w:tcW w:w="696" w:type="pct"/>
            <w:tcBorders>
              <w:top w:val="nil"/>
              <w:left w:val="single" w:sz="4" w:space="0" w:color="979991"/>
              <w:bottom w:val="single" w:sz="4" w:space="0" w:color="979991"/>
              <w:right w:val="nil"/>
            </w:tcBorders>
            <w:shd w:val="clear" w:color="auto" w:fill="FFFFFF"/>
            <w:vAlign w:val="center"/>
            <w:hideMark/>
          </w:tcPr>
          <w:p w14:paraId="626DC1E3" w14:textId="77777777" w:rsidR="00B81C80" w:rsidRDefault="00B81C80" w:rsidP="005B5463">
            <w:pPr>
              <w:bidi w:val="0"/>
              <w:jc w:val="center"/>
              <w:rPr>
                <w:rFonts w:ascii="Calibri" w:hAnsi="Calibri" w:cs="Calibri"/>
                <w:color w:val="000000"/>
                <w:sz w:val="16"/>
                <w:szCs w:val="16"/>
                <w:rtl/>
              </w:rPr>
            </w:pPr>
            <w:r>
              <w:rPr>
                <w:rFonts w:ascii="Calibri" w:hAnsi="Calibri" w:cs="Calibri"/>
                <w:color w:val="000000"/>
                <w:sz w:val="16"/>
                <w:szCs w:val="16"/>
              </w:rPr>
              <w:t>19,966,000</w:t>
            </w:r>
          </w:p>
        </w:tc>
        <w:tc>
          <w:tcPr>
            <w:tcW w:w="534" w:type="pct"/>
            <w:tcBorders>
              <w:top w:val="nil"/>
              <w:left w:val="single" w:sz="4" w:space="0" w:color="979991"/>
              <w:bottom w:val="single" w:sz="4" w:space="0" w:color="979991"/>
              <w:right w:val="nil"/>
            </w:tcBorders>
            <w:shd w:val="clear" w:color="auto" w:fill="FFFFFF"/>
            <w:vAlign w:val="center"/>
            <w:hideMark/>
          </w:tcPr>
          <w:p w14:paraId="27B41262"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4232092D"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121,929</w:t>
            </w:r>
          </w:p>
        </w:tc>
        <w:tc>
          <w:tcPr>
            <w:tcW w:w="534" w:type="pct"/>
            <w:tcBorders>
              <w:top w:val="nil"/>
              <w:left w:val="single" w:sz="4" w:space="0" w:color="979991"/>
              <w:bottom w:val="single" w:sz="4" w:space="0" w:color="979991"/>
              <w:right w:val="nil"/>
            </w:tcBorders>
            <w:shd w:val="clear" w:color="auto" w:fill="FFFFFF"/>
            <w:vAlign w:val="center"/>
            <w:hideMark/>
          </w:tcPr>
          <w:p w14:paraId="1496D971"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120,000</w:t>
            </w:r>
          </w:p>
        </w:tc>
        <w:tc>
          <w:tcPr>
            <w:tcW w:w="534" w:type="pct"/>
            <w:tcBorders>
              <w:top w:val="nil"/>
              <w:left w:val="single" w:sz="4" w:space="0" w:color="979991"/>
              <w:bottom w:val="single" w:sz="4" w:space="0" w:color="979991"/>
              <w:right w:val="nil"/>
            </w:tcBorders>
            <w:shd w:val="clear" w:color="auto" w:fill="FFFFFF"/>
            <w:vAlign w:val="center"/>
            <w:hideMark/>
          </w:tcPr>
          <w:p w14:paraId="7A209293"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123,000</w:t>
            </w:r>
          </w:p>
        </w:tc>
        <w:tc>
          <w:tcPr>
            <w:tcW w:w="534" w:type="pct"/>
            <w:tcBorders>
              <w:top w:val="nil"/>
              <w:left w:val="single" w:sz="4" w:space="0" w:color="979991"/>
              <w:bottom w:val="single" w:sz="4" w:space="0" w:color="979991"/>
              <w:right w:val="nil"/>
            </w:tcBorders>
            <w:shd w:val="clear" w:color="auto" w:fill="FFFFFF"/>
            <w:vAlign w:val="center"/>
            <w:hideMark/>
          </w:tcPr>
          <w:p w14:paraId="4EA3F907"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0395637A"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1516024F"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r>
      <w:tr w:rsidR="00B81C80" w14:paraId="7E7FCF82" w14:textId="77777777" w:rsidTr="005B5463">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65746A69"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206303</w:t>
            </w:r>
          </w:p>
        </w:tc>
        <w:tc>
          <w:tcPr>
            <w:tcW w:w="696" w:type="pct"/>
            <w:tcBorders>
              <w:top w:val="nil"/>
              <w:left w:val="single" w:sz="4" w:space="0" w:color="979991"/>
              <w:bottom w:val="single" w:sz="4" w:space="0" w:color="979991"/>
              <w:right w:val="nil"/>
            </w:tcBorders>
            <w:shd w:val="clear" w:color="auto" w:fill="FFFFFF"/>
            <w:vAlign w:val="center"/>
            <w:hideMark/>
          </w:tcPr>
          <w:p w14:paraId="3E23338F"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39,080,000</w:t>
            </w:r>
          </w:p>
        </w:tc>
        <w:tc>
          <w:tcPr>
            <w:tcW w:w="534" w:type="pct"/>
            <w:tcBorders>
              <w:top w:val="nil"/>
              <w:left w:val="single" w:sz="4" w:space="0" w:color="979991"/>
              <w:bottom w:val="single" w:sz="4" w:space="0" w:color="979991"/>
              <w:right w:val="nil"/>
            </w:tcBorders>
            <w:shd w:val="clear" w:color="auto" w:fill="FFFFFF"/>
            <w:vAlign w:val="center"/>
            <w:hideMark/>
          </w:tcPr>
          <w:p w14:paraId="677DC0A0"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5E53A57F"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157,200</w:t>
            </w:r>
          </w:p>
        </w:tc>
        <w:tc>
          <w:tcPr>
            <w:tcW w:w="534" w:type="pct"/>
            <w:tcBorders>
              <w:top w:val="nil"/>
              <w:left w:val="single" w:sz="4" w:space="0" w:color="979991"/>
              <w:bottom w:val="single" w:sz="4" w:space="0" w:color="979991"/>
              <w:right w:val="nil"/>
            </w:tcBorders>
            <w:shd w:val="clear" w:color="auto" w:fill="FFFFFF"/>
            <w:vAlign w:val="center"/>
            <w:hideMark/>
          </w:tcPr>
          <w:p w14:paraId="4A00DE24"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157,200</w:t>
            </w:r>
          </w:p>
        </w:tc>
        <w:tc>
          <w:tcPr>
            <w:tcW w:w="534" w:type="pct"/>
            <w:tcBorders>
              <w:top w:val="nil"/>
              <w:left w:val="single" w:sz="4" w:space="0" w:color="979991"/>
              <w:bottom w:val="single" w:sz="4" w:space="0" w:color="979991"/>
              <w:right w:val="nil"/>
            </w:tcBorders>
            <w:shd w:val="clear" w:color="auto" w:fill="FFFFFF"/>
            <w:vAlign w:val="center"/>
            <w:hideMark/>
          </w:tcPr>
          <w:p w14:paraId="1E56DF3A"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182,200</w:t>
            </w:r>
          </w:p>
        </w:tc>
        <w:tc>
          <w:tcPr>
            <w:tcW w:w="534" w:type="pct"/>
            <w:tcBorders>
              <w:top w:val="nil"/>
              <w:left w:val="single" w:sz="4" w:space="0" w:color="979991"/>
              <w:bottom w:val="single" w:sz="4" w:space="0" w:color="979991"/>
              <w:right w:val="nil"/>
            </w:tcBorders>
            <w:shd w:val="clear" w:color="auto" w:fill="FFFFFF"/>
            <w:vAlign w:val="center"/>
            <w:hideMark/>
          </w:tcPr>
          <w:p w14:paraId="05BE66E0"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7,200</w:t>
            </w:r>
          </w:p>
        </w:tc>
        <w:tc>
          <w:tcPr>
            <w:tcW w:w="534" w:type="pct"/>
            <w:tcBorders>
              <w:top w:val="nil"/>
              <w:left w:val="single" w:sz="4" w:space="0" w:color="979991"/>
              <w:bottom w:val="single" w:sz="4" w:space="0" w:color="979991"/>
              <w:right w:val="nil"/>
            </w:tcBorders>
            <w:shd w:val="clear" w:color="auto" w:fill="FFFFFF"/>
            <w:vAlign w:val="center"/>
            <w:hideMark/>
          </w:tcPr>
          <w:p w14:paraId="747D58B1"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8,424</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07C07CC9"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7,200</w:t>
            </w:r>
          </w:p>
        </w:tc>
      </w:tr>
      <w:tr w:rsidR="00B81C80" w14:paraId="635376B8" w14:textId="77777777" w:rsidTr="005B5463">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084899AD"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206401</w:t>
            </w:r>
          </w:p>
        </w:tc>
        <w:tc>
          <w:tcPr>
            <w:tcW w:w="696" w:type="pct"/>
            <w:tcBorders>
              <w:top w:val="nil"/>
              <w:left w:val="single" w:sz="4" w:space="0" w:color="979991"/>
              <w:bottom w:val="single" w:sz="4" w:space="0" w:color="979991"/>
              <w:right w:val="nil"/>
            </w:tcBorders>
            <w:shd w:val="clear" w:color="auto" w:fill="FFFFFF"/>
            <w:vAlign w:val="center"/>
            <w:hideMark/>
          </w:tcPr>
          <w:p w14:paraId="643C479B"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4,000,000</w:t>
            </w:r>
          </w:p>
        </w:tc>
        <w:tc>
          <w:tcPr>
            <w:tcW w:w="534" w:type="pct"/>
            <w:tcBorders>
              <w:top w:val="nil"/>
              <w:left w:val="single" w:sz="4" w:space="0" w:color="979991"/>
              <w:bottom w:val="single" w:sz="4" w:space="0" w:color="979991"/>
              <w:right w:val="nil"/>
            </w:tcBorders>
            <w:shd w:val="clear" w:color="auto" w:fill="FFFFFF"/>
            <w:vAlign w:val="center"/>
            <w:hideMark/>
          </w:tcPr>
          <w:p w14:paraId="7793E344"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7F829F5C"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51288FC5"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1C206271"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216D55C8"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7A808D21"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30B32306"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0</w:t>
            </w:r>
          </w:p>
        </w:tc>
      </w:tr>
      <w:tr w:rsidR="00B81C80" w14:paraId="75037702" w14:textId="77777777" w:rsidTr="005B5463">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13FE4D02"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206501</w:t>
            </w:r>
          </w:p>
        </w:tc>
        <w:tc>
          <w:tcPr>
            <w:tcW w:w="696" w:type="pct"/>
            <w:tcBorders>
              <w:top w:val="nil"/>
              <w:left w:val="single" w:sz="4" w:space="0" w:color="979991"/>
              <w:bottom w:val="single" w:sz="4" w:space="0" w:color="979991"/>
              <w:right w:val="nil"/>
            </w:tcBorders>
            <w:shd w:val="clear" w:color="auto" w:fill="FFFFFF"/>
            <w:vAlign w:val="center"/>
            <w:hideMark/>
          </w:tcPr>
          <w:p w14:paraId="1DDD093D"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35,243,000</w:t>
            </w:r>
          </w:p>
        </w:tc>
        <w:tc>
          <w:tcPr>
            <w:tcW w:w="534" w:type="pct"/>
            <w:tcBorders>
              <w:top w:val="nil"/>
              <w:left w:val="single" w:sz="4" w:space="0" w:color="979991"/>
              <w:bottom w:val="single" w:sz="4" w:space="0" w:color="979991"/>
              <w:right w:val="nil"/>
            </w:tcBorders>
            <w:shd w:val="clear" w:color="auto" w:fill="FFFFFF"/>
            <w:vAlign w:val="center"/>
            <w:hideMark/>
          </w:tcPr>
          <w:p w14:paraId="43B835E3"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1,600</w:t>
            </w:r>
          </w:p>
        </w:tc>
        <w:tc>
          <w:tcPr>
            <w:tcW w:w="534" w:type="pct"/>
            <w:tcBorders>
              <w:top w:val="nil"/>
              <w:left w:val="single" w:sz="4" w:space="0" w:color="979991"/>
              <w:bottom w:val="single" w:sz="4" w:space="0" w:color="979991"/>
              <w:right w:val="nil"/>
            </w:tcBorders>
            <w:shd w:val="clear" w:color="auto" w:fill="FFFFFF"/>
            <w:vAlign w:val="center"/>
            <w:hideMark/>
          </w:tcPr>
          <w:p w14:paraId="0CF81F4F"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2,100</w:t>
            </w:r>
          </w:p>
        </w:tc>
        <w:tc>
          <w:tcPr>
            <w:tcW w:w="534" w:type="pct"/>
            <w:tcBorders>
              <w:top w:val="nil"/>
              <w:left w:val="single" w:sz="4" w:space="0" w:color="979991"/>
              <w:bottom w:val="single" w:sz="4" w:space="0" w:color="979991"/>
              <w:right w:val="nil"/>
            </w:tcBorders>
            <w:shd w:val="clear" w:color="auto" w:fill="FFFFFF"/>
            <w:vAlign w:val="center"/>
            <w:hideMark/>
          </w:tcPr>
          <w:p w14:paraId="25D5C502"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1,600</w:t>
            </w:r>
          </w:p>
        </w:tc>
        <w:tc>
          <w:tcPr>
            <w:tcW w:w="534" w:type="pct"/>
            <w:tcBorders>
              <w:top w:val="nil"/>
              <w:left w:val="single" w:sz="4" w:space="0" w:color="979991"/>
              <w:bottom w:val="single" w:sz="4" w:space="0" w:color="979991"/>
              <w:right w:val="nil"/>
            </w:tcBorders>
            <w:shd w:val="clear" w:color="auto" w:fill="FFFFFF"/>
            <w:vAlign w:val="center"/>
            <w:hideMark/>
          </w:tcPr>
          <w:p w14:paraId="14F3B71E"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2,380</w:t>
            </w:r>
          </w:p>
        </w:tc>
        <w:tc>
          <w:tcPr>
            <w:tcW w:w="534" w:type="pct"/>
            <w:tcBorders>
              <w:top w:val="nil"/>
              <w:left w:val="single" w:sz="4" w:space="0" w:color="979991"/>
              <w:bottom w:val="single" w:sz="4" w:space="0" w:color="979991"/>
              <w:right w:val="nil"/>
            </w:tcBorders>
            <w:shd w:val="clear" w:color="auto" w:fill="FFFFFF"/>
            <w:vAlign w:val="center"/>
            <w:hideMark/>
          </w:tcPr>
          <w:p w14:paraId="64C4C81F"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1,600</w:t>
            </w:r>
          </w:p>
        </w:tc>
        <w:tc>
          <w:tcPr>
            <w:tcW w:w="534" w:type="pct"/>
            <w:tcBorders>
              <w:top w:val="nil"/>
              <w:left w:val="single" w:sz="4" w:space="0" w:color="979991"/>
              <w:bottom w:val="single" w:sz="4" w:space="0" w:color="979991"/>
              <w:right w:val="nil"/>
            </w:tcBorders>
            <w:shd w:val="clear" w:color="auto" w:fill="FFFFFF"/>
            <w:vAlign w:val="center"/>
            <w:hideMark/>
          </w:tcPr>
          <w:p w14:paraId="6C3E3F60"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2,100</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2B123838" w14:textId="77777777" w:rsidR="00B81C80" w:rsidRDefault="00B81C80" w:rsidP="005B5463">
            <w:pPr>
              <w:bidi w:val="0"/>
              <w:jc w:val="center"/>
              <w:rPr>
                <w:rFonts w:ascii="Calibri" w:hAnsi="Calibri" w:cs="Calibri"/>
                <w:color w:val="000000"/>
                <w:sz w:val="16"/>
                <w:szCs w:val="16"/>
              </w:rPr>
            </w:pPr>
            <w:r>
              <w:rPr>
                <w:rFonts w:ascii="Calibri" w:hAnsi="Calibri" w:cs="Calibri"/>
                <w:color w:val="000000"/>
                <w:sz w:val="16"/>
                <w:szCs w:val="16"/>
              </w:rPr>
              <w:t>1,600</w:t>
            </w:r>
          </w:p>
        </w:tc>
      </w:tr>
    </w:tbl>
    <w:p w14:paraId="20F9908C" w14:textId="77777777" w:rsidR="00B81C80" w:rsidRDefault="00B81C80" w:rsidP="00B81C80">
      <w:pPr>
        <w:rPr>
          <w:rFonts w:ascii="Franklin Gothic Book" w:eastAsia="Calibri" w:hAnsi="Franklin Gothic Book" w:cs="FrankRuehl"/>
          <w:sz w:val="24"/>
          <w:lang w:eastAsia="en-US"/>
        </w:rPr>
      </w:pPr>
    </w:p>
    <w:p w14:paraId="372349D3" w14:textId="77777777" w:rsidR="00B910C3" w:rsidRPr="00806779" w:rsidRDefault="00B910C3">
      <w:pPr>
        <w:rPr>
          <w:rFonts w:cs="FrankRuehl"/>
          <w:sz w:val="26"/>
          <w:szCs w:val="26"/>
          <w:rtl/>
        </w:rPr>
      </w:pPr>
    </w:p>
    <w:p w14:paraId="5FD407D4" w14:textId="77777777" w:rsidR="00B910C3" w:rsidRPr="00806779" w:rsidRDefault="00B910C3">
      <w:pPr>
        <w:rPr>
          <w:rFonts w:cs="FrankRuehl"/>
          <w:sz w:val="26"/>
          <w:szCs w:val="26"/>
          <w:rtl/>
        </w:rPr>
      </w:pPr>
      <w:bookmarkStart w:id="12" w:name="TAKZIV25"/>
      <w:bookmarkEnd w:id="12"/>
    </w:p>
    <w:sectPr w:rsidR="00B910C3" w:rsidRPr="00806779" w:rsidSect="0085015F">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5BB9" w14:textId="77777777" w:rsidR="002E2D6A" w:rsidRDefault="002E2D6A" w:rsidP="0085015F">
      <w:r>
        <w:separator/>
      </w:r>
    </w:p>
  </w:endnote>
  <w:endnote w:type="continuationSeparator" w:id="0">
    <w:p w14:paraId="4AD16E9B" w14:textId="77777777" w:rsidR="002E2D6A" w:rsidRDefault="002E2D6A" w:rsidP="0085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Franklin Gothic Book">
    <w:panose1 w:val="020B050302010209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2834" w14:textId="77777777" w:rsidR="00E61D33" w:rsidRDefault="00E61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0A9D" w14:textId="77777777" w:rsidR="00E61D33" w:rsidRDefault="00E61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8B78" w14:textId="77777777" w:rsidR="00E61D33" w:rsidRDefault="00E61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F789" w14:textId="77777777" w:rsidR="002E2D6A" w:rsidRDefault="002E2D6A" w:rsidP="0085015F">
      <w:r>
        <w:separator/>
      </w:r>
    </w:p>
  </w:footnote>
  <w:footnote w:type="continuationSeparator" w:id="0">
    <w:p w14:paraId="5390B8C9" w14:textId="77777777" w:rsidR="002E2D6A" w:rsidRDefault="002E2D6A" w:rsidP="0085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4C74" w14:textId="77777777" w:rsidR="00E61D33" w:rsidRDefault="00E61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B34D" w14:textId="77777777" w:rsidR="0085015F" w:rsidRPr="00CB5FFD" w:rsidRDefault="002E2D6A" w:rsidP="0085015F">
    <w:pPr>
      <w:pStyle w:val="Header"/>
      <w:jc w:val="right"/>
      <w:rPr>
        <w:color w:val="4F81BD"/>
        <w:rtl/>
        <w:cs/>
      </w:rPr>
    </w:pPr>
    <w:r>
      <w:rPr>
        <w:noProof/>
        <w:rtl/>
      </w:rPr>
      <w:pict w14:anchorId="13F2A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9pt;margin-top:-75.8pt;width:594pt;height:75.05pt;z-index:1;mso-position-horizontal-relative:margin;mso-position-vertical-relative:margin">
          <v:imagedata r:id="rId1" o:title="Header"/>
          <w10:wrap type="square" anchorx="margin" anchory="margin"/>
        </v:shape>
      </w:pict>
    </w:r>
  </w:p>
  <w:p w14:paraId="5FBF3DEE" w14:textId="77777777" w:rsidR="0085015F" w:rsidRDefault="0085015F" w:rsidP="0085015F">
    <w:pPr>
      <w:pStyle w:val="Header"/>
    </w:pPr>
  </w:p>
  <w:p w14:paraId="46B7ACB3" w14:textId="77777777" w:rsidR="0085015F" w:rsidRDefault="00850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C8387" w14:textId="77777777" w:rsidR="00E61D33" w:rsidRDefault="00E61D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66E2"/>
    <w:rsid w:val="000006EC"/>
    <w:rsid w:val="00274466"/>
    <w:rsid w:val="00274A96"/>
    <w:rsid w:val="002C3D19"/>
    <w:rsid w:val="002E2D6A"/>
    <w:rsid w:val="00382FA5"/>
    <w:rsid w:val="0044447D"/>
    <w:rsid w:val="0045429E"/>
    <w:rsid w:val="005C2941"/>
    <w:rsid w:val="00705749"/>
    <w:rsid w:val="007106AD"/>
    <w:rsid w:val="007E2EF1"/>
    <w:rsid w:val="00806779"/>
    <w:rsid w:val="0085015F"/>
    <w:rsid w:val="00884517"/>
    <w:rsid w:val="008A5FB5"/>
    <w:rsid w:val="00970207"/>
    <w:rsid w:val="009D70C0"/>
    <w:rsid w:val="00A466E2"/>
    <w:rsid w:val="00B81C80"/>
    <w:rsid w:val="00B910C3"/>
    <w:rsid w:val="00BF6BE2"/>
    <w:rsid w:val="00C80BDE"/>
    <w:rsid w:val="00C823CE"/>
    <w:rsid w:val="00CE636C"/>
    <w:rsid w:val="00E61D33"/>
    <w:rsid w:val="00E97C36"/>
    <w:rsid w:val="00F364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080812BA"/>
  <w15:chartTrackingRefBased/>
  <w15:docId w15:val="{E265AF17-C36A-4338-8300-9E8F63BE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L" w:eastAsia="en-I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bidi/>
      <w:adjustRightInd w:val="0"/>
      <w:textAlignment w:val="baseline"/>
    </w:pPr>
    <w:rPr>
      <w:rFonts w:cs="Narkisim"/>
      <w:szCs w:val="24"/>
      <w:lang w:val="en-US" w:eastAsia="he-IL"/>
    </w:rPr>
  </w:style>
  <w:style w:type="paragraph" w:styleId="Heading1">
    <w:name w:val="heading 1"/>
    <w:basedOn w:val="Normal"/>
    <w:next w:val="Normal"/>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Heading2">
    <w:name w:val="heading 2"/>
    <w:basedOn w:val="Normal"/>
    <w:next w:val="Normal"/>
    <w:qFormat/>
    <w:pPr>
      <w:tabs>
        <w:tab w:val="left" w:pos="276"/>
      </w:tabs>
      <w:spacing w:before="120" w:after="48"/>
      <w:ind w:left="278" w:right="357" w:hanging="2"/>
      <w:outlineLvl w:val="1"/>
    </w:pPr>
    <w:rPr>
      <w:rFonts w:ascii="Arial" w:hAnsi="Arial" w:cs="Guttman Haim-Condensed"/>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numberedinabullet">
    <w:name w:val="normal indent numbered in a bullet"/>
    <w:basedOn w:val="NormalIndent"/>
    <w:pPr>
      <w:tabs>
        <w:tab w:val="left" w:pos="851"/>
        <w:tab w:val="left" w:pos="1418"/>
        <w:tab w:val="left" w:pos="2472"/>
        <w:tab w:val="left" w:pos="4498"/>
        <w:tab w:val="left" w:pos="6796"/>
        <w:tab w:val="left" w:pos="8856"/>
      </w:tabs>
      <w:ind w:left="618" w:right="510" w:hanging="170"/>
    </w:pPr>
  </w:style>
  <w:style w:type="paragraph" w:styleId="NormalIndent">
    <w:name w:val="Normal Indent"/>
    <w:basedOn w:val="Normal"/>
    <w:semiHidden/>
    <w:pPr>
      <w:ind w:left="720"/>
    </w:pPr>
  </w:style>
  <w:style w:type="paragraph" w:customStyle="1" w:styleId="Normalindentnumberindent">
    <w:name w:val="Normal indent number indent"/>
    <w:basedOn w:val="Normal"/>
    <w:pPr>
      <w:tabs>
        <w:tab w:val="left" w:pos="851"/>
        <w:tab w:val="left" w:pos="1418"/>
        <w:tab w:val="left" w:pos="2472"/>
        <w:tab w:val="left" w:pos="4498"/>
        <w:tab w:val="left" w:pos="6796"/>
        <w:tab w:val="left" w:pos="8856"/>
      </w:tabs>
      <w:ind w:left="702" w:right="510" w:hanging="872"/>
    </w:pPr>
  </w:style>
  <w:style w:type="paragraph" w:styleId="Header">
    <w:name w:val="header"/>
    <w:basedOn w:val="Normal"/>
    <w:link w:val="HeaderChar"/>
    <w:uiPriority w:val="99"/>
    <w:unhideWhenUsed/>
    <w:rsid w:val="0085015F"/>
    <w:pPr>
      <w:tabs>
        <w:tab w:val="center" w:pos="4153"/>
        <w:tab w:val="right" w:pos="8306"/>
      </w:tabs>
    </w:pPr>
  </w:style>
  <w:style w:type="paragraph" w:customStyle="1" w:styleId="a">
    <w:name w:val="מדינה ישראל"/>
    <w:basedOn w:val="Normal"/>
    <w:pPr>
      <w:jc w:val="center"/>
    </w:pPr>
    <w:rPr>
      <w:b/>
      <w:bCs/>
      <w:szCs w:val="28"/>
    </w:rPr>
  </w:style>
  <w:style w:type="paragraph" w:customStyle="1" w:styleId="a0">
    <w:name w:val="כותרת נדון"/>
    <w:basedOn w:val="Normal"/>
    <w:rPr>
      <w:bCs/>
      <w:szCs w:val="26"/>
      <w:u w:val="single"/>
    </w:rPr>
  </w:style>
  <w:style w:type="character" w:customStyle="1" w:styleId="HeaderChar">
    <w:name w:val="Header Char"/>
    <w:link w:val="Header"/>
    <w:uiPriority w:val="99"/>
    <w:rsid w:val="0085015F"/>
    <w:rPr>
      <w:rFonts w:cs="Narkisim"/>
      <w:szCs w:val="24"/>
      <w:lang w:eastAsia="he-IL"/>
    </w:rPr>
  </w:style>
  <w:style w:type="paragraph" w:styleId="Footer">
    <w:name w:val="footer"/>
    <w:basedOn w:val="Normal"/>
    <w:link w:val="FooterChar"/>
    <w:uiPriority w:val="99"/>
    <w:unhideWhenUsed/>
    <w:rsid w:val="0085015F"/>
    <w:pPr>
      <w:tabs>
        <w:tab w:val="center" w:pos="4153"/>
        <w:tab w:val="right" w:pos="8306"/>
      </w:tabs>
    </w:pPr>
  </w:style>
  <w:style w:type="character" w:customStyle="1" w:styleId="FooterChar">
    <w:name w:val="Footer Char"/>
    <w:link w:val="Footer"/>
    <w:uiPriority w:val="99"/>
    <w:rsid w:val="0085015F"/>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1057</Words>
  <Characters>6027</Characters>
  <Application>Microsoft Office Word</Application>
  <DocSecurity>0</DocSecurity>
  <Lines>50</Lines>
  <Paragraphs>14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9</cp:revision>
  <cp:lastPrinted>1899-12-31T22:00:00Z</cp:lastPrinted>
  <dcterms:created xsi:type="dcterms:W3CDTF">2026-03-31T18:29:00Z</dcterms:created>
  <dcterms:modified xsi:type="dcterms:W3CDTF">2026-04-01T10:59:00Z</dcterms:modified>
</cp:coreProperties>
</file>