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6903E" w14:textId="77777777" w:rsidR="00436E4E" w:rsidRDefault="00436E4E">
      <w:pPr>
        <w:pStyle w:val="a"/>
        <w:rPr>
          <w:rtl/>
        </w:rPr>
      </w:pPr>
    </w:p>
    <w:p w14:paraId="52085A70" w14:textId="77777777" w:rsidR="00436E4E" w:rsidRDefault="00436E4E">
      <w:pPr>
        <w:pStyle w:val="a"/>
        <w:rPr>
          <w:rtl/>
        </w:rPr>
      </w:pPr>
      <w:r>
        <w:rPr>
          <w:rtl/>
        </w:rPr>
        <w:t>מדינת ישראל</w:t>
      </w:r>
    </w:p>
    <w:p w14:paraId="25825235" w14:textId="77777777" w:rsidR="00436E4E" w:rsidRDefault="00436E4E">
      <w:pPr>
        <w:pStyle w:val="a"/>
        <w:rPr>
          <w:szCs w:val="24"/>
          <w:rtl/>
        </w:rPr>
      </w:pPr>
      <w:r>
        <w:rPr>
          <w:rtl/>
        </w:rPr>
        <w:t>האוצר - אגף התקציבים</w:t>
      </w:r>
    </w:p>
    <w:p w14:paraId="139874BA" w14:textId="77777777" w:rsidR="00436E4E" w:rsidRDefault="00436E4E">
      <w:pPr>
        <w:rPr>
          <w:rtl/>
        </w:rPr>
      </w:pPr>
    </w:p>
    <w:p w14:paraId="5AC2C342" w14:textId="77777777" w:rsidR="00436E4E" w:rsidRDefault="00436E4E">
      <w:pPr>
        <w:rPr>
          <w:rtl/>
        </w:rPr>
      </w:pPr>
    </w:p>
    <w:p w14:paraId="7CC9A3F3" w14:textId="70F368FB" w:rsidR="00436E4E" w:rsidRDefault="00436E4E">
      <w:pPr>
        <w:tabs>
          <w:tab w:val="left" w:pos="6300"/>
        </w:tabs>
        <w:rPr>
          <w:rtl/>
        </w:rPr>
      </w:pPr>
      <w:r>
        <w:rPr>
          <w:rtl/>
        </w:rPr>
        <w:tab/>
      </w:r>
      <w:bookmarkStart w:id="0" w:name="TAKZIV8"/>
      <w:r w:rsidR="00AC2592">
        <w:rPr>
          <w:rtl/>
        </w:rPr>
        <w:t>תקציב רגיל</w:t>
      </w:r>
      <w:bookmarkEnd w:id="0"/>
    </w:p>
    <w:p w14:paraId="5EA38D79" w14:textId="77777777" w:rsidR="00436E4E" w:rsidRDefault="00436E4E">
      <w:pPr>
        <w:tabs>
          <w:tab w:val="left" w:pos="6300"/>
        </w:tabs>
        <w:rPr>
          <w:rtl/>
        </w:rPr>
      </w:pPr>
      <w:r>
        <w:rPr>
          <w:rtl/>
        </w:rPr>
        <w:tab/>
      </w:r>
    </w:p>
    <w:p w14:paraId="43773FE3"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50DAB4A4" w14:textId="5ECCBA54"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AC2592">
        <w:rPr>
          <w:rFonts w:cs="FrankRuehl"/>
          <w:sz w:val="26"/>
          <w:szCs w:val="26"/>
          <w:rtl/>
        </w:rPr>
        <w:t>206</w:t>
      </w:r>
      <w:bookmarkEnd w:id="2"/>
      <w:r w:rsidRPr="002E1D22">
        <w:rPr>
          <w:rFonts w:cs="FrankRuehl"/>
          <w:sz w:val="26"/>
          <w:szCs w:val="26"/>
          <w:rtl/>
        </w:rPr>
        <w:t xml:space="preserve"> </w:t>
      </w:r>
      <w:r w:rsidR="00531838">
        <w:rPr>
          <w:rFonts w:cs="FrankRuehl"/>
          <w:sz w:val="26"/>
          <w:szCs w:val="26"/>
          <w:rtl/>
        </w:rPr>
        <w:t>–</w:t>
      </w:r>
      <w:r w:rsidRPr="002E1D22">
        <w:rPr>
          <w:rFonts w:cs="FrankRuehl"/>
          <w:sz w:val="26"/>
          <w:szCs w:val="26"/>
          <w:rtl/>
        </w:rPr>
        <w:t xml:space="preserve"> </w:t>
      </w:r>
      <w:bookmarkStart w:id="3" w:name="TAKZIV3"/>
      <w:r w:rsidR="00AC2592">
        <w:rPr>
          <w:rFonts w:cs="FrankRuehl"/>
          <w:sz w:val="26"/>
          <w:szCs w:val="26"/>
          <w:rtl/>
        </w:rPr>
        <w:t>19</w:t>
      </w:r>
      <w:bookmarkEnd w:id="3"/>
    </w:p>
    <w:p w14:paraId="27432DCA" w14:textId="1267DC50" w:rsidR="00531838" w:rsidRPr="002E1D22" w:rsidRDefault="00531838" w:rsidP="002E1D22">
      <w:pPr>
        <w:tabs>
          <w:tab w:val="left" w:pos="5755"/>
        </w:tabs>
        <w:rPr>
          <w:rFonts w:cs="FrankRuehl"/>
          <w:sz w:val="26"/>
          <w:szCs w:val="26"/>
          <w:rtl/>
        </w:rPr>
      </w:pPr>
      <w:r>
        <w:rPr>
          <w:rFonts w:cs="FrankRuehl"/>
          <w:sz w:val="26"/>
          <w:szCs w:val="26"/>
          <w:rtl/>
        </w:rPr>
        <w:tab/>
      </w:r>
      <w:r>
        <w:rPr>
          <w:rFonts w:cs="FrankRuehl" w:hint="cs"/>
          <w:sz w:val="26"/>
          <w:szCs w:val="26"/>
          <w:rtl/>
        </w:rPr>
        <w:t>12-208</w:t>
      </w:r>
    </w:p>
    <w:p w14:paraId="7150D4DC" w14:textId="00368972"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5C0DC7" w:rsidRPr="002E1D22">
        <w:rPr>
          <w:rFonts w:cs="FrankRuehl" w:hint="cs"/>
          <w:sz w:val="26"/>
          <w:szCs w:val="26"/>
          <w:rtl/>
        </w:rPr>
        <w:t>לוועד</w:t>
      </w:r>
      <w:r w:rsidR="005C0DC7" w:rsidRPr="002E1D22">
        <w:rPr>
          <w:rFonts w:cs="FrankRuehl" w:hint="eastAsia"/>
          <w:sz w:val="26"/>
          <w:szCs w:val="26"/>
          <w:rtl/>
        </w:rPr>
        <w:t>ה</w:t>
      </w:r>
      <w:r w:rsidRPr="002E1D22">
        <w:rPr>
          <w:rFonts w:cs="FrankRuehl"/>
          <w:sz w:val="26"/>
          <w:szCs w:val="26"/>
          <w:rtl/>
        </w:rPr>
        <w:t xml:space="preserve">: </w:t>
      </w:r>
      <w:bookmarkStart w:id="4" w:name="TAKZIV11"/>
      <w:r w:rsidR="00AC2592">
        <w:rPr>
          <w:rFonts w:cs="FrankRuehl"/>
          <w:sz w:val="26"/>
          <w:szCs w:val="26"/>
          <w:rtl/>
        </w:rPr>
        <w:t>47</w:t>
      </w:r>
      <w:bookmarkEnd w:id="4"/>
      <w:r w:rsidR="00531838">
        <w:rPr>
          <w:rFonts w:cs="FrankRuehl" w:hint="cs"/>
          <w:sz w:val="26"/>
          <w:szCs w:val="26"/>
          <w:rtl/>
        </w:rPr>
        <w:t>, 72</w:t>
      </w:r>
    </w:p>
    <w:p w14:paraId="179B69FA" w14:textId="77777777" w:rsidR="006C7D17" w:rsidRDefault="006C7D17">
      <w:pPr>
        <w:rPr>
          <w:rFonts w:cs="FrankRuehl"/>
          <w:sz w:val="26"/>
          <w:szCs w:val="26"/>
          <w:rtl/>
        </w:rPr>
      </w:pPr>
    </w:p>
    <w:p w14:paraId="45030198" w14:textId="7FE537D2" w:rsidR="00436E4E" w:rsidRPr="002E1D22" w:rsidRDefault="00436E4E">
      <w:pPr>
        <w:rPr>
          <w:rFonts w:cs="FrankRuehl"/>
          <w:sz w:val="26"/>
          <w:szCs w:val="26"/>
          <w:rtl/>
        </w:rPr>
      </w:pPr>
      <w:r w:rsidRPr="002E1D22">
        <w:rPr>
          <w:rFonts w:cs="FrankRuehl"/>
          <w:sz w:val="26"/>
          <w:szCs w:val="26"/>
          <w:rtl/>
        </w:rPr>
        <w:t>לכבוד,</w:t>
      </w:r>
    </w:p>
    <w:p w14:paraId="1F60FFDC" w14:textId="77777777" w:rsidR="00436E4E" w:rsidRPr="002E1D22" w:rsidRDefault="00436E4E">
      <w:pPr>
        <w:rPr>
          <w:rFonts w:cs="FrankRuehl"/>
          <w:sz w:val="26"/>
          <w:szCs w:val="26"/>
          <w:rtl/>
        </w:rPr>
      </w:pPr>
      <w:r w:rsidRPr="002E1D22">
        <w:rPr>
          <w:rFonts w:cs="FrankRuehl"/>
          <w:sz w:val="26"/>
          <w:szCs w:val="26"/>
          <w:rtl/>
        </w:rPr>
        <w:t>יו"ר ועדת הכספים</w:t>
      </w:r>
    </w:p>
    <w:p w14:paraId="67445404" w14:textId="77777777" w:rsidR="00436E4E" w:rsidRPr="002E1D22" w:rsidRDefault="00436E4E">
      <w:pPr>
        <w:rPr>
          <w:rFonts w:cs="FrankRuehl"/>
          <w:sz w:val="26"/>
          <w:szCs w:val="26"/>
          <w:rtl/>
        </w:rPr>
      </w:pPr>
      <w:r w:rsidRPr="002E1D22">
        <w:rPr>
          <w:rFonts w:cs="FrankRuehl"/>
          <w:sz w:val="26"/>
          <w:szCs w:val="26"/>
          <w:rtl/>
        </w:rPr>
        <w:t>של הכנסת</w:t>
      </w:r>
    </w:p>
    <w:p w14:paraId="43580707" w14:textId="77777777" w:rsidR="00436E4E" w:rsidRPr="002E1D22" w:rsidRDefault="00436E4E">
      <w:pPr>
        <w:rPr>
          <w:rFonts w:cs="FrankRuehl"/>
          <w:sz w:val="26"/>
          <w:szCs w:val="26"/>
          <w:rtl/>
        </w:rPr>
      </w:pPr>
    </w:p>
    <w:p w14:paraId="23126EC3" w14:textId="77777777" w:rsidR="00436E4E" w:rsidRPr="002E1D22" w:rsidRDefault="00436E4E">
      <w:pPr>
        <w:rPr>
          <w:rFonts w:cs="FrankRuehl"/>
          <w:sz w:val="26"/>
          <w:szCs w:val="26"/>
          <w:rtl/>
        </w:rPr>
      </w:pPr>
      <w:r w:rsidRPr="002E1D22">
        <w:rPr>
          <w:rFonts w:cs="FrankRuehl"/>
          <w:sz w:val="26"/>
          <w:szCs w:val="26"/>
          <w:rtl/>
        </w:rPr>
        <w:t>א.נ.,</w:t>
      </w:r>
    </w:p>
    <w:p w14:paraId="152FF2CE" w14:textId="77777777" w:rsidR="00436E4E" w:rsidRPr="002E1D22" w:rsidRDefault="00436E4E">
      <w:pPr>
        <w:rPr>
          <w:rFonts w:cs="FrankRuehl"/>
          <w:sz w:val="26"/>
          <w:szCs w:val="26"/>
          <w:rtl/>
        </w:rPr>
      </w:pPr>
    </w:p>
    <w:p w14:paraId="6B8272A5" w14:textId="77777777" w:rsidR="00436E4E" w:rsidRPr="002E1D22" w:rsidRDefault="00436E4E">
      <w:pPr>
        <w:pStyle w:val="a0"/>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AC2592">
        <w:rPr>
          <w:rFonts w:cs="FrankRuehl"/>
          <w:sz w:val="26"/>
          <w:rtl/>
        </w:rPr>
        <w:t>2026</w:t>
      </w:r>
      <w:bookmarkEnd w:id="5"/>
      <w:r w:rsidRPr="002E1D22">
        <w:rPr>
          <w:rFonts w:cs="FrankRuehl"/>
          <w:sz w:val="26"/>
          <w:rtl/>
        </w:rPr>
        <w:t xml:space="preserve">     </w:t>
      </w:r>
    </w:p>
    <w:p w14:paraId="06750B6C" w14:textId="77777777" w:rsidR="00436E4E" w:rsidRPr="002E1D22" w:rsidRDefault="00436E4E" w:rsidP="002E1D22">
      <w:pPr>
        <w:jc w:val="both"/>
        <w:rPr>
          <w:rFonts w:cs="FrankRuehl"/>
          <w:sz w:val="26"/>
          <w:szCs w:val="26"/>
          <w:rtl/>
        </w:rPr>
      </w:pPr>
    </w:p>
    <w:p w14:paraId="5343DBDD" w14:textId="147FFDD8" w:rsidR="00436E4E" w:rsidRPr="002E1D22" w:rsidRDefault="00436E4E" w:rsidP="008E431E">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r w:rsidR="00F47F4F">
        <w:rPr>
          <w:rFonts w:cs="FrankRuehl" w:hint="cs"/>
          <w:sz w:val="26"/>
          <w:szCs w:val="26"/>
          <w:rtl/>
        </w:rPr>
        <w:t>29,500</w:t>
      </w:r>
      <w:r w:rsidRPr="002E1D22">
        <w:rPr>
          <w:rFonts w:cs="FrankRuehl"/>
          <w:sz w:val="26"/>
          <w:szCs w:val="26"/>
          <w:rtl/>
        </w:rPr>
        <w:t xml:space="preserve"> אלפי שקלים חדשים</w:t>
      </w:r>
      <w:r w:rsidR="00F47F4F">
        <w:rPr>
          <w:rFonts w:cs="FrankRuehl" w:hint="cs"/>
          <w:sz w:val="26"/>
          <w:szCs w:val="26"/>
          <w:rtl/>
        </w:rPr>
        <w:t xml:space="preserve"> מסעיף</w:t>
      </w:r>
      <w:r w:rsidR="00543403">
        <w:rPr>
          <w:rFonts w:cs="FrankRuehl" w:hint="cs"/>
          <w:sz w:val="26"/>
          <w:szCs w:val="26"/>
          <w:rtl/>
        </w:rPr>
        <w:t xml:space="preserve"> </w:t>
      </w:r>
      <w:r w:rsidR="00531838">
        <w:rPr>
          <w:rFonts w:cs="FrankRuehl" w:hint="cs"/>
          <w:sz w:val="26"/>
          <w:szCs w:val="26"/>
          <w:rtl/>
        </w:rPr>
        <w:t xml:space="preserve">12 </w:t>
      </w:r>
      <w:r w:rsidR="00531838">
        <w:rPr>
          <w:rFonts w:cs="FrankRuehl"/>
          <w:sz w:val="26"/>
          <w:szCs w:val="26"/>
          <w:rtl/>
        </w:rPr>
        <w:t>–</w:t>
      </w:r>
      <w:r w:rsidR="00531838">
        <w:rPr>
          <w:rFonts w:cs="FrankRuehl" w:hint="cs"/>
          <w:sz w:val="26"/>
          <w:szCs w:val="26"/>
          <w:rtl/>
        </w:rPr>
        <w:t xml:space="preserve"> גמלאות ופיצויים לסעיף</w:t>
      </w:r>
      <w:r w:rsidRPr="002E1D22">
        <w:rPr>
          <w:rFonts w:cs="FrankRuehl"/>
          <w:sz w:val="26"/>
          <w:szCs w:val="26"/>
          <w:rtl/>
        </w:rPr>
        <w:t xml:space="preserve"> 47 - רזרבה כללית, בהתאם לסעיף 11 (ה) לחוק יסודות התקציב התשמ"ה - 1985.</w:t>
      </w:r>
    </w:p>
    <w:p w14:paraId="6D569EE0" w14:textId="77777777" w:rsidR="00436E4E" w:rsidRPr="002E1D22" w:rsidRDefault="00436E4E" w:rsidP="008E431E">
      <w:pPr>
        <w:jc w:val="both"/>
        <w:rPr>
          <w:rFonts w:cs="FrankRuehl"/>
          <w:sz w:val="26"/>
          <w:szCs w:val="26"/>
          <w:rtl/>
        </w:rPr>
      </w:pPr>
    </w:p>
    <w:p w14:paraId="0E98646B" w14:textId="3F1F1286" w:rsidR="00436E4E" w:rsidRPr="002E1D22" w:rsidRDefault="00436E4E" w:rsidP="008E431E">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w:t>
      </w:r>
      <w:r w:rsidR="00531838" w:rsidRPr="002E1D22">
        <w:rPr>
          <w:rFonts w:cs="FrankRuehl"/>
          <w:sz w:val="26"/>
          <w:szCs w:val="26"/>
          <w:rtl/>
        </w:rPr>
        <w:t xml:space="preserve">סכום של </w:t>
      </w:r>
      <w:r w:rsidR="00531838">
        <w:rPr>
          <w:rFonts w:cs="FrankRuehl"/>
          <w:sz w:val="26"/>
          <w:szCs w:val="26"/>
          <w:rtl/>
        </w:rPr>
        <w:t>103,500</w:t>
      </w:r>
      <w:r w:rsidR="00531838" w:rsidRPr="002E1D22">
        <w:rPr>
          <w:rFonts w:cs="FrankRuehl"/>
          <w:sz w:val="26"/>
          <w:szCs w:val="26"/>
          <w:rtl/>
        </w:rPr>
        <w:t xml:space="preserve"> אלפי </w:t>
      </w:r>
      <w:r w:rsidRPr="002E1D22">
        <w:rPr>
          <w:rFonts w:cs="FrankRuehl"/>
          <w:sz w:val="26"/>
          <w:szCs w:val="26"/>
          <w:rtl/>
        </w:rPr>
        <w:t xml:space="preserve">אלפי שקלים חדשים מסעיף 47 - רזרבה כללית </w:t>
      </w:r>
      <w:r w:rsidR="00531838" w:rsidRPr="002E1D22">
        <w:rPr>
          <w:rFonts w:cs="FrankRuehl"/>
          <w:sz w:val="26"/>
          <w:szCs w:val="26"/>
          <w:rtl/>
        </w:rPr>
        <w:t xml:space="preserve">לסעיף </w:t>
      </w:r>
      <w:bookmarkStart w:id="6" w:name="TAKZIV3_1"/>
      <w:r w:rsidR="00531838">
        <w:rPr>
          <w:rFonts w:cs="FrankRuehl"/>
          <w:sz w:val="26"/>
          <w:szCs w:val="26"/>
          <w:rtl/>
        </w:rPr>
        <w:t>19</w:t>
      </w:r>
      <w:bookmarkEnd w:id="6"/>
      <w:r w:rsidR="00531838" w:rsidRPr="002E1D22">
        <w:rPr>
          <w:rFonts w:cs="FrankRuehl"/>
          <w:sz w:val="26"/>
          <w:szCs w:val="26"/>
          <w:rtl/>
        </w:rPr>
        <w:t xml:space="preserve"> - </w:t>
      </w:r>
      <w:bookmarkStart w:id="7" w:name="TAKZIV6"/>
      <w:r w:rsidR="00531838">
        <w:rPr>
          <w:rFonts w:cs="FrankRuehl"/>
          <w:sz w:val="26"/>
          <w:szCs w:val="26"/>
          <w:rtl/>
        </w:rPr>
        <w:t>מדע, תרבות וספורט</w:t>
      </w:r>
      <w:bookmarkEnd w:id="7"/>
      <w:r w:rsidR="00531838">
        <w:rPr>
          <w:rFonts w:cs="FrankRuehl" w:hint="cs"/>
          <w:sz w:val="26"/>
          <w:szCs w:val="26"/>
          <w:rtl/>
        </w:rPr>
        <w:t>,</w:t>
      </w:r>
      <w:r w:rsidR="00531838" w:rsidRPr="002E1D22">
        <w:rPr>
          <w:rFonts w:cs="FrankRuehl"/>
          <w:sz w:val="26"/>
          <w:szCs w:val="26"/>
          <w:rtl/>
        </w:rPr>
        <w:t xml:space="preserve"> </w:t>
      </w:r>
      <w:r w:rsidRPr="002E1D22">
        <w:rPr>
          <w:rFonts w:cs="FrankRuehl"/>
          <w:sz w:val="26"/>
          <w:szCs w:val="26"/>
          <w:rtl/>
        </w:rPr>
        <w:t>בהתאם לסעיף 12 (א)</w:t>
      </w:r>
      <w:r w:rsidR="00531838">
        <w:rPr>
          <w:rFonts w:cs="FrankRuehl" w:hint="cs"/>
          <w:sz w:val="26"/>
          <w:szCs w:val="26"/>
          <w:rtl/>
        </w:rPr>
        <w:t xml:space="preserve"> </w:t>
      </w:r>
      <w:r w:rsidRPr="002E1D22">
        <w:rPr>
          <w:rFonts w:cs="FrankRuehl"/>
          <w:sz w:val="26"/>
          <w:szCs w:val="26"/>
          <w:rtl/>
        </w:rPr>
        <w:t>לחוק יסודות התקציב, התשמ"ה - 1985, כמפורט בתדפיס המצורף בזה.</w:t>
      </w:r>
    </w:p>
    <w:p w14:paraId="07510F60" w14:textId="77777777" w:rsidR="00436E4E" w:rsidRPr="002E1D22" w:rsidRDefault="00436E4E" w:rsidP="008E431E">
      <w:pPr>
        <w:jc w:val="both"/>
        <w:rPr>
          <w:rFonts w:cs="FrankRuehl"/>
          <w:sz w:val="26"/>
          <w:szCs w:val="26"/>
          <w:rtl/>
        </w:rPr>
      </w:pPr>
    </w:p>
    <w:p w14:paraId="40A993D2" w14:textId="77777777" w:rsidR="00775A09" w:rsidRDefault="00775A09" w:rsidP="008E431E">
      <w:pPr>
        <w:jc w:val="both"/>
        <w:rPr>
          <w:rFonts w:ascii="FrankRuehl" w:hAnsi="FrankRuehl" w:cs="FrankRuehl"/>
          <w:sz w:val="26"/>
          <w:szCs w:val="26"/>
          <w:lang w:eastAsia="en-US"/>
        </w:rPr>
      </w:pPr>
      <w:bookmarkStart w:id="8" w:name="DIVREY_HESBER"/>
      <w:bookmarkEnd w:id="8"/>
      <w:r>
        <w:rPr>
          <w:rFonts w:ascii="FrankRuehl" w:hAnsi="FrankRuehl" w:cs="FrankRuehl"/>
          <w:b/>
          <w:bCs/>
          <w:sz w:val="26"/>
          <w:szCs w:val="26"/>
          <w:rtl/>
        </w:rPr>
        <w:t xml:space="preserve">הבקשה דנה בסעיף תקציבי: </w:t>
      </w:r>
      <w:r>
        <w:rPr>
          <w:rFonts w:ascii="FrankRuehl" w:hAnsi="FrankRuehl" w:cs="FrankRuehl"/>
          <w:sz w:val="26"/>
          <w:szCs w:val="26"/>
          <w:rtl/>
        </w:rPr>
        <w:t>19 – מדע, תרבות וספורט</w:t>
      </w:r>
    </w:p>
    <w:p w14:paraId="4498B2AF" w14:textId="77777777" w:rsidR="00775A09" w:rsidRDefault="00775A09" w:rsidP="008E431E">
      <w:pPr>
        <w:jc w:val="both"/>
        <w:rPr>
          <w:rFonts w:ascii="FrankRuehl" w:hAnsi="FrankRuehl" w:cs="FrankRuehl"/>
          <w:b/>
          <w:bCs/>
          <w:sz w:val="26"/>
          <w:szCs w:val="26"/>
          <w:rtl/>
        </w:rPr>
      </w:pPr>
    </w:p>
    <w:p w14:paraId="310BC3C9" w14:textId="77777777" w:rsidR="00775A09" w:rsidRDefault="00775A09" w:rsidP="008E431E">
      <w:pPr>
        <w:jc w:val="both"/>
        <w:rPr>
          <w:rFonts w:ascii="FrankRuehl" w:hAnsi="FrankRuehl" w:cs="FrankRuehl"/>
          <w:sz w:val="26"/>
          <w:szCs w:val="26"/>
        </w:rPr>
      </w:pPr>
      <w:r>
        <w:rPr>
          <w:rFonts w:ascii="FrankRuehl" w:hAnsi="FrankRuehl" w:cs="FrankRuehl"/>
          <w:b/>
          <w:bCs/>
          <w:sz w:val="26"/>
          <w:szCs w:val="26"/>
          <w:rtl/>
        </w:rPr>
        <w:t>עיקרי הפנייה:</w:t>
      </w:r>
      <w:r>
        <w:rPr>
          <w:rFonts w:ascii="FrankRuehl" w:hAnsi="FrankRuehl" w:cs="FrankRuehl"/>
          <w:sz w:val="26"/>
          <w:szCs w:val="26"/>
          <w:rtl/>
        </w:rPr>
        <w:t xml:space="preserve"> </w:t>
      </w:r>
    </w:p>
    <w:p w14:paraId="2B62B230" w14:textId="3B0105D5" w:rsidR="00775A09" w:rsidRDefault="00775A09" w:rsidP="008E431E">
      <w:pPr>
        <w:jc w:val="both"/>
        <w:rPr>
          <w:rFonts w:ascii="FrankRuehl" w:hAnsi="FrankRuehl" w:cs="FrankRuehl" w:hint="cs"/>
          <w:sz w:val="26"/>
          <w:szCs w:val="26"/>
          <w:highlight w:val="yellow"/>
          <w:u w:val="single"/>
          <w:rtl/>
        </w:rPr>
      </w:pPr>
      <w:r>
        <w:rPr>
          <w:rFonts w:ascii="FrankRuehl" w:hAnsi="FrankRuehl" w:cs="FrankRuehl"/>
          <w:sz w:val="26"/>
          <w:szCs w:val="26"/>
          <w:rtl/>
        </w:rPr>
        <w:t>הפניה התקציבית נועדה לתקצוב סך של 103,500 אלפי ש"ח בהוצאה עבור תקצוב מתווה הסיוע לגופי התרבות והספורט בעקבות אובדן ההכנסות וכן בגין הוצאות שנוספו להם בעקבות מבצע "שאגת הארי"</w:t>
      </w:r>
      <w:r w:rsidR="00C520B4">
        <w:rPr>
          <w:rFonts w:ascii="FrankRuehl" w:hAnsi="FrankRuehl" w:cs="FrankRuehl" w:hint="cs"/>
          <w:sz w:val="26"/>
          <w:szCs w:val="26"/>
          <w:rtl/>
        </w:rPr>
        <w:t>.</w:t>
      </w:r>
    </w:p>
    <w:p w14:paraId="045AAFD0" w14:textId="77777777" w:rsidR="00775A09" w:rsidRDefault="00775A09" w:rsidP="008E431E">
      <w:pPr>
        <w:jc w:val="both"/>
        <w:rPr>
          <w:rFonts w:ascii="FrankRuehl" w:hAnsi="FrankRuehl" w:cs="FrankRuehl"/>
          <w:b/>
          <w:bCs/>
          <w:sz w:val="26"/>
          <w:szCs w:val="26"/>
          <w:rtl/>
        </w:rPr>
      </w:pPr>
    </w:p>
    <w:p w14:paraId="26175FE8" w14:textId="77777777" w:rsidR="00775A09" w:rsidRDefault="00775A09" w:rsidP="008E431E">
      <w:pPr>
        <w:jc w:val="both"/>
        <w:rPr>
          <w:rFonts w:ascii="FrankRuehl" w:hAnsi="FrankRuehl" w:cs="FrankRuehl"/>
          <w:sz w:val="26"/>
          <w:szCs w:val="26"/>
          <w:rtl/>
        </w:rPr>
      </w:pPr>
      <w:r>
        <w:rPr>
          <w:rFonts w:ascii="FrankRuehl" w:hAnsi="FrankRuehl" w:cs="FrankRuehl"/>
          <w:sz w:val="26"/>
          <w:szCs w:val="26"/>
          <w:rtl/>
        </w:rPr>
        <w:t>עיקרי הפנייה התקציבית בחלוקה לתוכניות מובאים להלן:</w:t>
      </w:r>
    </w:p>
    <w:p w14:paraId="69C71A99" w14:textId="6EF4C74B" w:rsidR="00775A09" w:rsidRDefault="001678EA" w:rsidP="008E431E">
      <w:pPr>
        <w:jc w:val="both"/>
        <w:rPr>
          <w:rFonts w:ascii="FrankRuehl" w:hAnsi="FrankRuehl" w:cs="FrankRuehl"/>
          <w:sz w:val="26"/>
          <w:szCs w:val="26"/>
          <w:highlight w:val="yellow"/>
          <w:u w:val="single"/>
          <w:rtl/>
        </w:rPr>
      </w:pPr>
      <w:r>
        <w:rPr>
          <w:rFonts w:ascii="FrankRuehl" w:hAnsi="FrankRuehl" w:cs="FrankRuehl" w:hint="cs"/>
          <w:b/>
          <w:bCs/>
          <w:sz w:val="26"/>
          <w:szCs w:val="26"/>
          <w:rtl/>
        </w:rPr>
        <w:t xml:space="preserve">19-42-02 - </w:t>
      </w:r>
      <w:r w:rsidR="00775A09">
        <w:rPr>
          <w:rFonts w:ascii="FrankRuehl" w:hAnsi="FrankRuehl" w:cs="FrankRuehl"/>
          <w:b/>
          <w:bCs/>
          <w:sz w:val="26"/>
          <w:szCs w:val="26"/>
          <w:rtl/>
        </w:rPr>
        <w:t>מנהל התרבות</w:t>
      </w:r>
    </w:p>
    <w:p w14:paraId="16545F30" w14:textId="77777777" w:rsidR="00775A09" w:rsidRDefault="00775A09" w:rsidP="008E431E">
      <w:pPr>
        <w:jc w:val="both"/>
        <w:rPr>
          <w:rFonts w:ascii="FrankRuehl" w:hAnsi="FrankRuehl" w:cs="FrankRuehl"/>
          <w:sz w:val="26"/>
          <w:szCs w:val="26"/>
        </w:rPr>
      </w:pPr>
      <w:r>
        <w:rPr>
          <w:rFonts w:ascii="FrankRuehl" w:hAnsi="FrankRuehl" w:cs="FrankRuehl"/>
          <w:b/>
          <w:bCs/>
          <w:sz w:val="26"/>
          <w:szCs w:val="26"/>
          <w:rtl/>
        </w:rPr>
        <w:t xml:space="preserve">תיאור התוכנית: </w:t>
      </w:r>
      <w:r>
        <w:rPr>
          <w:rFonts w:ascii="FrankRuehl" w:hAnsi="FrankRuehl" w:cs="FrankRuehl"/>
          <w:sz w:val="26"/>
          <w:szCs w:val="26"/>
          <w:rtl/>
        </w:rPr>
        <w:t>תכנית זו משמשת לתקצוב פעילות מינהל התרבות, אשר מסייע למוסדות וליוצרים בתחום התרבות בקיום פעילות שוטפת, יוזמות, פעולות, אירועים, פסטיבלים לאמנות, הכשרה אמנותית ברמה מקצועית, מעמיד כלים לביטויי האמנות לסוגיה, קובע קריטריונים לתמיכות, להקצאת משאבים ולסיוע בפתרון בעיות ומשברים במוסדות השונים, מעניק פרסים לקידום ועידוד האמן היוצר והמבצע, תומך במוסדות תרבות ואמנות ומטפל בבקשות לתמיכה במוסדות ופרויקטים.</w:t>
      </w:r>
    </w:p>
    <w:p w14:paraId="3DD474BA" w14:textId="77777777" w:rsidR="00775A09" w:rsidRDefault="00775A09" w:rsidP="008E431E">
      <w:pPr>
        <w:jc w:val="both"/>
        <w:rPr>
          <w:rFonts w:ascii="FrankRuehl" w:hAnsi="FrankRuehl" w:cs="FrankRuehl"/>
          <w:sz w:val="26"/>
          <w:szCs w:val="26"/>
        </w:rPr>
      </w:pP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b/>
          <w:bCs/>
          <w:sz w:val="26"/>
          <w:szCs w:val="26"/>
          <w:rtl/>
        </w:rPr>
        <w:t xml:space="preserve">מטרת השינוי: </w:t>
      </w:r>
      <w:r>
        <w:rPr>
          <w:rFonts w:ascii="FrankRuehl" w:hAnsi="FrankRuehl" w:cs="FrankRuehl"/>
          <w:sz w:val="26"/>
          <w:szCs w:val="26"/>
          <w:rtl/>
        </w:rPr>
        <w:t>תקצוב סך של 63 מיליוני ש"ח בהוצאה. בדומה למבצעים קודמים, בעקבות מבצע "שאגת הארי" בו הוחלו מגבלות משמעותיות על הפעילות במשק, איבדו גופי התרבות היקף משמעותי של הכנסות, המהוות מקור מימון מרכזי עבורם. בהתאם, ובדומה למקרי העבר, הוחלט על מתווה סיוע לגופי התרבות לטובת שיפוי חלקי על אובדן ההכנסות. כעת מתוקצב המתווה בהיקף של 63 מיליוני ש"ח.</w:t>
      </w:r>
    </w:p>
    <w:p w14:paraId="1A8ED791" w14:textId="77777777" w:rsidR="00775A09" w:rsidRDefault="00775A09" w:rsidP="008E431E">
      <w:pPr>
        <w:jc w:val="both"/>
        <w:rPr>
          <w:rFonts w:hAnsi="FrankRuehl" w:cs="FrankRuehl"/>
          <w:b/>
          <w:bCs/>
          <w:sz w:val="26"/>
          <w:szCs w:val="26"/>
          <w:rtl/>
        </w:rPr>
      </w:pPr>
    </w:p>
    <w:p w14:paraId="74F0A0E7" w14:textId="7A44CD45" w:rsidR="00775A09" w:rsidRDefault="001678EA" w:rsidP="008E431E">
      <w:pPr>
        <w:jc w:val="both"/>
        <w:rPr>
          <w:rFonts w:hAnsi="FrankRuehl" w:cs="FrankRuehl"/>
          <w:b/>
          <w:bCs/>
          <w:sz w:val="26"/>
          <w:szCs w:val="26"/>
          <w:rtl/>
        </w:rPr>
      </w:pPr>
      <w:r>
        <w:rPr>
          <w:rFonts w:hAnsi="FrankRuehl" w:cs="FrankRuehl" w:hint="cs"/>
          <w:b/>
          <w:bCs/>
          <w:sz w:val="26"/>
          <w:szCs w:val="26"/>
          <w:rtl/>
        </w:rPr>
        <w:t xml:space="preserve">19-43-03 - </w:t>
      </w:r>
      <w:r w:rsidR="00775A09">
        <w:rPr>
          <w:rFonts w:hAnsi="FrankRuehl" w:cs="FrankRuehl"/>
          <w:b/>
          <w:bCs/>
          <w:sz w:val="26"/>
          <w:szCs w:val="26"/>
          <w:rtl/>
        </w:rPr>
        <w:t>מינהל הספורט</w:t>
      </w:r>
    </w:p>
    <w:p w14:paraId="4E59A5D8" w14:textId="77777777" w:rsidR="00775A09" w:rsidRDefault="00775A09" w:rsidP="008E431E">
      <w:pPr>
        <w:jc w:val="both"/>
        <w:rPr>
          <w:rFonts w:hAnsi="FrankRuehl" w:cs="FrankRuehl"/>
          <w:sz w:val="26"/>
          <w:szCs w:val="26"/>
          <w:rtl/>
        </w:rPr>
      </w:pPr>
      <w:r>
        <w:rPr>
          <w:rFonts w:hAnsi="FrankRuehl" w:cs="FrankRuehl"/>
          <w:b/>
          <w:bCs/>
          <w:sz w:val="26"/>
          <w:szCs w:val="26"/>
          <w:rtl/>
        </w:rPr>
        <w:t>תיאור התכנית</w:t>
      </w:r>
      <w:r>
        <w:rPr>
          <w:rFonts w:hAnsi="FrankRuehl" w:cs="FrankRuehl"/>
          <w:sz w:val="26"/>
          <w:szCs w:val="26"/>
          <w:rtl/>
        </w:rPr>
        <w:t>: תכנית זו משמשת למימון פעילות מנהל הספורט. מנהל הספורט עוסק בתחומים הבאים: ספורט הישגי ותחרותי, תרבות הספורט (ספורט עממי), קידום נשים בספורט, פיתוח הנהיגה הספורטיבית (באמצעות הרשות לנהיגה ספורטיבית), ופיתוח וקידום הצלילה הספורטיבית (באמצעות הרשות לצלילה ספורטיבית).</w:t>
      </w:r>
    </w:p>
    <w:p w14:paraId="603C26E9" w14:textId="77777777" w:rsidR="00775A09" w:rsidRDefault="00775A09" w:rsidP="008E431E">
      <w:pPr>
        <w:jc w:val="both"/>
        <w:rPr>
          <w:rFonts w:cs="FrankRuehl"/>
          <w:sz w:val="26"/>
          <w:szCs w:val="26"/>
          <w:rtl/>
        </w:rPr>
      </w:pPr>
      <w:r>
        <w:rPr>
          <w:rFonts w:hAnsi="FrankRuehl" w:cs="FrankRuehl"/>
          <w:b/>
          <w:bCs/>
          <w:sz w:val="26"/>
          <w:szCs w:val="26"/>
          <w:rtl/>
        </w:rPr>
        <w:lastRenderedPageBreak/>
        <w:t xml:space="preserve">מטרת השינוי התקציבי: </w:t>
      </w:r>
      <w:r>
        <w:rPr>
          <w:rFonts w:ascii="FrankRuehl" w:hAnsi="FrankRuehl" w:cs="FrankRuehl"/>
          <w:sz w:val="26"/>
          <w:szCs w:val="26"/>
          <w:rtl/>
        </w:rPr>
        <w:t>תקצוב סך של 40,500 אלפי ש"ח בהוצאה. בדומה למבצעים קודמים, בעקבות מבצע "שאגת הארי" בו הוחלו מגבלות משמעותיות על הפעילות במשק, איבדו גופי ועמותות הספורט היקף משמעותי של הכנסות ממכירת כרטיסים, המהוות מקור מימון מרכזי עבורם. בנוסף לצורך קיום המשחקים (ללא קהל) נדרשו התאמות שונות כשעיקרן אירוח משחקים בחו"ל והצבת מיגוניות במגרשים בישראל בהם אין מרחב מוגן. בהתאם, ובדומה למקרי העבר, הוחלט על מתווה סיוע לגופי הספורט לטובת שיפוי חלקי על אובדן ההכנסות ועל הוצאות עודפות שנבעו ממבצע שאגת הארי. כעת מתוקצב המתווה בהיקף של 40.5 מיליוני ש"ח.</w:t>
      </w:r>
    </w:p>
    <w:p w14:paraId="7EAD9182" w14:textId="77777777" w:rsidR="00775A09" w:rsidRDefault="00775A09" w:rsidP="008E431E">
      <w:pPr>
        <w:jc w:val="both"/>
        <w:rPr>
          <w:rFonts w:ascii="FrankRuehl" w:hAnsi="FrankRuehl" w:cs="FrankRuehl"/>
          <w:b/>
          <w:bCs/>
          <w:sz w:val="26"/>
          <w:szCs w:val="26"/>
        </w:rPr>
      </w:pP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p>
    <w:p w14:paraId="63B41266" w14:textId="77777777" w:rsidR="00775A09" w:rsidRDefault="00775A09" w:rsidP="008E431E">
      <w:pPr>
        <w:jc w:val="both"/>
        <w:rPr>
          <w:rFonts w:ascii="FrankRuehl" w:hAnsi="FrankRuehl" w:cs="FrankRuehl"/>
          <w:b/>
          <w:bCs/>
          <w:sz w:val="26"/>
          <w:szCs w:val="26"/>
          <w:rtl/>
        </w:rPr>
      </w:pPr>
      <w:r>
        <w:rPr>
          <w:rFonts w:ascii="FrankRuehl" w:hAnsi="FrankRuehl" w:cs="FrankRuehl"/>
          <w:b/>
          <w:bCs/>
          <w:sz w:val="26"/>
          <w:szCs w:val="26"/>
          <w:rtl/>
        </w:rPr>
        <w:t xml:space="preserve">השפעה על כוח אדם: </w:t>
      </w:r>
      <w:r>
        <w:rPr>
          <w:rFonts w:ascii="FrankRuehl" w:hAnsi="FrankRuehl" w:cs="FrankRuehl"/>
          <w:sz w:val="26"/>
          <w:szCs w:val="26"/>
          <w:rtl/>
        </w:rPr>
        <w:t>אין.</w:t>
      </w:r>
    </w:p>
    <w:p w14:paraId="0E32BBBC" w14:textId="77777777" w:rsidR="00775A09" w:rsidRDefault="00775A09" w:rsidP="00775A09">
      <w:pPr>
        <w:jc w:val="center"/>
        <w:rPr>
          <w:rFonts w:ascii="FrankRuehl" w:hAnsi="FrankRuehl" w:cs="FrankRuehl"/>
          <w:b/>
          <w:bCs/>
          <w:sz w:val="26"/>
          <w:szCs w:val="26"/>
          <w:u w:val="single"/>
          <w:rtl/>
        </w:rPr>
      </w:pPr>
    </w:p>
    <w:p w14:paraId="4BC799AF" w14:textId="77777777" w:rsidR="00436E4E" w:rsidRPr="002E1D22" w:rsidRDefault="00436E4E">
      <w:pPr>
        <w:rPr>
          <w:rFonts w:cs="FrankRuehl"/>
          <w:sz w:val="26"/>
          <w:szCs w:val="26"/>
          <w:rtl/>
        </w:rPr>
      </w:pPr>
    </w:p>
    <w:p w14:paraId="435FB72D" w14:textId="77777777" w:rsidR="00436E4E" w:rsidRPr="002E1D22" w:rsidRDefault="00436E4E">
      <w:pPr>
        <w:tabs>
          <w:tab w:val="center" w:pos="6867"/>
        </w:tabs>
        <w:rPr>
          <w:rFonts w:cs="FrankRuehl"/>
          <w:sz w:val="26"/>
          <w:szCs w:val="26"/>
          <w:rtl/>
        </w:rPr>
      </w:pPr>
    </w:p>
    <w:p w14:paraId="4A0302B4"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708B868F" w14:textId="77777777" w:rsidR="00436E4E" w:rsidRDefault="00C13197">
      <w:pPr>
        <w:tabs>
          <w:tab w:val="center" w:pos="6867"/>
        </w:tabs>
        <w:rPr>
          <w:rFonts w:cs="FrankRuehl"/>
          <w:sz w:val="26"/>
          <w:szCs w:val="26"/>
          <w:rtl/>
        </w:rPr>
      </w:pPr>
      <w:r>
        <w:rPr>
          <w:rFonts w:cs="FrankRuehl"/>
          <w:sz w:val="26"/>
          <w:szCs w:val="26"/>
          <w:rtl/>
        </w:rPr>
        <w:tab/>
      </w:r>
    </w:p>
    <w:p w14:paraId="33B60D9E"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6A352F00"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5591394"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550E2EB"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5B1E1627" w14:textId="77777777" w:rsidR="00436E4E" w:rsidRPr="002E1D22" w:rsidRDefault="00436E4E">
      <w:pPr>
        <w:rPr>
          <w:rFonts w:cs="FrankRuehl"/>
          <w:sz w:val="26"/>
          <w:szCs w:val="26"/>
          <w:rtl/>
        </w:rPr>
      </w:pPr>
      <w:r w:rsidRPr="002E1D22">
        <w:rPr>
          <w:rFonts w:cs="FrankRuehl"/>
          <w:sz w:val="26"/>
          <w:szCs w:val="26"/>
          <w:rtl/>
        </w:rPr>
        <w:t>העתק:</w:t>
      </w:r>
    </w:p>
    <w:p w14:paraId="2C44CCA2" w14:textId="77777777" w:rsidR="00436E4E" w:rsidRPr="002E1D22" w:rsidRDefault="00436E4E">
      <w:pPr>
        <w:rPr>
          <w:rFonts w:cs="FrankRuehl"/>
          <w:sz w:val="26"/>
          <w:szCs w:val="26"/>
          <w:rtl/>
        </w:rPr>
      </w:pPr>
      <w:r w:rsidRPr="002E1D22">
        <w:rPr>
          <w:rFonts w:cs="FrankRuehl"/>
          <w:sz w:val="26"/>
          <w:szCs w:val="26"/>
          <w:rtl/>
        </w:rPr>
        <w:t>החשב הכללי</w:t>
      </w:r>
    </w:p>
    <w:p w14:paraId="666B1CFE" w14:textId="77777777" w:rsidR="00436E4E" w:rsidRPr="002E1D22" w:rsidRDefault="00436E4E">
      <w:pPr>
        <w:rPr>
          <w:rFonts w:cs="FrankRuehl"/>
          <w:sz w:val="26"/>
          <w:szCs w:val="26"/>
          <w:rtl/>
        </w:rPr>
      </w:pPr>
      <w:r w:rsidRPr="002E1D22">
        <w:rPr>
          <w:rFonts w:cs="FrankRuehl"/>
          <w:sz w:val="26"/>
          <w:szCs w:val="26"/>
          <w:rtl/>
        </w:rPr>
        <w:t>מבקר המדינה (2)</w:t>
      </w:r>
    </w:p>
    <w:p w14:paraId="4E4EE886" w14:textId="77777777" w:rsidR="00AC2592" w:rsidRDefault="00AC2592">
      <w:pPr>
        <w:rPr>
          <w:rFonts w:cs="FrankRuehl"/>
          <w:sz w:val="26"/>
          <w:szCs w:val="26"/>
          <w:rtl/>
        </w:rPr>
      </w:pPr>
      <w:bookmarkStart w:id="10" w:name="TAKZIV22"/>
      <w:r>
        <w:rPr>
          <w:rFonts w:cs="FrankRuehl"/>
          <w:sz w:val="26"/>
          <w:szCs w:val="26"/>
          <w:rtl/>
        </w:rPr>
        <w:t>חשב משרד המדע</w:t>
      </w:r>
    </w:p>
    <w:p w14:paraId="36443AAE" w14:textId="443B3146" w:rsidR="00436E4E" w:rsidRPr="002E1D22" w:rsidRDefault="00AC2592">
      <w:pPr>
        <w:rPr>
          <w:rFonts w:cs="FrankRuehl"/>
          <w:sz w:val="26"/>
          <w:szCs w:val="26"/>
          <w:rtl/>
        </w:rPr>
      </w:pPr>
      <w:r>
        <w:rPr>
          <w:rFonts w:cs="FrankRuehl"/>
          <w:sz w:val="26"/>
          <w:szCs w:val="26"/>
          <w:rtl/>
        </w:rPr>
        <w:t>חשב החשב הכללי</w:t>
      </w:r>
      <w:bookmarkEnd w:id="10"/>
    </w:p>
    <w:p w14:paraId="728BE918" w14:textId="632D3E88"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AC2592">
        <w:rPr>
          <w:rFonts w:cs="FrankRuehl"/>
          <w:sz w:val="26"/>
          <w:szCs w:val="26"/>
          <w:rtl/>
        </w:rPr>
        <w:t>מדע, תרבות וספורט</w:t>
      </w:r>
      <w:bookmarkEnd w:id="11"/>
    </w:p>
    <w:p w14:paraId="7C7A2D49" w14:textId="5CBA3CA2" w:rsidR="00436E4E" w:rsidRDefault="00436E4E">
      <w:pPr>
        <w:rPr>
          <w:rFonts w:cs="FrankRuehl"/>
          <w:sz w:val="26"/>
          <w:szCs w:val="26"/>
          <w:rtl/>
        </w:rPr>
      </w:pPr>
      <w:r w:rsidRPr="002E1D22">
        <w:rPr>
          <w:rFonts w:cs="FrankRuehl"/>
          <w:sz w:val="26"/>
          <w:szCs w:val="26"/>
          <w:rtl/>
        </w:rPr>
        <w:t xml:space="preserve">רפרנט </w:t>
      </w:r>
      <w:bookmarkStart w:id="12" w:name="TAKZIV6_2"/>
      <w:r w:rsidR="00AC2592">
        <w:rPr>
          <w:rFonts w:cs="FrankRuehl"/>
          <w:sz w:val="26"/>
          <w:szCs w:val="26"/>
          <w:rtl/>
        </w:rPr>
        <w:t>מדע, תרבות וספורט</w:t>
      </w:r>
      <w:bookmarkEnd w:id="12"/>
    </w:p>
    <w:p w14:paraId="6FB507AA" w14:textId="77777777" w:rsidR="00E174A1" w:rsidRDefault="00E174A1">
      <w:pPr>
        <w:rPr>
          <w:rFonts w:cs="FrankRuehl"/>
          <w:sz w:val="26"/>
          <w:szCs w:val="26"/>
          <w:rtl/>
        </w:rPr>
      </w:pPr>
    </w:p>
    <w:p w14:paraId="7694C06F" w14:textId="43A75291" w:rsidR="00775A09" w:rsidRDefault="00775A09">
      <w:pPr>
        <w:rPr>
          <w:rFonts w:cs="FrankRuehl"/>
          <w:sz w:val="26"/>
          <w:szCs w:val="26"/>
          <w:rtl/>
        </w:rPr>
      </w:pPr>
    </w:p>
    <w:p w14:paraId="6D2738E6" w14:textId="77777777" w:rsidR="00775A09" w:rsidRDefault="00775A09" w:rsidP="00775A09">
      <w:pPr>
        <w:jc w:val="center"/>
        <w:rPr>
          <w:rFonts w:ascii="FrankRuehl" w:hAnsi="FrankRuehl" w:cs="FrankRuehl"/>
          <w:b/>
          <w:bCs/>
          <w:sz w:val="26"/>
          <w:szCs w:val="26"/>
          <w:u w:val="single"/>
          <w:rtl/>
        </w:rPr>
      </w:pPr>
      <w:r>
        <w:rPr>
          <w:rFonts w:ascii="FrankRuehl" w:hAnsi="FrankRuehl" w:cs="FrankRuehl"/>
          <w:b/>
          <w:bCs/>
          <w:sz w:val="26"/>
          <w:szCs w:val="26"/>
          <w:u w:val="single"/>
          <w:rtl/>
        </w:rPr>
        <w:t>נספח לדברי ההסבר</w:t>
      </w:r>
    </w:p>
    <w:p w14:paraId="14BEB8D5" w14:textId="77777777" w:rsidR="00775A09" w:rsidRDefault="00775A09" w:rsidP="00775A09">
      <w:pPr>
        <w:jc w:val="center"/>
        <w:rPr>
          <w:rFonts w:ascii="FrankRuehl" w:hAnsi="FrankRuehl" w:cs="FrankRuehl"/>
          <w:b/>
          <w:bCs/>
          <w:sz w:val="26"/>
          <w:szCs w:val="26"/>
          <w:u w:val="single"/>
        </w:rPr>
      </w:pPr>
    </w:p>
    <w:p w14:paraId="73C57ECB" w14:textId="77777777" w:rsidR="00775A09" w:rsidRDefault="00775A09" w:rsidP="00775A09">
      <w:pPr>
        <w:jc w:val="center"/>
        <w:rPr>
          <w:rFonts w:ascii="FrankRuehl" w:hAnsi="FrankRuehl" w:cs="FrankRuehl"/>
          <w:b/>
          <w:bCs/>
          <w:sz w:val="26"/>
          <w:szCs w:val="26"/>
          <w:rtl/>
        </w:rPr>
      </w:pPr>
      <w:r>
        <w:rPr>
          <w:rFonts w:ascii="FrankRuehl" w:hAnsi="FrankRuehl" w:cs="FrankRuehl"/>
          <w:b/>
          <w:bCs/>
          <w:sz w:val="26"/>
          <w:szCs w:val="26"/>
          <w:rtl/>
        </w:rPr>
        <w:t>היסטוריה תקציבית של הפנייה</w:t>
      </w:r>
    </w:p>
    <w:tbl>
      <w:tblPr>
        <w:bidiVisual/>
        <w:tblW w:w="10300" w:type="dxa"/>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423"/>
        <w:gridCol w:w="1087"/>
        <w:gridCol w:w="1189"/>
        <w:gridCol w:w="1087"/>
        <w:gridCol w:w="1189"/>
        <w:gridCol w:w="1011"/>
        <w:gridCol w:w="1189"/>
        <w:gridCol w:w="956"/>
      </w:tblGrid>
      <w:tr w:rsidR="00775A09" w14:paraId="7E99F90B" w14:textId="77777777" w:rsidTr="006B2F90">
        <w:trPr>
          <w:trHeight w:val="630"/>
        </w:trPr>
        <w:tc>
          <w:tcPr>
            <w:tcW w:w="120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7A9E3385" w14:textId="77777777" w:rsidR="00775A09" w:rsidRDefault="00775A09" w:rsidP="006B2F90">
            <w:pPr>
              <w:jc w:val="center"/>
              <w:rPr>
                <w:rFonts w:ascii="FrankRuehl" w:hAnsi="FrankRuehl" w:cs="FrankRuehl"/>
                <w:b/>
                <w:bCs/>
                <w:sz w:val="26"/>
                <w:szCs w:val="26"/>
                <w:rtl/>
              </w:rPr>
            </w:pPr>
            <w:r>
              <w:rPr>
                <w:rFonts w:ascii="FrankRuehl" w:hAnsi="FrankRuehl" w:cs="FrankRuehl"/>
                <w:b/>
                <w:bCs/>
                <w:sz w:val="26"/>
                <w:szCs w:val="26"/>
                <w:rtl/>
              </w:rPr>
              <w:t>קוד תוכנית</w:t>
            </w:r>
          </w:p>
        </w:tc>
        <w:tc>
          <w:tcPr>
            <w:tcW w:w="148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222B663C" w14:textId="77777777" w:rsidR="00775A09" w:rsidRDefault="00775A09" w:rsidP="006B2F90">
            <w:pPr>
              <w:jc w:val="center"/>
              <w:rPr>
                <w:rFonts w:ascii="FrankRuehl" w:hAnsi="FrankRuehl" w:cs="FrankRuehl"/>
                <w:b/>
                <w:bCs/>
                <w:sz w:val="26"/>
                <w:szCs w:val="26"/>
              </w:rPr>
            </w:pPr>
            <w:r>
              <w:rPr>
                <w:rFonts w:ascii="FrankRuehl" w:hAnsi="FrankRuehl" w:cs="FrankRuehl"/>
                <w:b/>
                <w:bCs/>
                <w:sz w:val="26"/>
                <w:szCs w:val="26"/>
                <w:rtl/>
              </w:rPr>
              <w:t>השינוי התקציב המוצע בפנייה הוצאות נטו</w:t>
            </w:r>
          </w:p>
        </w:tc>
        <w:tc>
          <w:tcPr>
            <w:tcW w:w="102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75FDDB71" w14:textId="77777777" w:rsidR="00775A09" w:rsidRDefault="00775A09" w:rsidP="006B2F90">
            <w:pPr>
              <w:jc w:val="center"/>
              <w:rPr>
                <w:rFonts w:ascii="FrankRuehl" w:hAnsi="FrankRuehl" w:cs="FrankRuehl"/>
                <w:b/>
                <w:bCs/>
                <w:sz w:val="26"/>
                <w:szCs w:val="26"/>
                <w:rtl/>
              </w:rPr>
            </w:pPr>
            <w:r>
              <w:rPr>
                <w:rFonts w:ascii="FrankRuehl" w:hAnsi="FrankRuehl" w:cs="FrankRuehl"/>
                <w:b/>
                <w:bCs/>
                <w:sz w:val="26"/>
                <w:szCs w:val="26"/>
                <w:rtl/>
              </w:rPr>
              <w:t>מקורי 2026</w:t>
            </w:r>
          </w:p>
        </w:tc>
        <w:tc>
          <w:tcPr>
            <w:tcW w:w="120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26D8817A" w14:textId="77777777" w:rsidR="00775A09" w:rsidRDefault="00775A09" w:rsidP="006B2F90">
            <w:pPr>
              <w:jc w:val="center"/>
              <w:rPr>
                <w:rFonts w:ascii="FrankRuehl" w:hAnsi="FrankRuehl" w:cs="FrankRuehl"/>
                <w:b/>
                <w:bCs/>
                <w:sz w:val="26"/>
                <w:szCs w:val="26"/>
                <w:rtl/>
              </w:rPr>
            </w:pPr>
            <w:r>
              <w:rPr>
                <w:rFonts w:ascii="FrankRuehl" w:hAnsi="FrankRuehl" w:cs="FrankRuehl"/>
                <w:b/>
                <w:bCs/>
                <w:sz w:val="26"/>
                <w:szCs w:val="26"/>
                <w:rtl/>
              </w:rPr>
              <w:t xml:space="preserve">מאושר 2025 בניכוי עודפים שעברו ב-2025 </w:t>
            </w:r>
          </w:p>
        </w:tc>
        <w:tc>
          <w:tcPr>
            <w:tcW w:w="102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5AEBEFDF" w14:textId="77777777" w:rsidR="00775A09" w:rsidRDefault="00775A09" w:rsidP="006B2F90">
            <w:pPr>
              <w:jc w:val="center"/>
              <w:rPr>
                <w:rFonts w:ascii="FrankRuehl" w:hAnsi="FrankRuehl" w:cs="FrankRuehl"/>
                <w:b/>
                <w:bCs/>
                <w:sz w:val="26"/>
                <w:szCs w:val="26"/>
                <w:rtl/>
              </w:rPr>
            </w:pPr>
            <w:r>
              <w:rPr>
                <w:rFonts w:ascii="FrankRuehl" w:hAnsi="FrankRuehl" w:cs="FrankRuehl"/>
                <w:b/>
                <w:bCs/>
                <w:sz w:val="26"/>
                <w:szCs w:val="26"/>
                <w:rtl/>
              </w:rPr>
              <w:t>מקורי 2025</w:t>
            </w:r>
          </w:p>
        </w:tc>
        <w:tc>
          <w:tcPr>
            <w:tcW w:w="120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285E33F3" w14:textId="77777777" w:rsidR="00775A09" w:rsidRDefault="00775A09" w:rsidP="006B2F90">
            <w:pPr>
              <w:jc w:val="center"/>
              <w:rPr>
                <w:rFonts w:ascii="FrankRuehl" w:hAnsi="FrankRuehl" w:cs="FrankRuehl"/>
                <w:b/>
                <w:bCs/>
                <w:sz w:val="26"/>
                <w:szCs w:val="26"/>
                <w:rtl/>
              </w:rPr>
            </w:pPr>
            <w:r>
              <w:rPr>
                <w:rFonts w:ascii="FrankRuehl" w:hAnsi="FrankRuehl" w:cs="FrankRuehl"/>
                <w:b/>
                <w:bCs/>
                <w:sz w:val="26"/>
                <w:szCs w:val="26"/>
                <w:rtl/>
              </w:rPr>
              <w:t>מאושר 2024 בניכוי עודפים שעברו ב-2024</w:t>
            </w:r>
          </w:p>
        </w:tc>
        <w:tc>
          <w:tcPr>
            <w:tcW w:w="102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40FBC75F" w14:textId="77777777" w:rsidR="00775A09" w:rsidRDefault="00775A09" w:rsidP="006B2F90">
            <w:pPr>
              <w:jc w:val="center"/>
              <w:rPr>
                <w:rFonts w:ascii="FrankRuehl" w:hAnsi="FrankRuehl" w:cs="FrankRuehl"/>
                <w:b/>
                <w:bCs/>
                <w:sz w:val="26"/>
                <w:szCs w:val="26"/>
                <w:rtl/>
              </w:rPr>
            </w:pPr>
            <w:r>
              <w:rPr>
                <w:rFonts w:ascii="FrankRuehl" w:hAnsi="FrankRuehl" w:cs="FrankRuehl"/>
                <w:b/>
                <w:bCs/>
                <w:sz w:val="26"/>
                <w:szCs w:val="26"/>
                <w:rtl/>
              </w:rPr>
              <w:t>מקורי 2024</w:t>
            </w:r>
          </w:p>
        </w:tc>
        <w:tc>
          <w:tcPr>
            <w:tcW w:w="120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161C560A" w14:textId="77777777" w:rsidR="00775A09" w:rsidRDefault="00775A09" w:rsidP="006B2F90">
            <w:pPr>
              <w:jc w:val="center"/>
              <w:rPr>
                <w:rFonts w:ascii="FrankRuehl" w:hAnsi="FrankRuehl" w:cs="FrankRuehl"/>
                <w:b/>
                <w:bCs/>
                <w:sz w:val="26"/>
                <w:szCs w:val="26"/>
                <w:rtl/>
              </w:rPr>
            </w:pPr>
            <w:r>
              <w:rPr>
                <w:rFonts w:ascii="FrankRuehl" w:hAnsi="FrankRuehl" w:cs="FrankRuehl"/>
                <w:b/>
                <w:bCs/>
                <w:sz w:val="26"/>
                <w:szCs w:val="26"/>
                <w:rtl/>
              </w:rPr>
              <w:t>מאושר 2023 בניכוי עודפים שעברו ב-2023</w:t>
            </w:r>
          </w:p>
        </w:tc>
        <w:tc>
          <w:tcPr>
            <w:tcW w:w="96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581D7EE5" w14:textId="77777777" w:rsidR="00775A09" w:rsidRDefault="00775A09" w:rsidP="006B2F90">
            <w:pPr>
              <w:jc w:val="center"/>
              <w:rPr>
                <w:rFonts w:ascii="FrankRuehl" w:hAnsi="FrankRuehl" w:cs="FrankRuehl"/>
                <w:b/>
                <w:bCs/>
                <w:sz w:val="26"/>
                <w:szCs w:val="26"/>
                <w:rtl/>
              </w:rPr>
            </w:pPr>
            <w:r>
              <w:rPr>
                <w:rFonts w:ascii="FrankRuehl" w:hAnsi="FrankRuehl" w:cs="FrankRuehl"/>
                <w:b/>
                <w:bCs/>
                <w:sz w:val="26"/>
                <w:szCs w:val="26"/>
                <w:rtl/>
              </w:rPr>
              <w:t>מקורי 2023</w:t>
            </w:r>
          </w:p>
        </w:tc>
      </w:tr>
      <w:tr w:rsidR="00775A09" w14:paraId="47AF888E" w14:textId="77777777" w:rsidTr="006B2F90">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73F423BD" w14:textId="77777777" w:rsidR="00775A09" w:rsidRDefault="00775A09" w:rsidP="006B2F90">
            <w:pPr>
              <w:bidi w:val="0"/>
              <w:jc w:val="center"/>
              <w:rPr>
                <w:rFonts w:ascii="FrankRuehl" w:hAnsi="FrankRuehl" w:cs="FrankRuehl"/>
                <w:sz w:val="26"/>
                <w:szCs w:val="26"/>
                <w:rtl/>
              </w:rPr>
            </w:pPr>
            <w:r>
              <w:rPr>
                <w:rFonts w:ascii="FrankRuehl" w:hAnsi="FrankRuehl" w:cs="FrankRuehl"/>
                <w:sz w:val="26"/>
                <w:szCs w:val="26"/>
              </w:rPr>
              <w:t>194202</w:t>
            </w:r>
          </w:p>
        </w:tc>
        <w:tc>
          <w:tcPr>
            <w:tcW w:w="1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BF687" w14:textId="77777777" w:rsidR="00775A09" w:rsidRDefault="00775A09" w:rsidP="006B2F90">
            <w:pPr>
              <w:bidi w:val="0"/>
              <w:jc w:val="center"/>
              <w:rPr>
                <w:rFonts w:ascii="FrankRuehl" w:hAnsi="FrankRuehl" w:cs="FrankRuehl"/>
                <w:sz w:val="26"/>
                <w:szCs w:val="26"/>
                <w:rtl/>
              </w:rPr>
            </w:pPr>
            <w:r>
              <w:rPr>
                <w:rFonts w:ascii="FrankRuehl" w:hAnsi="FrankRuehl" w:cs="FrankRuehl"/>
                <w:sz w:val="26"/>
                <w:szCs w:val="26"/>
              </w:rPr>
              <w:t>63,000</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FD9665"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1,111,843</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7F9C8D"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1,129,343</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A58A71"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1,116,051</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CD3E4"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1,053,445</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198634"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821,106</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E5175"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1,157,566</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C7C3CD"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948,318</w:t>
            </w:r>
          </w:p>
        </w:tc>
      </w:tr>
      <w:tr w:rsidR="00775A09" w14:paraId="56B06836" w14:textId="77777777" w:rsidTr="006B2F90">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34169DCE"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194303</w:t>
            </w:r>
          </w:p>
        </w:tc>
        <w:tc>
          <w:tcPr>
            <w:tcW w:w="1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B0C917"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40,500</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1F6EB8"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888,000</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E749E1"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889,408</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0A300D"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802,996</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E25178"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749,399</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5C2DE8"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690,220</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9D170"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855,712</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C452FD" w14:textId="77777777" w:rsidR="00775A09" w:rsidRDefault="00775A09" w:rsidP="006B2F90">
            <w:pPr>
              <w:bidi w:val="0"/>
              <w:jc w:val="center"/>
              <w:rPr>
                <w:rFonts w:ascii="FrankRuehl" w:hAnsi="FrankRuehl" w:cs="FrankRuehl"/>
                <w:sz w:val="26"/>
                <w:szCs w:val="26"/>
              </w:rPr>
            </w:pPr>
            <w:r>
              <w:rPr>
                <w:rFonts w:ascii="FrankRuehl" w:hAnsi="FrankRuehl" w:cs="FrankRuehl"/>
                <w:sz w:val="26"/>
                <w:szCs w:val="26"/>
              </w:rPr>
              <w:t>687,376</w:t>
            </w:r>
          </w:p>
        </w:tc>
      </w:tr>
    </w:tbl>
    <w:p w14:paraId="489ABF95" w14:textId="77777777" w:rsidR="00775A09" w:rsidRDefault="00775A09" w:rsidP="00775A09">
      <w:pPr>
        <w:rPr>
          <w:rFonts w:ascii="FrankRuehl" w:eastAsia="Calibri" w:hAnsi="FrankRuehl" w:cs="FrankRuehl"/>
          <w:sz w:val="26"/>
          <w:szCs w:val="26"/>
          <w:lang w:eastAsia="en-US"/>
        </w:rPr>
      </w:pPr>
    </w:p>
    <w:p w14:paraId="0517626A" w14:textId="73B48C9F" w:rsidR="00775A09" w:rsidRPr="002E1D22" w:rsidRDefault="00775A09" w:rsidP="00775A09">
      <w:pPr>
        <w:rPr>
          <w:rFonts w:cs="FrankRuehl"/>
          <w:sz w:val="26"/>
          <w:szCs w:val="26"/>
          <w:rtl/>
        </w:rPr>
      </w:pPr>
      <w:r>
        <w:rPr>
          <w:rFonts w:ascii="FrankRuehl" w:hAnsi="FrankRuehl" w:cs="FrankRuehl"/>
          <w:sz w:val="26"/>
          <w:szCs w:val="26"/>
          <w:rtl/>
        </w:rPr>
        <w:tab/>
      </w:r>
    </w:p>
    <w:p w14:paraId="76283530" w14:textId="77777777" w:rsidR="00436E4E" w:rsidRPr="002E1D22" w:rsidRDefault="00436E4E">
      <w:pPr>
        <w:rPr>
          <w:rFonts w:cs="FrankRuehl"/>
          <w:sz w:val="26"/>
          <w:szCs w:val="26"/>
          <w:rtl/>
        </w:rPr>
      </w:pPr>
      <w:bookmarkStart w:id="13" w:name="TAKZIV23"/>
      <w:bookmarkEnd w:id="13"/>
    </w:p>
    <w:p w14:paraId="7F8D7363" w14:textId="77777777" w:rsidR="00436E4E" w:rsidRPr="002E1D22" w:rsidRDefault="00436E4E">
      <w:pPr>
        <w:rPr>
          <w:rFonts w:cs="FrankRuehl"/>
          <w:sz w:val="26"/>
          <w:szCs w:val="26"/>
          <w:rtl/>
        </w:rPr>
      </w:pPr>
    </w:p>
    <w:p w14:paraId="70908E07" w14:textId="77777777" w:rsidR="00436E4E" w:rsidRPr="002E1D22" w:rsidRDefault="00436E4E">
      <w:pPr>
        <w:rPr>
          <w:rFonts w:cs="FrankRuehl"/>
          <w:sz w:val="26"/>
          <w:szCs w:val="26"/>
          <w:rtl/>
        </w:rPr>
      </w:pPr>
      <w:bookmarkStart w:id="14" w:name="TAKZIV25"/>
      <w:bookmarkEnd w:id="14"/>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25A3D" w14:textId="77777777" w:rsidR="00412310" w:rsidRDefault="00412310" w:rsidP="004374A5">
      <w:r>
        <w:separator/>
      </w:r>
    </w:p>
  </w:endnote>
  <w:endnote w:type="continuationSeparator" w:id="0">
    <w:p w14:paraId="53015B22" w14:textId="77777777" w:rsidR="00412310" w:rsidRDefault="00412310"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7BEA5" w14:textId="77777777" w:rsidR="00EF0529" w:rsidRDefault="00EF0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4D91" w14:textId="77777777" w:rsidR="00EF0529" w:rsidRDefault="00EF0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14EA" w14:textId="77777777" w:rsidR="00EF0529" w:rsidRDefault="00EF0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5F30B" w14:textId="77777777" w:rsidR="00412310" w:rsidRDefault="00412310" w:rsidP="004374A5">
      <w:r>
        <w:separator/>
      </w:r>
    </w:p>
  </w:footnote>
  <w:footnote w:type="continuationSeparator" w:id="0">
    <w:p w14:paraId="5B331F2E" w14:textId="77777777" w:rsidR="00412310" w:rsidRDefault="00412310"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B680" w14:textId="77777777" w:rsidR="00EF0529" w:rsidRDefault="00EF05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D8757" w14:textId="77777777" w:rsidR="004374A5" w:rsidRDefault="00412310">
    <w:pPr>
      <w:pStyle w:val="Header"/>
    </w:pPr>
    <w:r>
      <w:rPr>
        <w:noProof/>
      </w:rPr>
      <w:pict w14:anchorId="7BE13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FF1D5" w14:textId="77777777" w:rsidR="00EF0529" w:rsidRDefault="00EF05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1678EA"/>
    <w:rsid w:val="00235242"/>
    <w:rsid w:val="002634E4"/>
    <w:rsid w:val="002E1D22"/>
    <w:rsid w:val="00363A63"/>
    <w:rsid w:val="00412310"/>
    <w:rsid w:val="00436E4E"/>
    <w:rsid w:val="004374A5"/>
    <w:rsid w:val="004657D3"/>
    <w:rsid w:val="00531838"/>
    <w:rsid w:val="00541940"/>
    <w:rsid w:val="00543403"/>
    <w:rsid w:val="005C0DC7"/>
    <w:rsid w:val="00613B32"/>
    <w:rsid w:val="006C7D17"/>
    <w:rsid w:val="00775A09"/>
    <w:rsid w:val="007847C9"/>
    <w:rsid w:val="007C275A"/>
    <w:rsid w:val="008E431E"/>
    <w:rsid w:val="00A10904"/>
    <w:rsid w:val="00AC2592"/>
    <w:rsid w:val="00AC2EE6"/>
    <w:rsid w:val="00B0145B"/>
    <w:rsid w:val="00B42666"/>
    <w:rsid w:val="00B61EA5"/>
    <w:rsid w:val="00BB3BA1"/>
    <w:rsid w:val="00C13197"/>
    <w:rsid w:val="00C520B4"/>
    <w:rsid w:val="00D016F8"/>
    <w:rsid w:val="00E174A1"/>
    <w:rsid w:val="00EF0529"/>
    <w:rsid w:val="00F47F4F"/>
    <w:rsid w:val="00F71C2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B103A56"/>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L" w:eastAsia="en-IL"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bidi/>
      <w:adjustRightInd w:val="0"/>
      <w:textAlignment w:val="baseline"/>
    </w:pPr>
    <w:rPr>
      <w:rFonts w:cs="Narkisim"/>
      <w:szCs w:val="24"/>
      <w:lang w:val="en-US" w:eastAsia="he-IL"/>
    </w:rPr>
  </w:style>
  <w:style w:type="paragraph" w:styleId="Heading1">
    <w:name w:val="heading 1"/>
    <w:basedOn w:val="Normal"/>
    <w:next w:val="Normal"/>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Heading2">
    <w:name w:val="heading 2"/>
    <w:basedOn w:val="Normal"/>
    <w:next w:val="Normal"/>
    <w:qFormat/>
    <w:pPr>
      <w:tabs>
        <w:tab w:val="left" w:pos="276"/>
      </w:tabs>
      <w:spacing w:before="120" w:after="48"/>
      <w:ind w:left="278" w:right="357" w:hanging="2"/>
      <w:outlineLvl w:val="1"/>
    </w:pPr>
    <w:rPr>
      <w:rFonts w:ascii="Arial" w:hAnsi="Arial" w:cs="Guttman Haim-Condensed"/>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ndentnumberedinabullet">
    <w:name w:val="normal indent numbered in a bullet"/>
    <w:basedOn w:val="NormalIndent"/>
    <w:pPr>
      <w:tabs>
        <w:tab w:val="left" w:pos="851"/>
        <w:tab w:val="left" w:pos="1418"/>
        <w:tab w:val="left" w:pos="2472"/>
        <w:tab w:val="left" w:pos="4498"/>
        <w:tab w:val="left" w:pos="6796"/>
        <w:tab w:val="left" w:pos="8856"/>
      </w:tabs>
      <w:ind w:left="618" w:right="510" w:hanging="170"/>
    </w:pPr>
  </w:style>
  <w:style w:type="paragraph" w:styleId="NormalIndent">
    <w:name w:val="Normal Indent"/>
    <w:basedOn w:val="Normal"/>
    <w:semiHidden/>
    <w:pPr>
      <w:ind w:left="720"/>
    </w:pPr>
  </w:style>
  <w:style w:type="paragraph" w:customStyle="1" w:styleId="Normalindentnumberindent">
    <w:name w:val="Normal indent number indent"/>
    <w:basedOn w:val="Normal"/>
    <w:pPr>
      <w:tabs>
        <w:tab w:val="left" w:pos="851"/>
        <w:tab w:val="left" w:pos="1418"/>
        <w:tab w:val="left" w:pos="2472"/>
        <w:tab w:val="left" w:pos="4498"/>
        <w:tab w:val="left" w:pos="6796"/>
        <w:tab w:val="left" w:pos="8856"/>
      </w:tabs>
      <w:ind w:left="702" w:right="510" w:hanging="872"/>
    </w:pPr>
  </w:style>
  <w:style w:type="paragraph" w:styleId="Header">
    <w:name w:val="header"/>
    <w:basedOn w:val="Normal"/>
    <w:link w:val="HeaderChar"/>
    <w:uiPriority w:val="99"/>
    <w:unhideWhenUsed/>
    <w:rsid w:val="004374A5"/>
    <w:pPr>
      <w:tabs>
        <w:tab w:val="center" w:pos="4153"/>
        <w:tab w:val="right" w:pos="8306"/>
      </w:tabs>
    </w:pPr>
  </w:style>
  <w:style w:type="paragraph" w:customStyle="1" w:styleId="a">
    <w:name w:val="מדינת ישראל"/>
    <w:basedOn w:val="Normal"/>
    <w:pPr>
      <w:jc w:val="center"/>
    </w:pPr>
    <w:rPr>
      <w:b/>
      <w:bCs/>
      <w:szCs w:val="28"/>
    </w:rPr>
  </w:style>
  <w:style w:type="paragraph" w:customStyle="1" w:styleId="a0">
    <w:name w:val="כותרת נדון"/>
    <w:basedOn w:val="Normal"/>
    <w:rPr>
      <w:bCs/>
      <w:szCs w:val="26"/>
      <w:u w:val="single"/>
    </w:rPr>
  </w:style>
  <w:style w:type="character" w:customStyle="1" w:styleId="HeaderChar">
    <w:name w:val="Header Char"/>
    <w:link w:val="Header"/>
    <w:uiPriority w:val="99"/>
    <w:rsid w:val="004374A5"/>
    <w:rPr>
      <w:rFonts w:cs="Narkisim"/>
      <w:szCs w:val="24"/>
      <w:lang w:eastAsia="he-IL"/>
    </w:rPr>
  </w:style>
  <w:style w:type="paragraph" w:styleId="Footer">
    <w:name w:val="footer"/>
    <w:basedOn w:val="Normal"/>
    <w:link w:val="FooterChar"/>
    <w:uiPriority w:val="99"/>
    <w:unhideWhenUsed/>
    <w:rsid w:val="004374A5"/>
    <w:pPr>
      <w:tabs>
        <w:tab w:val="center" w:pos="4153"/>
        <w:tab w:val="right" w:pos="8306"/>
      </w:tabs>
    </w:pPr>
  </w:style>
  <w:style w:type="character" w:customStyle="1" w:styleId="FooterChar">
    <w:name w:val="Footer Char"/>
    <w:link w:val="Footer"/>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01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473</Words>
  <Characters>2701</Characters>
  <Application>Microsoft Office Word</Application>
  <DocSecurity>0</DocSecurity>
  <Lines>22</Lines>
  <Paragraphs>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15</cp:revision>
  <cp:lastPrinted>1899-12-31T22:00:00Z</cp:lastPrinted>
  <dcterms:created xsi:type="dcterms:W3CDTF">2026-06-30T07:51:00Z</dcterms:created>
  <dcterms:modified xsi:type="dcterms:W3CDTF">2026-06-30T12:10:00Z</dcterms:modified>
</cp:coreProperties>
</file>