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DE923" w14:textId="77777777" w:rsidR="0051496B" w:rsidRDefault="0051496B">
      <w:pPr>
        <w:pStyle w:val="a7"/>
        <w:rPr>
          <w:rtl/>
        </w:rPr>
      </w:pPr>
      <w:r>
        <w:rPr>
          <w:rtl/>
        </w:rPr>
        <w:t>מדינת ישראל</w:t>
      </w:r>
    </w:p>
    <w:p w14:paraId="1CF5C93F" w14:textId="77777777" w:rsidR="0051496B" w:rsidRDefault="0051496B">
      <w:pPr>
        <w:pStyle w:val="a7"/>
        <w:rPr>
          <w:rtl/>
        </w:rPr>
      </w:pPr>
      <w:r>
        <w:rPr>
          <w:rtl/>
        </w:rPr>
        <w:t>האוצר - אגף התקציבים</w:t>
      </w:r>
    </w:p>
    <w:p w14:paraId="1C362E16" w14:textId="77777777" w:rsidR="0051496B" w:rsidRDefault="0051496B">
      <w:pPr>
        <w:rPr>
          <w:rtl/>
        </w:rPr>
      </w:pPr>
    </w:p>
    <w:p w14:paraId="6592BE4F" w14:textId="77777777" w:rsidR="0051496B" w:rsidRDefault="0051496B">
      <w:pPr>
        <w:rPr>
          <w:rtl/>
        </w:rPr>
      </w:pPr>
    </w:p>
    <w:p w14:paraId="499BBF01" w14:textId="77777777" w:rsidR="0051496B" w:rsidRPr="000A3FA0" w:rsidRDefault="0051496B">
      <w:pPr>
        <w:tabs>
          <w:tab w:val="left" w:pos="6300"/>
        </w:tabs>
        <w:rPr>
          <w:rFonts w:cs="FrankRuehl"/>
          <w:sz w:val="26"/>
          <w:szCs w:val="26"/>
          <w:rtl/>
        </w:rPr>
      </w:pPr>
      <w:r>
        <w:rPr>
          <w:rtl/>
        </w:rPr>
        <w:tab/>
      </w:r>
      <w:bookmarkStart w:id="0" w:name="TAKZIV8"/>
      <w:bookmarkEnd w:id="0"/>
    </w:p>
    <w:p w14:paraId="76FB6F30"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26E57EDF"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4D41035C" w14:textId="7843CEE8"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5B2D6A">
        <w:rPr>
          <w:rFonts w:cs="FrankRuehl"/>
          <w:sz w:val="26"/>
          <w:szCs w:val="26"/>
          <w:rtl/>
        </w:rPr>
        <w:t>201</w:t>
      </w:r>
      <w:bookmarkEnd w:id="2"/>
      <w:r w:rsidRPr="000A3FA0">
        <w:rPr>
          <w:rFonts w:cs="FrankRuehl"/>
          <w:sz w:val="26"/>
          <w:szCs w:val="26"/>
          <w:rtl/>
        </w:rPr>
        <w:t xml:space="preserve"> - </w:t>
      </w:r>
      <w:bookmarkStart w:id="3" w:name="TAKZIV3"/>
      <w:r w:rsidR="005B2D6A">
        <w:rPr>
          <w:rFonts w:cs="FrankRuehl"/>
          <w:sz w:val="26"/>
          <w:szCs w:val="26"/>
          <w:rtl/>
        </w:rPr>
        <w:t>19</w:t>
      </w:r>
      <w:bookmarkEnd w:id="3"/>
    </w:p>
    <w:p w14:paraId="522AABCD"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4A0DA6F9"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08CB6D96" w14:textId="77777777" w:rsidR="0051496B" w:rsidRPr="000A3FA0" w:rsidRDefault="0051496B">
      <w:pPr>
        <w:rPr>
          <w:rFonts w:cs="FrankRuehl"/>
          <w:sz w:val="26"/>
          <w:szCs w:val="26"/>
          <w:rtl/>
        </w:rPr>
      </w:pPr>
      <w:r w:rsidRPr="000A3FA0">
        <w:rPr>
          <w:rFonts w:cs="FrankRuehl"/>
          <w:sz w:val="26"/>
          <w:szCs w:val="26"/>
          <w:rtl/>
        </w:rPr>
        <w:t>לכבוד,</w:t>
      </w:r>
    </w:p>
    <w:p w14:paraId="7F37BFC5" w14:textId="77777777" w:rsidR="0051496B" w:rsidRPr="000A3FA0" w:rsidRDefault="0051496B">
      <w:pPr>
        <w:rPr>
          <w:rFonts w:cs="FrankRuehl"/>
          <w:sz w:val="26"/>
          <w:szCs w:val="26"/>
          <w:rtl/>
        </w:rPr>
      </w:pPr>
      <w:r w:rsidRPr="000A3FA0">
        <w:rPr>
          <w:rFonts w:cs="FrankRuehl"/>
          <w:sz w:val="26"/>
          <w:szCs w:val="26"/>
          <w:rtl/>
        </w:rPr>
        <w:t>יו"ר ועדת הכספים</w:t>
      </w:r>
    </w:p>
    <w:p w14:paraId="18C4F62F" w14:textId="77777777" w:rsidR="0051496B" w:rsidRPr="000A3FA0" w:rsidRDefault="0051496B">
      <w:pPr>
        <w:rPr>
          <w:rFonts w:cs="FrankRuehl"/>
          <w:sz w:val="26"/>
          <w:szCs w:val="26"/>
          <w:rtl/>
        </w:rPr>
      </w:pPr>
      <w:r w:rsidRPr="000A3FA0">
        <w:rPr>
          <w:rFonts w:cs="FrankRuehl"/>
          <w:sz w:val="26"/>
          <w:szCs w:val="26"/>
          <w:rtl/>
        </w:rPr>
        <w:t>הכנסת</w:t>
      </w:r>
    </w:p>
    <w:p w14:paraId="5725283D" w14:textId="77777777" w:rsidR="0051496B" w:rsidRPr="000A3FA0" w:rsidRDefault="0051496B">
      <w:pPr>
        <w:rPr>
          <w:rFonts w:cs="FrankRuehl"/>
          <w:sz w:val="26"/>
          <w:szCs w:val="26"/>
          <w:rtl/>
        </w:rPr>
      </w:pPr>
    </w:p>
    <w:p w14:paraId="47858AB8" w14:textId="77777777" w:rsidR="0051496B" w:rsidRPr="000A3FA0" w:rsidRDefault="0051496B">
      <w:pPr>
        <w:rPr>
          <w:rFonts w:cs="FrankRuehl"/>
          <w:sz w:val="26"/>
          <w:szCs w:val="26"/>
          <w:rtl/>
        </w:rPr>
      </w:pPr>
      <w:r w:rsidRPr="000A3FA0">
        <w:rPr>
          <w:rFonts w:cs="FrankRuehl"/>
          <w:sz w:val="26"/>
          <w:szCs w:val="26"/>
          <w:rtl/>
        </w:rPr>
        <w:t>א.נ.,</w:t>
      </w:r>
    </w:p>
    <w:p w14:paraId="69279786" w14:textId="77777777" w:rsidR="0051496B" w:rsidRPr="000A3FA0" w:rsidRDefault="0051496B">
      <w:pPr>
        <w:rPr>
          <w:rFonts w:cs="FrankRuehl"/>
          <w:sz w:val="26"/>
          <w:szCs w:val="26"/>
          <w:rtl/>
        </w:rPr>
      </w:pPr>
    </w:p>
    <w:p w14:paraId="2EECD1FD" w14:textId="050CA6F9"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5B2D6A">
        <w:rPr>
          <w:rFonts w:cs="FrankRuehl"/>
          <w:sz w:val="26"/>
          <w:rtl/>
        </w:rPr>
        <w:t>2026</w:t>
      </w:r>
      <w:bookmarkEnd w:id="5"/>
      <w:r w:rsidRPr="000A3FA0">
        <w:rPr>
          <w:rFonts w:cs="FrankRuehl"/>
          <w:sz w:val="26"/>
          <w:rtl/>
        </w:rPr>
        <w:t xml:space="preserve">     </w:t>
      </w:r>
    </w:p>
    <w:p w14:paraId="4E409660" w14:textId="77777777" w:rsidR="0051496B" w:rsidRPr="000A3FA0" w:rsidRDefault="0051496B" w:rsidP="00A6761F">
      <w:pPr>
        <w:jc w:val="both"/>
        <w:rPr>
          <w:rFonts w:cs="FrankRuehl"/>
          <w:sz w:val="26"/>
          <w:szCs w:val="26"/>
          <w:rtl/>
        </w:rPr>
      </w:pPr>
    </w:p>
    <w:p w14:paraId="078B7A1D" w14:textId="70FA5A3D" w:rsidR="0051496B" w:rsidRPr="000A3FA0" w:rsidRDefault="0051496B" w:rsidP="007451F3">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5B2D6A">
        <w:rPr>
          <w:rFonts w:cs="FrankRuehl"/>
          <w:sz w:val="26"/>
          <w:szCs w:val="26"/>
          <w:rtl/>
        </w:rPr>
        <w:t>298,881</w:t>
      </w:r>
      <w:bookmarkEnd w:id="6"/>
      <w:r w:rsidRPr="000A3FA0">
        <w:rPr>
          <w:rFonts w:cs="FrankRuehl"/>
          <w:sz w:val="26"/>
          <w:szCs w:val="26"/>
          <w:rtl/>
        </w:rPr>
        <w:t xml:space="preserve"> אלפי שקלים חדשים מסעיף </w:t>
      </w:r>
      <w:bookmarkStart w:id="7" w:name="TAKZIV3_1"/>
      <w:r w:rsidR="005B2D6A">
        <w:rPr>
          <w:rFonts w:cs="FrankRuehl"/>
          <w:sz w:val="26"/>
          <w:szCs w:val="26"/>
          <w:rtl/>
        </w:rPr>
        <w:t>19</w:t>
      </w:r>
      <w:bookmarkEnd w:id="7"/>
      <w:r w:rsidRPr="000A3FA0">
        <w:rPr>
          <w:rFonts w:cs="FrankRuehl"/>
          <w:sz w:val="26"/>
          <w:szCs w:val="26"/>
          <w:rtl/>
        </w:rPr>
        <w:t xml:space="preserve"> - </w:t>
      </w:r>
      <w:bookmarkStart w:id="8" w:name="TAKZIV6_2"/>
      <w:r w:rsidR="005B2D6A">
        <w:rPr>
          <w:rFonts w:cs="FrankRuehl"/>
          <w:sz w:val="26"/>
          <w:szCs w:val="26"/>
          <w:rtl/>
        </w:rPr>
        <w:t>מדע, תרבות וספורט</w:t>
      </w:r>
      <w:bookmarkEnd w:id="8"/>
      <w:r w:rsidRPr="000A3FA0">
        <w:rPr>
          <w:rFonts w:cs="FrankRuehl"/>
          <w:sz w:val="26"/>
          <w:szCs w:val="26"/>
          <w:rtl/>
        </w:rPr>
        <w:t xml:space="preserve"> משנת הכספים </w:t>
      </w:r>
      <w:bookmarkStart w:id="9" w:name="TAKZIV2_1"/>
      <w:r w:rsidR="005B2D6A">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5B2D6A">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7451F3">
        <w:rPr>
          <w:rFonts w:cs="FrankRuehl" w:hint="cs"/>
          <w:sz w:val="26"/>
          <w:szCs w:val="26"/>
          <w:rtl/>
        </w:rPr>
        <w:t xml:space="preserve"> </w:t>
      </w:r>
      <w:r w:rsidRPr="000A3FA0">
        <w:rPr>
          <w:rFonts w:cs="FrankRuehl"/>
          <w:sz w:val="26"/>
          <w:szCs w:val="26"/>
          <w:rtl/>
        </w:rPr>
        <w:t>כמפורט בתדפיס המצורף בזה.</w:t>
      </w:r>
    </w:p>
    <w:p w14:paraId="0CD867FB" w14:textId="16CFE463" w:rsidR="0051496B" w:rsidRDefault="0051496B" w:rsidP="007451F3">
      <w:pPr>
        <w:jc w:val="both"/>
        <w:rPr>
          <w:rFonts w:cs="FrankRuehl"/>
          <w:sz w:val="26"/>
          <w:szCs w:val="26"/>
          <w:rtl/>
        </w:rPr>
      </w:pPr>
    </w:p>
    <w:p w14:paraId="3A27DF84" w14:textId="6B5DD57F" w:rsidR="007451F3" w:rsidRDefault="007451F3" w:rsidP="007451F3">
      <w:pPr>
        <w:spacing w:line="276" w:lineRule="auto"/>
        <w:contextualSpacing/>
        <w:jc w:val="both"/>
        <w:rPr>
          <w:rFonts w:ascii="FrankRuehl" w:hAnsi="FrankRuehl" w:cs="FrankRuehl"/>
          <w:b/>
          <w:bCs/>
          <w:sz w:val="26"/>
          <w:szCs w:val="26"/>
          <w:lang w:eastAsia="en-US"/>
        </w:rPr>
      </w:pPr>
      <w:r>
        <w:rPr>
          <w:rFonts w:ascii="FrankRuehl" w:hAnsi="FrankRuehl" w:cs="FrankRuehl"/>
          <w:b/>
          <w:bCs/>
          <w:sz w:val="26"/>
          <w:szCs w:val="26"/>
          <w:rtl/>
        </w:rPr>
        <w:t xml:space="preserve">הבקשה דנה בסעיף תקציבי: </w:t>
      </w:r>
      <w:r>
        <w:rPr>
          <w:rFonts w:ascii="FrankRuehl" w:hAnsi="FrankRuehl" w:cs="FrankRuehl"/>
          <w:sz w:val="26"/>
          <w:szCs w:val="26"/>
          <w:rtl/>
        </w:rPr>
        <w:t xml:space="preserve">19 </w:t>
      </w:r>
      <w:r>
        <w:rPr>
          <w:rFonts w:ascii="FrankRuehl" w:hAnsi="FrankRuehl" w:cs="FrankRuehl" w:hint="cs"/>
          <w:sz w:val="26"/>
          <w:szCs w:val="26"/>
          <w:rtl/>
        </w:rPr>
        <w:t>-</w:t>
      </w:r>
      <w:r>
        <w:rPr>
          <w:rFonts w:ascii="FrankRuehl" w:hAnsi="FrankRuehl" w:cs="FrankRuehl"/>
          <w:sz w:val="26"/>
          <w:szCs w:val="26"/>
          <w:rtl/>
        </w:rPr>
        <w:t xml:space="preserve"> מדע תרבות וספורט</w:t>
      </w:r>
    </w:p>
    <w:p w14:paraId="26B69968" w14:textId="77777777" w:rsidR="007451F3" w:rsidRDefault="007451F3" w:rsidP="007451F3">
      <w:pPr>
        <w:spacing w:line="276" w:lineRule="auto"/>
        <w:contextualSpacing/>
        <w:jc w:val="both"/>
        <w:rPr>
          <w:rFonts w:ascii="FrankRuehl" w:hAnsi="FrankRuehl" w:cs="FrankRuehl"/>
          <w:sz w:val="26"/>
          <w:szCs w:val="26"/>
        </w:rPr>
      </w:pPr>
    </w:p>
    <w:p w14:paraId="4627E513" w14:textId="77777777" w:rsidR="007451F3" w:rsidRDefault="007451F3" w:rsidP="007451F3">
      <w:pPr>
        <w:spacing w:line="276" w:lineRule="auto"/>
        <w:contextualSpacing/>
        <w:jc w:val="both"/>
        <w:rPr>
          <w:rFonts w:ascii="FrankRuehl" w:hAnsi="FrankRuehl" w:cs="FrankRuehl"/>
          <w:b/>
          <w:bCs/>
          <w:sz w:val="26"/>
          <w:szCs w:val="26"/>
          <w:rtl/>
        </w:rPr>
      </w:pPr>
      <w:r>
        <w:rPr>
          <w:rFonts w:ascii="FrankRuehl" w:hAnsi="FrankRuehl" w:cs="FrankRuehl"/>
          <w:b/>
          <w:bCs/>
          <w:sz w:val="26"/>
          <w:szCs w:val="26"/>
          <w:rtl/>
        </w:rPr>
        <w:t>עיקרי הפנייה:</w:t>
      </w:r>
    </w:p>
    <w:p w14:paraId="038BEFE2" w14:textId="77777777" w:rsidR="007451F3" w:rsidRDefault="007451F3" w:rsidP="007451F3">
      <w:pPr>
        <w:spacing w:line="276" w:lineRule="auto"/>
        <w:contextualSpacing/>
        <w:jc w:val="both"/>
        <w:rPr>
          <w:rFonts w:ascii="FrankRuehl" w:hAnsi="FrankRuehl" w:cs="FrankRuehl"/>
          <w:sz w:val="26"/>
          <w:szCs w:val="26"/>
          <w:rtl/>
        </w:rPr>
      </w:pPr>
      <w:r>
        <w:rPr>
          <w:rFonts w:ascii="FrankRuehl" w:hAnsi="FrankRuehl" w:cs="FrankRuehl"/>
          <w:sz w:val="26"/>
          <w:szCs w:val="26"/>
          <w:rtl/>
        </w:rPr>
        <w:t>הפניה התקציבית נועדה להעברת עודפים משנת התקציב 2025 לשימוש בשנת התקציב 2026 בסך של 298,881 אלפי ש"ח, בהתאם לפירוט המובא מטה.</w:t>
      </w:r>
    </w:p>
    <w:p w14:paraId="2A7E6CBF" w14:textId="77777777" w:rsidR="007451F3" w:rsidRDefault="007451F3" w:rsidP="007451F3">
      <w:pPr>
        <w:spacing w:line="276" w:lineRule="auto"/>
        <w:contextualSpacing/>
        <w:jc w:val="both"/>
        <w:rPr>
          <w:rFonts w:ascii="FrankRuehl" w:hAnsi="FrankRuehl" w:cs="FrankRuehl"/>
          <w:b/>
          <w:bCs/>
          <w:sz w:val="26"/>
          <w:szCs w:val="26"/>
          <w:rtl/>
        </w:rPr>
      </w:pPr>
    </w:p>
    <w:p w14:paraId="4F1EA557" w14:textId="77777777" w:rsidR="007451F3" w:rsidRPr="007451F3" w:rsidRDefault="007451F3" w:rsidP="007451F3">
      <w:pPr>
        <w:spacing w:line="276" w:lineRule="auto"/>
        <w:contextualSpacing/>
        <w:jc w:val="both"/>
        <w:rPr>
          <w:rFonts w:ascii="FrankRuehl" w:hAnsi="FrankRuehl" w:cs="FrankRuehl"/>
          <w:b/>
          <w:bCs/>
          <w:sz w:val="26"/>
          <w:szCs w:val="26"/>
          <w:rtl/>
        </w:rPr>
      </w:pPr>
      <w:r w:rsidRPr="007451F3">
        <w:rPr>
          <w:rFonts w:ascii="FrankRuehl" w:hAnsi="FrankRuehl" w:cs="FrankRuehl"/>
          <w:b/>
          <w:bCs/>
          <w:sz w:val="26"/>
          <w:szCs w:val="26"/>
          <w:rtl/>
        </w:rPr>
        <w:t xml:space="preserve">עיקרי הפנייה התקציבית בחלוקה </w:t>
      </w:r>
      <w:proofErr w:type="spellStart"/>
      <w:r w:rsidRPr="007451F3">
        <w:rPr>
          <w:rFonts w:ascii="FrankRuehl" w:hAnsi="FrankRuehl" w:cs="FrankRuehl"/>
          <w:b/>
          <w:bCs/>
          <w:sz w:val="26"/>
          <w:szCs w:val="26"/>
          <w:rtl/>
        </w:rPr>
        <w:t>לתכניות</w:t>
      </w:r>
      <w:proofErr w:type="spellEnd"/>
      <w:r w:rsidRPr="007451F3">
        <w:rPr>
          <w:rFonts w:ascii="FrankRuehl" w:hAnsi="FrankRuehl" w:cs="FrankRuehl"/>
          <w:b/>
          <w:bCs/>
          <w:sz w:val="26"/>
          <w:szCs w:val="26"/>
          <w:rtl/>
        </w:rPr>
        <w:t xml:space="preserve"> מובאים להלן:</w:t>
      </w:r>
    </w:p>
    <w:p w14:paraId="65B9DF28" w14:textId="77777777" w:rsidR="007451F3" w:rsidRDefault="007451F3" w:rsidP="007451F3">
      <w:pPr>
        <w:spacing w:line="276" w:lineRule="auto"/>
        <w:contextualSpacing/>
        <w:jc w:val="both"/>
        <w:rPr>
          <w:rFonts w:ascii="FrankRuehl" w:hAnsi="FrankRuehl" w:cs="FrankRuehl"/>
          <w:b/>
          <w:bCs/>
          <w:sz w:val="26"/>
          <w:szCs w:val="26"/>
          <w:rtl/>
        </w:rPr>
      </w:pPr>
      <w:r>
        <w:rPr>
          <w:rFonts w:ascii="FrankRuehl" w:hAnsi="FrankRuehl" w:cs="FrankRuehl"/>
          <w:b/>
          <w:bCs/>
          <w:sz w:val="26"/>
          <w:szCs w:val="26"/>
          <w:rtl/>
        </w:rPr>
        <w:t>תכנית 19-40-01: פעילות משרד המדע – 32,310 אלפי ש"ח</w:t>
      </w:r>
    </w:p>
    <w:p w14:paraId="26B2F898" w14:textId="77777777" w:rsidR="007451F3" w:rsidRDefault="007451F3" w:rsidP="007451F3">
      <w:pPr>
        <w:spacing w:line="276" w:lineRule="auto"/>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sz w:val="26"/>
          <w:szCs w:val="26"/>
          <w:rtl/>
        </w:rPr>
        <w:t xml:space="preserve">: במסגרת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מתוקצבות פעילויות מדע בקהילה הכוללות </w:t>
      </w:r>
      <w:proofErr w:type="spellStart"/>
      <w:r>
        <w:rPr>
          <w:rFonts w:ascii="FrankRuehl" w:hAnsi="FrankRuehl" w:cs="FrankRuehl"/>
          <w:sz w:val="26"/>
          <w:szCs w:val="26"/>
          <w:rtl/>
        </w:rPr>
        <w:t>תכניות</w:t>
      </w:r>
      <w:proofErr w:type="spellEnd"/>
      <w:r>
        <w:rPr>
          <w:rFonts w:ascii="FrankRuehl" w:hAnsi="FrankRuehl" w:cs="FrankRuehl"/>
          <w:sz w:val="26"/>
          <w:szCs w:val="26"/>
          <w:rtl/>
        </w:rPr>
        <w:t xml:space="preserve"> שנתיות לעידוד השתתפות של ילדים ובני נוער בפעילות מדע וטכנולוגיה, תמיכה במרכזי מחקר ופיתוח אזוריים בפריפריה, תמיכות למרכזי מדעים, תקצוב פעילויות במסגרת החינוך הבלתי פורמלי, חברות בארגונים בינלאומיים, קרנות מחקר לקידום מחר יישומי, השתתפות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המו"פ האירופית ותקציב סוכנות החלל הישראלית.</w:t>
      </w:r>
    </w:p>
    <w:p w14:paraId="3AF7AABF" w14:textId="77777777" w:rsidR="007451F3" w:rsidRDefault="007451F3" w:rsidP="007451F3">
      <w:pPr>
        <w:spacing w:line="276" w:lineRule="auto"/>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4A5E3ED2" w14:textId="77777777" w:rsidR="007451F3" w:rsidRDefault="007451F3" w:rsidP="007451F3">
      <w:pPr>
        <w:spacing w:line="276" w:lineRule="auto"/>
        <w:contextualSpacing/>
        <w:jc w:val="both"/>
        <w:rPr>
          <w:rFonts w:ascii="FrankRuehl" w:hAnsi="FrankRuehl" w:cs="FrankRuehl"/>
          <w:sz w:val="26"/>
          <w:szCs w:val="26"/>
          <w:rtl/>
        </w:rPr>
      </w:pPr>
      <w:r>
        <w:rPr>
          <w:rFonts w:ascii="FrankRuehl" w:hAnsi="FrankRuehl" w:cs="FrankRuehl"/>
          <w:sz w:val="26"/>
          <w:szCs w:val="26"/>
          <w:rtl/>
        </w:rPr>
        <w:t xml:space="preserve">העודפים נוצרו בגין פעילויות במסגרת החינוך הבלתי פורמאלי אשר באופיו עובד בהתאם לשנת הלימודים, וכן בגין תמיכות במחקר יישומי באקדמיה אשר פועלת בהתאם לשנת הלימודים האוניברסיטאית. הפער המובנה בין שנת התקציב לשנת הלימודים, מביא ליצירת בשנת תקציב אחת וביצוע מזומן בפועל בשנת התקציב העוקבת. </w:t>
      </w:r>
    </w:p>
    <w:p w14:paraId="1C9CEB89" w14:textId="77777777" w:rsidR="007451F3" w:rsidRDefault="007451F3" w:rsidP="007451F3">
      <w:pPr>
        <w:spacing w:line="276" w:lineRule="auto"/>
        <w:contextualSpacing/>
        <w:jc w:val="both"/>
        <w:rPr>
          <w:rFonts w:ascii="FrankRuehl" w:hAnsi="FrankRuehl" w:cs="FrankRuehl"/>
          <w:sz w:val="26"/>
          <w:szCs w:val="26"/>
          <w:rtl/>
        </w:rPr>
      </w:pPr>
    </w:p>
    <w:p w14:paraId="4B04BA2A" w14:textId="77777777" w:rsidR="007451F3" w:rsidRDefault="007451F3" w:rsidP="007451F3">
      <w:pPr>
        <w:spacing w:line="276" w:lineRule="auto"/>
        <w:ind w:left="360" w:hanging="360"/>
        <w:contextualSpacing/>
        <w:jc w:val="both"/>
        <w:rPr>
          <w:rFonts w:ascii="FrankRuehl" w:hAnsi="FrankRuehl" w:cs="FrankRuehl"/>
          <w:b/>
          <w:bCs/>
          <w:sz w:val="26"/>
          <w:szCs w:val="26"/>
          <w:rtl/>
        </w:rPr>
      </w:pPr>
      <w:r>
        <w:rPr>
          <w:rFonts w:ascii="FrankRuehl" w:hAnsi="FrankRuehl" w:cs="FrankRuehl"/>
          <w:b/>
          <w:bCs/>
          <w:sz w:val="26"/>
          <w:szCs w:val="26"/>
          <w:rtl/>
        </w:rPr>
        <w:t>תכנית 19-41-02: תפעול – 19,210 אלפי ש"ח</w:t>
      </w:r>
    </w:p>
    <w:p w14:paraId="0F66BD78" w14:textId="09D45E7A" w:rsidR="007451F3" w:rsidRDefault="007451F3" w:rsidP="007451F3">
      <w:pPr>
        <w:spacing w:line="276" w:lineRule="auto"/>
        <w:contextualSpacing/>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זו מתוקצבות הפעולות לתפעול המטה המשותף של משרד התרבות והספורט ושל משרד המדע והטכנולוגיה, בתחומי ההוצאה הבאים: הוצאות שכירות, ארנונה, חשמל, אחזקה ומחשוב. כמו כן, מתוקצב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זו נושא אבטחת השרים, אבטחת קריית הממשלה המזרחית, ואבטחת משלחות ספורטאים בחו"ל.</w:t>
      </w:r>
    </w:p>
    <w:p w14:paraId="3339332E" w14:textId="346D42C7" w:rsidR="007451F3" w:rsidRDefault="007451F3" w:rsidP="007451F3">
      <w:pPr>
        <w:spacing w:line="276" w:lineRule="auto"/>
        <w:contextualSpacing/>
        <w:jc w:val="both"/>
        <w:rPr>
          <w:rFonts w:ascii="FrankRuehl" w:hAnsi="FrankRuehl" w:cs="FrankRuehl"/>
          <w:b/>
          <w:bCs/>
          <w:sz w:val="26"/>
          <w:szCs w:val="26"/>
          <w:rtl/>
        </w:rPr>
      </w:pPr>
    </w:p>
    <w:p w14:paraId="5EA7A8AE" w14:textId="77777777" w:rsidR="007451F3" w:rsidRDefault="007451F3" w:rsidP="007451F3">
      <w:pPr>
        <w:spacing w:line="276" w:lineRule="auto"/>
        <w:contextualSpacing/>
        <w:jc w:val="both"/>
        <w:rPr>
          <w:rFonts w:ascii="FrankRuehl" w:hAnsi="FrankRuehl" w:cs="FrankRuehl"/>
          <w:b/>
          <w:bCs/>
          <w:sz w:val="26"/>
          <w:szCs w:val="26"/>
          <w:rtl/>
        </w:rPr>
      </w:pPr>
    </w:p>
    <w:p w14:paraId="737F60C2" w14:textId="77777777" w:rsidR="007451F3" w:rsidRDefault="007451F3" w:rsidP="007451F3">
      <w:pPr>
        <w:spacing w:line="276" w:lineRule="auto"/>
        <w:contextualSpacing/>
        <w:jc w:val="both"/>
        <w:rPr>
          <w:rFonts w:ascii="FrankRuehl" w:hAnsi="FrankRuehl" w:cs="FrankRuehl"/>
          <w:b/>
          <w:bCs/>
          <w:sz w:val="26"/>
          <w:szCs w:val="26"/>
          <w:rtl/>
        </w:rPr>
      </w:pPr>
      <w:r>
        <w:rPr>
          <w:rFonts w:ascii="FrankRuehl" w:hAnsi="FrankRuehl" w:cs="FrankRuehl"/>
          <w:b/>
          <w:bCs/>
          <w:sz w:val="26"/>
          <w:szCs w:val="26"/>
          <w:rtl/>
        </w:rPr>
        <w:lastRenderedPageBreak/>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78AFED35" w14:textId="77777777" w:rsidR="007451F3" w:rsidRDefault="007451F3" w:rsidP="007451F3">
      <w:pPr>
        <w:numPr>
          <w:ilvl w:val="0"/>
          <w:numId w:val="1"/>
        </w:numPr>
        <w:overflowPunct/>
        <w:autoSpaceDE/>
        <w:autoSpaceDN/>
        <w:adjustRightInd/>
        <w:spacing w:line="276" w:lineRule="auto"/>
        <w:contextualSpacing/>
        <w:jc w:val="both"/>
        <w:textAlignment w:val="auto"/>
        <w:rPr>
          <w:rFonts w:ascii="FrankRuehl" w:hAnsi="FrankRuehl" w:cs="FrankRuehl"/>
          <w:sz w:val="26"/>
          <w:szCs w:val="26"/>
        </w:rPr>
      </w:pPr>
      <w:r>
        <w:rPr>
          <w:rFonts w:ascii="FrankRuehl" w:hAnsi="FrankRuehl" w:cs="FrankRuehl"/>
          <w:sz w:val="26"/>
          <w:szCs w:val="26"/>
          <w:rtl/>
        </w:rPr>
        <w:t xml:space="preserve">הפעילות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מופנית להוצאת הכספים התפעוליים של המשרדים, הוצאות שכירות, ארנונה, חשמל, אחזקה ומחשוב. העודפים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התפעול נוצרו עקב אי-התאמה בקצב ההוצאה בשנה התקציבית לביצוע בפועל. </w:t>
      </w:r>
    </w:p>
    <w:p w14:paraId="102BF87A" w14:textId="77777777" w:rsidR="007451F3" w:rsidRDefault="007451F3" w:rsidP="007451F3">
      <w:pPr>
        <w:numPr>
          <w:ilvl w:val="0"/>
          <w:numId w:val="1"/>
        </w:numPr>
        <w:overflowPunct/>
        <w:autoSpaceDE/>
        <w:autoSpaceDN/>
        <w:adjustRightInd/>
        <w:spacing w:line="276" w:lineRule="auto"/>
        <w:contextualSpacing/>
        <w:jc w:val="both"/>
        <w:textAlignment w:val="auto"/>
        <w:rPr>
          <w:rFonts w:ascii="FrankRuehl" w:hAnsi="FrankRuehl" w:cs="FrankRuehl"/>
          <w:sz w:val="26"/>
          <w:szCs w:val="26"/>
        </w:rPr>
      </w:pPr>
      <w:r>
        <w:rPr>
          <w:rFonts w:ascii="FrankRuehl" w:hAnsi="FrankRuehl" w:cs="FrankRuehl"/>
          <w:sz w:val="26"/>
          <w:szCs w:val="26"/>
          <w:rtl/>
        </w:rPr>
        <w:t xml:space="preserve">מתוקצב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נושא אבטחת השר, חלק המשרד באבטחת קריית הממשלה המזרחית ואבטחת משלחות ספורט בחו"ל. נושאים אלו משולמים רק לאחר בירור כלל העלויות וקבלת חשבונות מכלל הספקים.</w:t>
      </w:r>
    </w:p>
    <w:p w14:paraId="01E81B4B" w14:textId="77777777" w:rsidR="007451F3" w:rsidRDefault="007451F3" w:rsidP="007451F3">
      <w:pPr>
        <w:spacing w:line="276" w:lineRule="auto"/>
        <w:contextualSpacing/>
        <w:jc w:val="both"/>
        <w:rPr>
          <w:rFonts w:ascii="FrankRuehl" w:hAnsi="FrankRuehl" w:cs="FrankRuehl"/>
          <w:b/>
          <w:bCs/>
          <w:sz w:val="26"/>
          <w:szCs w:val="26"/>
          <w:rtl/>
        </w:rPr>
      </w:pPr>
    </w:p>
    <w:p w14:paraId="406BBDD9" w14:textId="77777777" w:rsidR="007451F3" w:rsidRDefault="007451F3" w:rsidP="007451F3">
      <w:pPr>
        <w:spacing w:line="276" w:lineRule="auto"/>
        <w:ind w:left="360" w:hanging="360"/>
        <w:contextualSpacing/>
        <w:jc w:val="both"/>
        <w:rPr>
          <w:rFonts w:ascii="FrankRuehl" w:hAnsi="FrankRuehl" w:cs="FrankRuehl"/>
          <w:b/>
          <w:bCs/>
          <w:sz w:val="26"/>
          <w:szCs w:val="26"/>
          <w:rtl/>
        </w:rPr>
      </w:pPr>
      <w:r>
        <w:rPr>
          <w:rFonts w:ascii="FrankRuehl" w:hAnsi="FrankRuehl" w:cs="FrankRuehl"/>
          <w:b/>
          <w:bCs/>
          <w:sz w:val="26"/>
          <w:szCs w:val="26"/>
          <w:rtl/>
        </w:rPr>
        <w:t>תכנית 19-41-03: מרכז הסברה – 11,129 אלפי ש"ח</w:t>
      </w:r>
    </w:p>
    <w:p w14:paraId="005F111E" w14:textId="77777777" w:rsidR="007451F3" w:rsidRDefault="007451F3" w:rsidP="007451F3">
      <w:pPr>
        <w:spacing w:line="276" w:lineRule="auto"/>
        <w:contextualSpacing/>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זו מתוקצב כלל פעילות מרכז ההסברה. מרכז ההסברה הוא הגוף האמון על קיום כלל הטקסים הממלכתיים של מדינת ישראל. פעילות המרכז כוללת התקשרויות עם מוסדות, מפיקים, אמנים וכל אשר נדרש לעריכת טקס ממלכתי. </w:t>
      </w:r>
    </w:p>
    <w:p w14:paraId="5A2069DD" w14:textId="77777777" w:rsidR="007451F3" w:rsidRDefault="007451F3" w:rsidP="007451F3">
      <w:pPr>
        <w:spacing w:line="276" w:lineRule="auto"/>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288A2572" w14:textId="77777777" w:rsidR="007451F3" w:rsidRDefault="007451F3" w:rsidP="007451F3">
      <w:pPr>
        <w:spacing w:line="276" w:lineRule="auto"/>
        <w:contextualSpacing/>
        <w:jc w:val="both"/>
        <w:rPr>
          <w:rFonts w:ascii="FrankRuehl" w:hAnsi="FrankRuehl" w:cs="FrankRuehl"/>
          <w:b/>
          <w:bCs/>
          <w:sz w:val="26"/>
          <w:szCs w:val="26"/>
          <w:rtl/>
        </w:rPr>
      </w:pPr>
      <w:r>
        <w:rPr>
          <w:rFonts w:ascii="FrankRuehl" w:hAnsi="FrankRuehl" w:cs="FrankRuehl"/>
          <w:sz w:val="26"/>
          <w:szCs w:val="26"/>
          <w:rtl/>
        </w:rPr>
        <w:t>העודפים בתוכנית נוצרו בהתקשרויות חוצות שנה המיועדות לתפעול ועריכת טקסים ממלכתיים. לשם עריכת הטקסים, נערכות התקשרויות חוצות שנת תקציב עם הגורמים הרלוונטיים. לאור העובדה שטקסים ממלכתיים מתוכננים ומטופלים מספר חודשים טרם קיום הטקס בפועל, על מנת לאפשר היערכות ראויה, נוצרים עודפים באופן אינהרנטי.</w:t>
      </w:r>
    </w:p>
    <w:p w14:paraId="56CB4654" w14:textId="77777777" w:rsidR="007451F3" w:rsidRDefault="007451F3" w:rsidP="007451F3">
      <w:pPr>
        <w:spacing w:line="276" w:lineRule="auto"/>
        <w:contextualSpacing/>
        <w:jc w:val="both"/>
        <w:rPr>
          <w:rFonts w:ascii="FrankRuehl" w:hAnsi="FrankRuehl" w:cs="FrankRuehl"/>
          <w:b/>
          <w:bCs/>
          <w:sz w:val="26"/>
          <w:szCs w:val="26"/>
          <w:rtl/>
        </w:rPr>
      </w:pPr>
    </w:p>
    <w:p w14:paraId="4F55DC08" w14:textId="77777777" w:rsidR="007451F3" w:rsidRDefault="007451F3" w:rsidP="007451F3">
      <w:pPr>
        <w:spacing w:line="276" w:lineRule="auto"/>
        <w:contextualSpacing/>
        <w:jc w:val="both"/>
        <w:rPr>
          <w:rFonts w:ascii="FrankRuehl" w:hAnsi="FrankRuehl" w:cs="FrankRuehl"/>
          <w:sz w:val="26"/>
          <w:szCs w:val="26"/>
          <w:rtl/>
        </w:rPr>
      </w:pPr>
      <w:r>
        <w:rPr>
          <w:rFonts w:ascii="FrankRuehl" w:hAnsi="FrankRuehl" w:cs="FrankRuehl"/>
          <w:b/>
          <w:bCs/>
          <w:sz w:val="26"/>
          <w:szCs w:val="26"/>
          <w:rtl/>
        </w:rPr>
        <w:t xml:space="preserve">תכנית 19-42-02: </w:t>
      </w:r>
      <w:proofErr w:type="spellStart"/>
      <w:r>
        <w:rPr>
          <w:rFonts w:ascii="FrankRuehl" w:hAnsi="FrankRuehl" w:cs="FrankRuehl"/>
          <w:b/>
          <w:bCs/>
          <w:sz w:val="26"/>
          <w:szCs w:val="26"/>
          <w:rtl/>
        </w:rPr>
        <w:t>מינהל</w:t>
      </w:r>
      <w:proofErr w:type="spellEnd"/>
      <w:r>
        <w:rPr>
          <w:rFonts w:ascii="FrankRuehl" w:hAnsi="FrankRuehl" w:cs="FrankRuehl"/>
          <w:b/>
          <w:bCs/>
          <w:sz w:val="26"/>
          <w:szCs w:val="26"/>
          <w:rtl/>
        </w:rPr>
        <w:t xml:space="preserve"> התרבות – 131,584 אלפי ש"ח</w:t>
      </w:r>
    </w:p>
    <w:p w14:paraId="2BE6FEBE" w14:textId="77777777" w:rsidR="007451F3" w:rsidRDefault="007451F3" w:rsidP="007451F3">
      <w:pPr>
        <w:spacing w:line="276" w:lineRule="auto"/>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sz w:val="26"/>
          <w:szCs w:val="26"/>
          <w:rtl/>
        </w:rPr>
        <w:t xml:space="preserve">: </w:t>
      </w:r>
    </w:p>
    <w:p w14:paraId="57C77EB6" w14:textId="77777777" w:rsidR="007451F3" w:rsidRDefault="007451F3" w:rsidP="007451F3">
      <w:pPr>
        <w:spacing w:line="276" w:lineRule="auto"/>
        <w:contextualSpacing/>
        <w:jc w:val="both"/>
        <w:rPr>
          <w:rFonts w:ascii="FrankRuehl" w:hAnsi="FrankRuehl" w:cs="FrankRuehl"/>
          <w:sz w:val="26"/>
          <w:szCs w:val="26"/>
          <w:rtl/>
        </w:rPr>
      </w:pPr>
      <w:r>
        <w:rPr>
          <w:rFonts w:ascii="FrankRuehl" w:hAnsi="FrankRuehl" w:cs="FrankRuehl"/>
          <w:sz w:val="26"/>
          <w:szCs w:val="26"/>
          <w:rtl/>
        </w:rPr>
        <w:t xml:space="preserve">תכנית זו משמשת לתקצוב פעילות </w:t>
      </w:r>
      <w:proofErr w:type="spellStart"/>
      <w:r>
        <w:rPr>
          <w:rFonts w:ascii="FrankRuehl" w:hAnsi="FrankRuehl" w:cs="FrankRuehl"/>
          <w:sz w:val="26"/>
          <w:szCs w:val="26"/>
          <w:rtl/>
        </w:rPr>
        <w:t>מינהל</w:t>
      </w:r>
      <w:proofErr w:type="spellEnd"/>
      <w:r>
        <w:rPr>
          <w:rFonts w:ascii="FrankRuehl" w:hAnsi="FrankRuehl" w:cs="FrankRuehl"/>
          <w:sz w:val="26"/>
          <w:szCs w:val="26"/>
          <w:rtl/>
        </w:rPr>
        <w:t xml:space="preserve"> התרבות אשר מסייע למוסדות וליוצרים בתחום התרבות בקיום פעילות שוטפת, יוזמות, פעולות, אירועים, פסטיבלים לאמנות, הכשרה אמנותית ברמה מקצועית, מעמיד כלים לביטויי האמנות לסוגיה, קובע קריטריונים לתמיכות, להקצאת משאבים ולסיוע בפתרון בעיות ומשברים במוסדות השונים, מעניק פרסים לקידום ועידוד האמן היוצר והמבצע, תומך במוסדות תרבות ואמנות ומטפל בבקשות לתמיכה במוסדות ופרויקטים.</w:t>
      </w:r>
    </w:p>
    <w:p w14:paraId="1B54F518" w14:textId="77777777" w:rsidR="007451F3" w:rsidRDefault="007451F3" w:rsidP="007451F3">
      <w:pPr>
        <w:spacing w:line="276" w:lineRule="auto"/>
        <w:contextualSpacing/>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254B5F8E" w14:textId="77777777" w:rsidR="007451F3" w:rsidRDefault="007451F3" w:rsidP="007451F3">
      <w:pPr>
        <w:numPr>
          <w:ilvl w:val="0"/>
          <w:numId w:val="2"/>
        </w:numPr>
        <w:overflowPunct/>
        <w:autoSpaceDE/>
        <w:adjustRightInd/>
        <w:spacing w:line="276" w:lineRule="auto"/>
        <w:contextualSpacing/>
        <w:jc w:val="both"/>
        <w:textAlignment w:val="auto"/>
        <w:rPr>
          <w:rFonts w:cs="FrankRuehl"/>
          <w:sz w:val="26"/>
          <w:szCs w:val="26"/>
        </w:rPr>
      </w:pPr>
      <w:proofErr w:type="spellStart"/>
      <w:r>
        <w:rPr>
          <w:rFonts w:cs="FrankRuehl"/>
          <w:sz w:val="26"/>
          <w:szCs w:val="26"/>
          <w:rtl/>
        </w:rPr>
        <w:t>מינהל</w:t>
      </w:r>
      <w:proofErr w:type="spellEnd"/>
      <w:r>
        <w:rPr>
          <w:rFonts w:cs="FrankRuehl"/>
          <w:sz w:val="26"/>
          <w:szCs w:val="26"/>
          <w:rtl/>
        </w:rPr>
        <w:t xml:space="preserve"> התרבות אחראי על תמיכה במוסדות תרבות, מסייע </w:t>
      </w:r>
      <w:proofErr w:type="spellStart"/>
      <w:r>
        <w:rPr>
          <w:rFonts w:cs="FrankRuehl"/>
          <w:sz w:val="26"/>
          <w:szCs w:val="26"/>
          <w:rtl/>
        </w:rPr>
        <w:t>בהנגשת</w:t>
      </w:r>
      <w:proofErr w:type="spellEnd"/>
      <w:r>
        <w:rPr>
          <w:rFonts w:cs="FrankRuehl"/>
          <w:sz w:val="26"/>
          <w:szCs w:val="26"/>
          <w:rtl/>
        </w:rPr>
        <w:t xml:space="preserve"> התרבות לפריפריה החברתית והגאוגרפית. התקצוב </w:t>
      </w:r>
      <w:proofErr w:type="spellStart"/>
      <w:r>
        <w:rPr>
          <w:rFonts w:cs="FrankRuehl"/>
          <w:sz w:val="26"/>
          <w:szCs w:val="26"/>
          <w:rtl/>
        </w:rPr>
        <w:t>בתכנית</w:t>
      </w:r>
      <w:proofErr w:type="spellEnd"/>
      <w:r>
        <w:rPr>
          <w:rFonts w:cs="FrankRuehl"/>
          <w:sz w:val="26"/>
          <w:szCs w:val="26"/>
          <w:rtl/>
        </w:rPr>
        <w:t xml:space="preserve"> מופנה לתמיכה במוסדות תרבות, שיפוצי מוסדות תרבות, מימון חוק הספריות ופעולות </w:t>
      </w:r>
      <w:proofErr w:type="spellStart"/>
      <w:r>
        <w:rPr>
          <w:rFonts w:cs="FrankRuehl"/>
          <w:sz w:val="26"/>
          <w:szCs w:val="26"/>
          <w:rtl/>
        </w:rPr>
        <w:t>להנגשת</w:t>
      </w:r>
      <w:proofErr w:type="spellEnd"/>
      <w:r>
        <w:rPr>
          <w:rFonts w:cs="FrankRuehl"/>
          <w:sz w:val="26"/>
          <w:szCs w:val="26"/>
          <w:rtl/>
        </w:rPr>
        <w:t xml:space="preserve"> תרבות בפריפריה. העודפים </w:t>
      </w:r>
      <w:proofErr w:type="spellStart"/>
      <w:r>
        <w:rPr>
          <w:rFonts w:cs="FrankRuehl"/>
          <w:sz w:val="26"/>
          <w:szCs w:val="26"/>
          <w:rtl/>
        </w:rPr>
        <w:t>בתכנית</w:t>
      </w:r>
      <w:proofErr w:type="spellEnd"/>
      <w:r>
        <w:rPr>
          <w:rFonts w:cs="FrankRuehl"/>
          <w:sz w:val="26"/>
          <w:szCs w:val="26"/>
          <w:rtl/>
        </w:rPr>
        <w:t xml:space="preserve"> נובעים ממימון חוק הספריות אשר ההתקשרות בגינם לא תואמת את שנת התקציב או בשל עיכוב בתשלום עבור פרויקטים מסוימים כתוצאה מעיכוב בקצב הביצוע בפועל.</w:t>
      </w:r>
    </w:p>
    <w:p w14:paraId="579D8926" w14:textId="77777777" w:rsidR="007451F3" w:rsidRDefault="007451F3" w:rsidP="007451F3">
      <w:pPr>
        <w:numPr>
          <w:ilvl w:val="0"/>
          <w:numId w:val="2"/>
        </w:numPr>
        <w:overflowPunct/>
        <w:autoSpaceDE/>
        <w:adjustRightInd/>
        <w:spacing w:line="276" w:lineRule="auto"/>
        <w:contextualSpacing/>
        <w:jc w:val="both"/>
        <w:textAlignment w:val="auto"/>
        <w:rPr>
          <w:rFonts w:cs="FrankRuehl"/>
          <w:sz w:val="26"/>
          <w:szCs w:val="26"/>
        </w:rPr>
      </w:pPr>
      <w:r>
        <w:rPr>
          <w:rFonts w:cs="FrankRuehl"/>
          <w:sz w:val="26"/>
          <w:szCs w:val="26"/>
          <w:rtl/>
        </w:rPr>
        <w:t xml:space="preserve">פעולות כלליות בתרבות – עיקר העודפים נוצרו בגין התקשרויות חוצות שנה. </w:t>
      </w:r>
    </w:p>
    <w:p w14:paraId="51A36A58" w14:textId="77777777" w:rsidR="007451F3" w:rsidRDefault="007451F3" w:rsidP="007451F3">
      <w:pPr>
        <w:numPr>
          <w:ilvl w:val="0"/>
          <w:numId w:val="2"/>
        </w:numPr>
        <w:overflowPunct/>
        <w:autoSpaceDE/>
        <w:adjustRightInd/>
        <w:spacing w:line="276" w:lineRule="auto"/>
        <w:contextualSpacing/>
        <w:jc w:val="both"/>
        <w:textAlignment w:val="auto"/>
        <w:rPr>
          <w:rFonts w:cs="FrankRuehl"/>
          <w:sz w:val="26"/>
          <w:szCs w:val="26"/>
        </w:rPr>
      </w:pPr>
      <w:r>
        <w:rPr>
          <w:rFonts w:cs="FrankRuehl"/>
          <w:sz w:val="26"/>
          <w:szCs w:val="26"/>
          <w:rtl/>
        </w:rPr>
        <w:t>מופעי מופת - עיקר העודף נוצר עקב קשיים משפטיים במימוש מבחן התמיכה מה שגרם להסטת המימוש לשנה העוקבת.</w:t>
      </w:r>
    </w:p>
    <w:p w14:paraId="05338F42" w14:textId="77777777" w:rsidR="007451F3" w:rsidRDefault="007451F3" w:rsidP="007451F3">
      <w:pPr>
        <w:spacing w:line="276" w:lineRule="auto"/>
        <w:contextualSpacing/>
        <w:jc w:val="both"/>
        <w:rPr>
          <w:rFonts w:ascii="FrankRuehl" w:hAnsi="FrankRuehl" w:cs="FrankRuehl"/>
          <w:b/>
          <w:bCs/>
          <w:sz w:val="26"/>
          <w:szCs w:val="26"/>
        </w:rPr>
      </w:pPr>
    </w:p>
    <w:p w14:paraId="260B8FED" w14:textId="77777777" w:rsidR="007451F3" w:rsidRDefault="007451F3" w:rsidP="007451F3">
      <w:pPr>
        <w:spacing w:line="276" w:lineRule="auto"/>
        <w:contextualSpacing/>
        <w:jc w:val="both"/>
        <w:rPr>
          <w:rFonts w:ascii="FrankRuehl" w:hAnsi="FrankRuehl" w:cs="FrankRuehl"/>
          <w:b/>
          <w:bCs/>
          <w:sz w:val="26"/>
          <w:szCs w:val="26"/>
        </w:rPr>
      </w:pPr>
      <w:r>
        <w:rPr>
          <w:rFonts w:ascii="FrankRuehl" w:hAnsi="FrankRuehl" w:cs="FrankRuehl"/>
          <w:b/>
          <w:bCs/>
          <w:sz w:val="26"/>
          <w:szCs w:val="26"/>
          <w:rtl/>
        </w:rPr>
        <w:t xml:space="preserve">תכנית 19-43-03: </w:t>
      </w:r>
      <w:proofErr w:type="spellStart"/>
      <w:r>
        <w:rPr>
          <w:rFonts w:ascii="FrankRuehl" w:hAnsi="FrankRuehl" w:cs="FrankRuehl"/>
          <w:b/>
          <w:bCs/>
          <w:sz w:val="26"/>
          <w:szCs w:val="26"/>
          <w:rtl/>
        </w:rPr>
        <w:t>מינהל</w:t>
      </w:r>
      <w:proofErr w:type="spellEnd"/>
      <w:r>
        <w:rPr>
          <w:rFonts w:ascii="FrankRuehl" w:hAnsi="FrankRuehl" w:cs="FrankRuehl"/>
          <w:b/>
          <w:bCs/>
          <w:sz w:val="26"/>
          <w:szCs w:val="26"/>
          <w:rtl/>
        </w:rPr>
        <w:t xml:space="preserve"> הספורט – 104,560 אלפי ש"ח</w:t>
      </w:r>
    </w:p>
    <w:p w14:paraId="249D2C60" w14:textId="77777777" w:rsidR="007451F3" w:rsidRDefault="007451F3" w:rsidP="007451F3">
      <w:pPr>
        <w:spacing w:line="276" w:lineRule="auto"/>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sz w:val="26"/>
          <w:szCs w:val="26"/>
          <w:rtl/>
        </w:rPr>
        <w:t xml:space="preserve">: </w:t>
      </w:r>
    </w:p>
    <w:p w14:paraId="3CBC17F9" w14:textId="77777777" w:rsidR="007451F3" w:rsidRDefault="007451F3" w:rsidP="007451F3">
      <w:pPr>
        <w:spacing w:line="276" w:lineRule="auto"/>
        <w:contextualSpacing/>
        <w:jc w:val="both"/>
        <w:rPr>
          <w:rFonts w:ascii="FrankRuehl" w:hAnsi="FrankRuehl" w:cs="FrankRuehl"/>
          <w:b/>
          <w:bCs/>
          <w:sz w:val="26"/>
          <w:szCs w:val="26"/>
        </w:rPr>
      </w:pPr>
      <w:r>
        <w:rPr>
          <w:rFonts w:ascii="FrankRuehl" w:hAnsi="FrankRuehl" w:cs="FrankRuehl"/>
          <w:sz w:val="26"/>
          <w:szCs w:val="26"/>
          <w:rtl/>
        </w:rPr>
        <w:t>תכנית זו משמשת למימון פעילות מנהל הספורט. מנהל הספורט עוסק בתחומים הבאים: ספורט הישגי ותחרותי, תרבות הספורט (ספורט עממי), קידום נשים בספורט, פיתוח הנהיגה הספורטיבית (באמצעות הרשות לנהיגה ספורטיבית), ופיתוח וקידום הצלילה הספורטיבית (באמצעות הרשות לצלילה ספורטיבית).</w:t>
      </w:r>
    </w:p>
    <w:p w14:paraId="16F06EAC" w14:textId="77777777" w:rsidR="007451F3" w:rsidRDefault="007451F3" w:rsidP="007451F3">
      <w:pPr>
        <w:spacing w:line="276" w:lineRule="auto"/>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08B33AD1" w14:textId="3D92DE0E" w:rsidR="00274FEB" w:rsidRDefault="007451F3" w:rsidP="00EF3018">
      <w:pPr>
        <w:spacing w:line="276" w:lineRule="auto"/>
        <w:contextualSpacing/>
        <w:jc w:val="both"/>
        <w:rPr>
          <w:rFonts w:cs="FrankRuehl"/>
          <w:sz w:val="26"/>
          <w:szCs w:val="26"/>
          <w:rtl/>
        </w:rPr>
      </w:pPr>
      <w:r>
        <w:rPr>
          <w:rFonts w:ascii="FrankRuehl" w:hAnsi="FrankRuehl" w:cs="FrankRuehl"/>
          <w:b/>
          <w:sz w:val="26"/>
          <w:szCs w:val="26"/>
          <w:rtl/>
        </w:rPr>
        <w:t xml:space="preserve">העודפים </w:t>
      </w:r>
      <w:proofErr w:type="spellStart"/>
      <w:r>
        <w:rPr>
          <w:rFonts w:ascii="FrankRuehl" w:hAnsi="FrankRuehl" w:cs="FrankRuehl"/>
          <w:b/>
          <w:sz w:val="26"/>
          <w:szCs w:val="26"/>
          <w:rtl/>
        </w:rPr>
        <w:t>בתכנית</w:t>
      </w:r>
      <w:proofErr w:type="spellEnd"/>
      <w:r>
        <w:rPr>
          <w:rFonts w:ascii="FrankRuehl" w:hAnsi="FrankRuehl" w:cs="FrankRuehl"/>
          <w:b/>
          <w:sz w:val="26"/>
          <w:szCs w:val="26"/>
          <w:rtl/>
        </w:rPr>
        <w:t xml:space="preserve"> נובעים מפעולות חוצות שנה של מנהל הספורט. מבין הפעילויות שבגינן קיימות התחייבויות חוצות שנה בולטות פעילות הרכש, תשלום התמיכות לאגודות ולאיגודים. כמו כן, עקב </w:t>
      </w:r>
      <w:r>
        <w:rPr>
          <w:rFonts w:ascii="FrankRuehl" w:hAnsi="FrankRuehl" w:cs="FrankRuehl"/>
          <w:b/>
          <w:sz w:val="26"/>
          <w:szCs w:val="26"/>
          <w:rtl/>
        </w:rPr>
        <w:lastRenderedPageBreak/>
        <w:t>המלחמה והשפעותיה, נוצר עיכוב באירועי ספורט בינלאומיים שהיו אמורים להתקיים ונדחו לשנים הבאות.</w:t>
      </w:r>
    </w:p>
    <w:p w14:paraId="3AA098DA" w14:textId="77777777" w:rsidR="007451F3" w:rsidRDefault="007451F3" w:rsidP="007451F3">
      <w:pPr>
        <w:spacing w:line="276" w:lineRule="auto"/>
        <w:rPr>
          <w:rFonts w:cs="David"/>
          <w:sz w:val="24"/>
          <w:rtl/>
        </w:rPr>
      </w:pPr>
    </w:p>
    <w:p w14:paraId="26F097B0" w14:textId="77777777" w:rsidR="0051496B" w:rsidRPr="000A3FA0" w:rsidRDefault="0051496B" w:rsidP="00A6761F">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76F814A0" w14:textId="77777777" w:rsidR="0051496B" w:rsidRPr="000A3FA0" w:rsidRDefault="0051496B" w:rsidP="00A6761F">
      <w:pPr>
        <w:jc w:val="both"/>
        <w:rPr>
          <w:rFonts w:cs="FrankRuehl"/>
          <w:sz w:val="26"/>
          <w:szCs w:val="26"/>
          <w:rtl/>
        </w:rPr>
      </w:pPr>
    </w:p>
    <w:p w14:paraId="263C283A" w14:textId="77777777" w:rsidR="0051496B" w:rsidRPr="000A3FA0" w:rsidRDefault="0051496B" w:rsidP="00A6761F">
      <w:pPr>
        <w:jc w:val="both"/>
        <w:rPr>
          <w:rFonts w:cs="FrankRuehl"/>
          <w:sz w:val="26"/>
          <w:szCs w:val="26"/>
          <w:rtl/>
        </w:rPr>
      </w:pPr>
    </w:p>
    <w:p w14:paraId="6CDFF456"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66AD7B14" w14:textId="77777777" w:rsidR="0051496B" w:rsidRDefault="0051496B">
      <w:pPr>
        <w:tabs>
          <w:tab w:val="center" w:pos="6867"/>
        </w:tabs>
        <w:rPr>
          <w:rFonts w:cs="FrankRuehl"/>
          <w:sz w:val="26"/>
          <w:szCs w:val="26"/>
          <w:rtl/>
        </w:rPr>
      </w:pPr>
    </w:p>
    <w:p w14:paraId="2857A794"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45C48F2A" w14:textId="77777777" w:rsidR="0051496B" w:rsidRPr="000A3FA0" w:rsidRDefault="0051496B">
      <w:pPr>
        <w:tabs>
          <w:tab w:val="center" w:pos="6867"/>
        </w:tabs>
        <w:rPr>
          <w:rFonts w:cs="FrankRuehl"/>
          <w:sz w:val="26"/>
          <w:szCs w:val="26"/>
          <w:rtl/>
        </w:rPr>
      </w:pPr>
    </w:p>
    <w:p w14:paraId="20B51327"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5DAC914A"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404EA0B8" w14:textId="77777777" w:rsidR="0051496B" w:rsidRPr="000A3FA0" w:rsidRDefault="0051496B">
      <w:pPr>
        <w:rPr>
          <w:rFonts w:cs="FrankRuehl"/>
          <w:sz w:val="26"/>
          <w:szCs w:val="26"/>
          <w:rtl/>
        </w:rPr>
      </w:pPr>
    </w:p>
    <w:p w14:paraId="23788EB5" w14:textId="77777777" w:rsidR="0051496B" w:rsidRPr="000A3FA0" w:rsidRDefault="0051496B">
      <w:pPr>
        <w:rPr>
          <w:rFonts w:cs="FrankRuehl"/>
          <w:sz w:val="26"/>
          <w:szCs w:val="26"/>
          <w:rtl/>
        </w:rPr>
      </w:pPr>
      <w:r w:rsidRPr="000A3FA0">
        <w:rPr>
          <w:rFonts w:cs="FrankRuehl"/>
          <w:sz w:val="26"/>
          <w:szCs w:val="26"/>
          <w:rtl/>
        </w:rPr>
        <w:t>העתק:</w:t>
      </w:r>
    </w:p>
    <w:p w14:paraId="630783C1" w14:textId="77777777" w:rsidR="0051496B" w:rsidRPr="000A3FA0" w:rsidRDefault="0051496B">
      <w:pPr>
        <w:rPr>
          <w:rFonts w:cs="FrankRuehl"/>
          <w:sz w:val="26"/>
          <w:szCs w:val="26"/>
          <w:rtl/>
        </w:rPr>
      </w:pPr>
      <w:r w:rsidRPr="000A3FA0">
        <w:rPr>
          <w:rFonts w:cs="FrankRuehl"/>
          <w:sz w:val="26"/>
          <w:szCs w:val="26"/>
          <w:rtl/>
        </w:rPr>
        <w:t>החשב הכללי</w:t>
      </w:r>
    </w:p>
    <w:p w14:paraId="32566053" w14:textId="77777777" w:rsidR="0051496B" w:rsidRPr="000A3FA0" w:rsidRDefault="0051496B">
      <w:pPr>
        <w:rPr>
          <w:rFonts w:cs="FrankRuehl"/>
          <w:sz w:val="26"/>
          <w:szCs w:val="26"/>
          <w:rtl/>
        </w:rPr>
      </w:pPr>
      <w:r w:rsidRPr="000A3FA0">
        <w:rPr>
          <w:rFonts w:cs="FrankRuehl"/>
          <w:sz w:val="26"/>
          <w:szCs w:val="26"/>
          <w:rtl/>
        </w:rPr>
        <w:t>מבקר המדינה (2)</w:t>
      </w:r>
    </w:p>
    <w:p w14:paraId="782433B6" w14:textId="77777777" w:rsidR="005B2D6A" w:rsidRDefault="005B2D6A">
      <w:pPr>
        <w:rPr>
          <w:rFonts w:cs="FrankRuehl"/>
          <w:sz w:val="26"/>
          <w:szCs w:val="26"/>
          <w:rtl/>
        </w:rPr>
      </w:pPr>
      <w:bookmarkStart w:id="12" w:name="TAKZIV22"/>
      <w:r>
        <w:rPr>
          <w:rFonts w:cs="FrankRuehl"/>
          <w:sz w:val="26"/>
          <w:szCs w:val="26"/>
          <w:rtl/>
        </w:rPr>
        <w:t>חשב משרד המדע</w:t>
      </w:r>
    </w:p>
    <w:p w14:paraId="0F7F058A" w14:textId="77777777" w:rsidR="005B2D6A" w:rsidRDefault="005B2D6A">
      <w:pPr>
        <w:rPr>
          <w:rFonts w:cs="FrankRuehl"/>
          <w:sz w:val="26"/>
          <w:szCs w:val="26"/>
          <w:rtl/>
        </w:rPr>
      </w:pPr>
      <w:r>
        <w:rPr>
          <w:rFonts w:cs="FrankRuehl"/>
          <w:sz w:val="26"/>
          <w:szCs w:val="26"/>
          <w:rtl/>
        </w:rPr>
        <w:t>חשב מרכז ההסברה</w:t>
      </w:r>
    </w:p>
    <w:p w14:paraId="36BA287E" w14:textId="3CFCD540" w:rsidR="0051496B" w:rsidRPr="000A3FA0" w:rsidRDefault="005B2D6A">
      <w:pPr>
        <w:rPr>
          <w:rFonts w:cs="FrankRuehl"/>
          <w:sz w:val="26"/>
          <w:szCs w:val="26"/>
          <w:rtl/>
        </w:rPr>
      </w:pPr>
      <w:r>
        <w:rPr>
          <w:rFonts w:cs="FrankRuehl"/>
          <w:sz w:val="26"/>
          <w:szCs w:val="26"/>
          <w:rtl/>
        </w:rPr>
        <w:t>חשב משרד ראש הממשלה ירושלים</w:t>
      </w:r>
      <w:bookmarkEnd w:id="12"/>
    </w:p>
    <w:p w14:paraId="1EB04989" w14:textId="5C658CFF"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5B2D6A">
        <w:rPr>
          <w:rFonts w:cs="FrankRuehl"/>
          <w:sz w:val="26"/>
          <w:szCs w:val="26"/>
          <w:rtl/>
        </w:rPr>
        <w:t>מדע, תרבות וספורט</w:t>
      </w:r>
      <w:bookmarkEnd w:id="13"/>
    </w:p>
    <w:p w14:paraId="6C01C57D" w14:textId="3EDEF013"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5B2D6A">
        <w:rPr>
          <w:rFonts w:cs="FrankRuehl"/>
          <w:sz w:val="26"/>
          <w:szCs w:val="26"/>
          <w:rtl/>
        </w:rPr>
        <w:t>מדע, תרבות וספורט</w:t>
      </w:r>
      <w:bookmarkEnd w:id="14"/>
    </w:p>
    <w:p w14:paraId="1B023982" w14:textId="77777777" w:rsidR="0051496B" w:rsidRPr="000A3FA0" w:rsidRDefault="0051496B">
      <w:pPr>
        <w:rPr>
          <w:rFonts w:cs="FrankRuehl"/>
          <w:sz w:val="26"/>
          <w:szCs w:val="26"/>
          <w:rtl/>
        </w:rPr>
      </w:pPr>
      <w:bookmarkStart w:id="15" w:name="TAKZIV23"/>
      <w:bookmarkEnd w:id="15"/>
    </w:p>
    <w:p w14:paraId="3F64F5AF" w14:textId="77777777" w:rsidR="0051496B" w:rsidRPr="000A3FA0" w:rsidRDefault="0051496B">
      <w:pPr>
        <w:rPr>
          <w:rFonts w:cs="FrankRuehl"/>
          <w:sz w:val="26"/>
          <w:szCs w:val="26"/>
          <w:rtl/>
        </w:rPr>
      </w:pPr>
    </w:p>
    <w:p w14:paraId="4FB95B78" w14:textId="48882F1B" w:rsidR="00EF3018" w:rsidRPr="00274FEB" w:rsidRDefault="00EF3018" w:rsidP="00CA1553">
      <w:pPr>
        <w:rPr>
          <w:rFonts w:ascii="FrankRuehl" w:hAnsi="FrankRuehl"/>
          <w:color w:val="9CC2E5"/>
          <w:sz w:val="18"/>
          <w:szCs w:val="18"/>
          <w:rtl/>
        </w:rPr>
      </w:pPr>
      <w:bookmarkStart w:id="16" w:name="TAKZIV25"/>
      <w:bookmarkEnd w:id="16"/>
    </w:p>
    <w:p w14:paraId="1F322307" w14:textId="5DDEB739" w:rsidR="0051496B" w:rsidRDefault="0051496B">
      <w:pPr>
        <w:rPr>
          <w:rFonts w:cs="FrankRuehl"/>
          <w:sz w:val="26"/>
          <w:szCs w:val="26"/>
          <w:rtl/>
        </w:rPr>
      </w:pPr>
    </w:p>
    <w:p w14:paraId="4427E876" w14:textId="4A0DE024" w:rsidR="003C1D79" w:rsidRDefault="003C1D79">
      <w:pPr>
        <w:rPr>
          <w:rFonts w:cs="FrankRuehl"/>
          <w:sz w:val="26"/>
          <w:szCs w:val="26"/>
          <w:rtl/>
        </w:rPr>
      </w:pPr>
    </w:p>
    <w:p w14:paraId="115CA6CA" w14:textId="2A774177" w:rsidR="003C1D79" w:rsidRDefault="003C1D79">
      <w:pPr>
        <w:rPr>
          <w:rFonts w:cs="FrankRuehl"/>
          <w:sz w:val="26"/>
          <w:szCs w:val="26"/>
          <w:rtl/>
        </w:rPr>
      </w:pPr>
    </w:p>
    <w:p w14:paraId="3C1740E8" w14:textId="6321D37B" w:rsidR="003C1D79" w:rsidRDefault="003C1D79">
      <w:pPr>
        <w:rPr>
          <w:rFonts w:cs="FrankRuehl"/>
          <w:sz w:val="26"/>
          <w:szCs w:val="26"/>
          <w:rtl/>
        </w:rPr>
      </w:pPr>
    </w:p>
    <w:p w14:paraId="23BAEF4D" w14:textId="557B19BD" w:rsidR="003C1D79" w:rsidRDefault="003C1D79">
      <w:pPr>
        <w:rPr>
          <w:rFonts w:cs="FrankRuehl"/>
          <w:sz w:val="26"/>
          <w:szCs w:val="26"/>
          <w:rtl/>
        </w:rPr>
      </w:pPr>
    </w:p>
    <w:p w14:paraId="6E974D69" w14:textId="3D81A89C" w:rsidR="003C1D79" w:rsidRDefault="003C1D79">
      <w:pPr>
        <w:rPr>
          <w:rFonts w:cs="FrankRuehl"/>
          <w:sz w:val="26"/>
          <w:szCs w:val="26"/>
          <w:rtl/>
        </w:rPr>
      </w:pPr>
    </w:p>
    <w:p w14:paraId="322E3F11" w14:textId="33363336" w:rsidR="003C1D79" w:rsidRDefault="003C1D79">
      <w:pPr>
        <w:rPr>
          <w:rFonts w:cs="FrankRuehl"/>
          <w:sz w:val="26"/>
          <w:szCs w:val="26"/>
          <w:rtl/>
        </w:rPr>
      </w:pPr>
    </w:p>
    <w:p w14:paraId="415775C2" w14:textId="534D76D5" w:rsidR="003C1D79" w:rsidRDefault="003C1D79">
      <w:pPr>
        <w:rPr>
          <w:rFonts w:cs="FrankRuehl"/>
          <w:sz w:val="26"/>
          <w:szCs w:val="26"/>
          <w:rtl/>
        </w:rPr>
      </w:pPr>
    </w:p>
    <w:p w14:paraId="5DD49DAC" w14:textId="40B1B696" w:rsidR="003C1D79" w:rsidRDefault="003C1D79">
      <w:pPr>
        <w:rPr>
          <w:rFonts w:cs="FrankRuehl"/>
          <w:sz w:val="26"/>
          <w:szCs w:val="26"/>
          <w:rtl/>
        </w:rPr>
      </w:pPr>
    </w:p>
    <w:p w14:paraId="7CB66FEE" w14:textId="7DF0FCB0" w:rsidR="003C1D79" w:rsidRDefault="003C1D79">
      <w:pPr>
        <w:rPr>
          <w:rFonts w:cs="FrankRuehl"/>
          <w:sz w:val="26"/>
          <w:szCs w:val="26"/>
          <w:rtl/>
        </w:rPr>
      </w:pPr>
    </w:p>
    <w:p w14:paraId="211AD643" w14:textId="1D9A9897" w:rsidR="003C1D79" w:rsidRDefault="003C1D79">
      <w:pPr>
        <w:rPr>
          <w:rFonts w:cs="FrankRuehl"/>
          <w:sz w:val="26"/>
          <w:szCs w:val="26"/>
          <w:rtl/>
        </w:rPr>
      </w:pPr>
    </w:p>
    <w:p w14:paraId="4EDCA0F0" w14:textId="0116E6FE" w:rsidR="003C1D79" w:rsidRDefault="003C1D79">
      <w:pPr>
        <w:rPr>
          <w:rFonts w:cs="FrankRuehl"/>
          <w:sz w:val="26"/>
          <w:szCs w:val="26"/>
          <w:rtl/>
        </w:rPr>
      </w:pPr>
    </w:p>
    <w:p w14:paraId="66A83C8B" w14:textId="5F278905" w:rsidR="003C1D79" w:rsidRDefault="003C1D79">
      <w:pPr>
        <w:rPr>
          <w:rFonts w:cs="FrankRuehl"/>
          <w:sz w:val="26"/>
          <w:szCs w:val="26"/>
          <w:rtl/>
        </w:rPr>
      </w:pPr>
    </w:p>
    <w:p w14:paraId="0AC07909" w14:textId="14EFF72F" w:rsidR="003C1D79" w:rsidRDefault="003C1D79">
      <w:pPr>
        <w:rPr>
          <w:rFonts w:cs="FrankRuehl"/>
          <w:sz w:val="26"/>
          <w:szCs w:val="26"/>
          <w:rtl/>
        </w:rPr>
      </w:pPr>
    </w:p>
    <w:p w14:paraId="54EA804B" w14:textId="43489C41" w:rsidR="003C1D79" w:rsidRDefault="003C1D79">
      <w:pPr>
        <w:rPr>
          <w:rFonts w:cs="FrankRuehl"/>
          <w:sz w:val="26"/>
          <w:szCs w:val="26"/>
          <w:rtl/>
        </w:rPr>
      </w:pPr>
    </w:p>
    <w:p w14:paraId="539F4FBD" w14:textId="21C2F59B" w:rsidR="003C1D79" w:rsidRDefault="003C1D79">
      <w:pPr>
        <w:rPr>
          <w:rFonts w:cs="FrankRuehl"/>
          <w:sz w:val="26"/>
          <w:szCs w:val="26"/>
          <w:rtl/>
        </w:rPr>
      </w:pPr>
    </w:p>
    <w:p w14:paraId="4F54FD05" w14:textId="0A7B8E20" w:rsidR="003C1D79" w:rsidRDefault="003C1D79">
      <w:pPr>
        <w:rPr>
          <w:rFonts w:cs="FrankRuehl"/>
          <w:sz w:val="26"/>
          <w:szCs w:val="26"/>
          <w:rtl/>
        </w:rPr>
      </w:pPr>
    </w:p>
    <w:p w14:paraId="410804EB" w14:textId="6BB1740D" w:rsidR="003C1D79" w:rsidRDefault="003C1D79">
      <w:pPr>
        <w:rPr>
          <w:rFonts w:cs="FrankRuehl"/>
          <w:sz w:val="26"/>
          <w:szCs w:val="26"/>
          <w:rtl/>
        </w:rPr>
      </w:pPr>
    </w:p>
    <w:p w14:paraId="11BDF7E8" w14:textId="3FDC4963" w:rsidR="003C1D79" w:rsidRDefault="003C1D79">
      <w:pPr>
        <w:rPr>
          <w:rFonts w:cs="FrankRuehl"/>
          <w:sz w:val="26"/>
          <w:szCs w:val="26"/>
          <w:rtl/>
        </w:rPr>
      </w:pPr>
    </w:p>
    <w:p w14:paraId="00F82719" w14:textId="4B008C2D" w:rsidR="003C1D79" w:rsidRDefault="003C1D79">
      <w:pPr>
        <w:rPr>
          <w:rFonts w:cs="FrankRuehl"/>
          <w:sz w:val="26"/>
          <w:szCs w:val="26"/>
          <w:rtl/>
        </w:rPr>
      </w:pPr>
    </w:p>
    <w:p w14:paraId="6F0E66A0" w14:textId="1683E9FC" w:rsidR="003C1D79" w:rsidRDefault="003C1D79">
      <w:pPr>
        <w:rPr>
          <w:rFonts w:cs="FrankRuehl"/>
          <w:sz w:val="26"/>
          <w:szCs w:val="26"/>
          <w:rtl/>
        </w:rPr>
      </w:pPr>
    </w:p>
    <w:p w14:paraId="5DB424B6" w14:textId="62F154D9" w:rsidR="003C1D79" w:rsidRDefault="003C1D79">
      <w:pPr>
        <w:rPr>
          <w:rFonts w:cs="FrankRuehl"/>
          <w:sz w:val="26"/>
          <w:szCs w:val="26"/>
          <w:rtl/>
        </w:rPr>
      </w:pPr>
    </w:p>
    <w:p w14:paraId="5F50F6E6" w14:textId="401CCF3D" w:rsidR="003C1D79" w:rsidRDefault="003C1D79">
      <w:pPr>
        <w:rPr>
          <w:rFonts w:cs="FrankRuehl"/>
          <w:sz w:val="26"/>
          <w:szCs w:val="26"/>
          <w:rtl/>
        </w:rPr>
      </w:pPr>
    </w:p>
    <w:p w14:paraId="2C473067" w14:textId="42189FB5" w:rsidR="003C1D79" w:rsidRDefault="003C1D79">
      <w:pPr>
        <w:rPr>
          <w:rFonts w:cs="FrankRuehl"/>
          <w:sz w:val="26"/>
          <w:szCs w:val="26"/>
          <w:rtl/>
        </w:rPr>
      </w:pPr>
    </w:p>
    <w:p w14:paraId="45B3B6C0" w14:textId="1A76AEFB" w:rsidR="003C1D79" w:rsidRDefault="003C1D79">
      <w:pPr>
        <w:rPr>
          <w:rFonts w:cs="FrankRuehl"/>
          <w:sz w:val="26"/>
          <w:szCs w:val="26"/>
          <w:rtl/>
        </w:rPr>
      </w:pPr>
    </w:p>
    <w:p w14:paraId="562394BF" w14:textId="2E0E3AC1" w:rsidR="003C1D79" w:rsidRDefault="003C1D79">
      <w:pPr>
        <w:rPr>
          <w:rFonts w:cs="FrankRuehl"/>
          <w:sz w:val="26"/>
          <w:szCs w:val="26"/>
          <w:rtl/>
        </w:rPr>
      </w:pPr>
    </w:p>
    <w:p w14:paraId="72F0D002" w14:textId="1B68CB06" w:rsidR="003C1D79" w:rsidRDefault="003C1D79">
      <w:pPr>
        <w:rPr>
          <w:rFonts w:cs="FrankRuehl"/>
          <w:sz w:val="26"/>
          <w:szCs w:val="26"/>
          <w:rtl/>
        </w:rPr>
      </w:pPr>
    </w:p>
    <w:p w14:paraId="1E41670B" w14:textId="4E1ADDDF" w:rsidR="003C1D79" w:rsidRDefault="003C1D79">
      <w:pPr>
        <w:rPr>
          <w:rFonts w:cs="FrankRuehl"/>
          <w:sz w:val="26"/>
          <w:szCs w:val="26"/>
          <w:rtl/>
        </w:rPr>
      </w:pPr>
    </w:p>
    <w:p w14:paraId="3611A5E8" w14:textId="77777777" w:rsidR="003C1D79" w:rsidRDefault="003C1D79" w:rsidP="003C1D79">
      <w:pPr>
        <w:jc w:val="center"/>
        <w:rPr>
          <w:rFonts w:cs="FrankRuehl"/>
          <w:b/>
          <w:bCs/>
          <w:sz w:val="26"/>
          <w:szCs w:val="26"/>
          <w:u w:val="single"/>
          <w:lang w:eastAsia="en-US"/>
        </w:rPr>
      </w:pPr>
      <w:r>
        <w:rPr>
          <w:rFonts w:cs="FrankRuehl"/>
          <w:b/>
          <w:bCs/>
          <w:sz w:val="26"/>
          <w:szCs w:val="26"/>
          <w:u w:val="single"/>
          <w:rtl/>
        </w:rPr>
        <w:lastRenderedPageBreak/>
        <w:t>נספח לדברי ההסבר</w:t>
      </w:r>
    </w:p>
    <w:p w14:paraId="5E16811B" w14:textId="77777777" w:rsidR="003C1D79" w:rsidRDefault="003C1D79" w:rsidP="003C1D79">
      <w:pPr>
        <w:jc w:val="center"/>
        <w:rPr>
          <w:rFonts w:cs="FrankRuehl"/>
          <w:b/>
          <w:bCs/>
          <w:sz w:val="26"/>
          <w:szCs w:val="26"/>
          <w:u w:val="single"/>
        </w:rPr>
      </w:pPr>
    </w:p>
    <w:p w14:paraId="2063E21F" w14:textId="77777777" w:rsidR="003C1D79" w:rsidRDefault="003C1D79" w:rsidP="003C1D79">
      <w:pPr>
        <w:jc w:val="center"/>
        <w:rPr>
          <w:rFonts w:cs="FrankRuehl"/>
          <w:b/>
          <w:bCs/>
          <w:sz w:val="26"/>
          <w:szCs w:val="26"/>
          <w:rtl/>
        </w:rPr>
      </w:pPr>
      <w:r>
        <w:rPr>
          <w:rFonts w:cs="FrankRuehl"/>
          <w:b/>
          <w:bCs/>
          <w:sz w:val="26"/>
          <w:szCs w:val="26"/>
          <w:rtl/>
        </w:rPr>
        <w:t>היסטוריה תקציבית של הפנייה</w:t>
      </w:r>
    </w:p>
    <w:p w14:paraId="77BE9BC9" w14:textId="6FF9620E" w:rsidR="003C1D79" w:rsidRDefault="003C1D79">
      <w:pPr>
        <w:rPr>
          <w:rFonts w:cs="FrankRuehl"/>
          <w:sz w:val="26"/>
          <w:szCs w:val="26"/>
          <w:rtl/>
        </w:rPr>
      </w:pPr>
    </w:p>
    <w:tbl>
      <w:tblPr>
        <w:bidiVisual/>
        <w:tblW w:w="5000" w:type="pct"/>
        <w:tblCellMar>
          <w:left w:w="0" w:type="dxa"/>
          <w:right w:w="0" w:type="dxa"/>
        </w:tblCellMar>
        <w:tblLook w:val="04A0" w:firstRow="1" w:lastRow="0" w:firstColumn="1" w:lastColumn="0" w:noHBand="0" w:noVBand="1"/>
      </w:tblPr>
      <w:tblGrid>
        <w:gridCol w:w="1616"/>
        <w:gridCol w:w="1852"/>
        <w:gridCol w:w="1614"/>
        <w:gridCol w:w="1614"/>
        <w:gridCol w:w="1641"/>
      </w:tblGrid>
      <w:tr w:rsidR="003C1D79" w:rsidRPr="003C1D79" w14:paraId="2715B4D8" w14:textId="77777777" w:rsidTr="003C1D79">
        <w:trPr>
          <w:trHeight w:val="675"/>
        </w:trPr>
        <w:tc>
          <w:tcPr>
            <w:tcW w:w="969" w:type="pct"/>
            <w:tcBorders>
              <w:top w:val="single" w:sz="4" w:space="0" w:color="auto"/>
              <w:left w:val="single" w:sz="4" w:space="0" w:color="auto"/>
              <w:bottom w:val="single" w:sz="4" w:space="0" w:color="auto"/>
              <w:right w:val="single" w:sz="4" w:space="0" w:color="auto"/>
            </w:tcBorders>
            <w:shd w:val="clear" w:color="auto" w:fill="F0F4FA"/>
            <w:tcMar>
              <w:top w:w="15" w:type="dxa"/>
              <w:left w:w="15" w:type="dxa"/>
              <w:bottom w:w="0" w:type="dxa"/>
              <w:right w:w="15" w:type="dxa"/>
            </w:tcMar>
            <w:vAlign w:val="center"/>
            <w:hideMark/>
          </w:tcPr>
          <w:p w14:paraId="6C659514" w14:textId="77777777" w:rsidR="003C1D79" w:rsidRPr="003C1D79" w:rsidRDefault="003C1D79">
            <w:pPr>
              <w:jc w:val="center"/>
              <w:rPr>
                <w:rFonts w:cs="Calibri"/>
                <w:b/>
                <w:bCs/>
                <w:color w:val="000000"/>
                <w:szCs w:val="20"/>
                <w:lang w:eastAsia="en-US"/>
              </w:rPr>
            </w:pPr>
            <w:r w:rsidRPr="003C1D79">
              <w:rPr>
                <w:rFonts w:hint="cs"/>
                <w:b/>
                <w:bCs/>
                <w:color w:val="000000"/>
                <w:szCs w:val="20"/>
                <w:rtl/>
              </w:rPr>
              <w:t>קוד תוכנית</w:t>
            </w:r>
          </w:p>
        </w:tc>
        <w:tc>
          <w:tcPr>
            <w:tcW w:w="1111" w:type="pct"/>
            <w:tcBorders>
              <w:top w:val="single" w:sz="4" w:space="0" w:color="auto"/>
              <w:left w:val="nil"/>
              <w:bottom w:val="single" w:sz="4" w:space="0" w:color="auto"/>
              <w:right w:val="single" w:sz="4" w:space="0" w:color="auto"/>
            </w:tcBorders>
            <w:shd w:val="clear" w:color="auto" w:fill="F0F4FA"/>
            <w:tcMar>
              <w:top w:w="15" w:type="dxa"/>
              <w:left w:w="15" w:type="dxa"/>
              <w:bottom w:w="0" w:type="dxa"/>
              <w:right w:w="15" w:type="dxa"/>
            </w:tcMar>
            <w:vAlign w:val="center"/>
            <w:hideMark/>
          </w:tcPr>
          <w:p w14:paraId="10152485" w14:textId="77777777" w:rsidR="003C1D79" w:rsidRPr="003C1D79" w:rsidRDefault="003C1D79">
            <w:pPr>
              <w:jc w:val="center"/>
              <w:rPr>
                <w:rFonts w:hint="cs"/>
                <w:b/>
                <w:bCs/>
                <w:color w:val="000000"/>
                <w:szCs w:val="20"/>
                <w:rtl/>
              </w:rPr>
            </w:pPr>
            <w:r w:rsidRPr="003C1D79">
              <w:rPr>
                <w:rFonts w:hint="cs"/>
                <w:b/>
                <w:bCs/>
                <w:color w:val="000000"/>
                <w:szCs w:val="20"/>
                <w:rtl/>
              </w:rPr>
              <w:t>השינוי התקציבי של העודף המוצע בפניה</w:t>
            </w:r>
          </w:p>
        </w:tc>
        <w:tc>
          <w:tcPr>
            <w:tcW w:w="968" w:type="pct"/>
            <w:tcBorders>
              <w:top w:val="single" w:sz="4" w:space="0" w:color="auto"/>
              <w:left w:val="nil"/>
              <w:bottom w:val="single" w:sz="4" w:space="0" w:color="auto"/>
              <w:right w:val="single" w:sz="4" w:space="0" w:color="auto"/>
            </w:tcBorders>
            <w:shd w:val="clear" w:color="auto" w:fill="F0F4FA"/>
            <w:tcMar>
              <w:top w:w="15" w:type="dxa"/>
              <w:left w:w="15" w:type="dxa"/>
              <w:bottom w:w="0" w:type="dxa"/>
              <w:right w:w="15" w:type="dxa"/>
            </w:tcMar>
            <w:vAlign w:val="center"/>
            <w:hideMark/>
          </w:tcPr>
          <w:p w14:paraId="1626BD4A" w14:textId="77777777" w:rsidR="003C1D79" w:rsidRPr="003C1D79" w:rsidRDefault="003C1D79">
            <w:pPr>
              <w:jc w:val="center"/>
              <w:rPr>
                <w:rFonts w:hint="cs"/>
                <w:b/>
                <w:bCs/>
                <w:color w:val="000000"/>
                <w:szCs w:val="20"/>
                <w:rtl/>
              </w:rPr>
            </w:pPr>
            <w:r w:rsidRPr="003C1D79">
              <w:rPr>
                <w:rFonts w:hint="cs"/>
                <w:b/>
                <w:bCs/>
                <w:color w:val="000000"/>
                <w:szCs w:val="20"/>
                <w:rtl/>
              </w:rPr>
              <w:t>סך עודף שהועבר ב-2025</w:t>
            </w:r>
          </w:p>
        </w:tc>
        <w:tc>
          <w:tcPr>
            <w:tcW w:w="968" w:type="pct"/>
            <w:tcBorders>
              <w:top w:val="single" w:sz="4" w:space="0" w:color="auto"/>
              <w:left w:val="nil"/>
              <w:bottom w:val="single" w:sz="4" w:space="0" w:color="auto"/>
              <w:right w:val="single" w:sz="4" w:space="0" w:color="auto"/>
            </w:tcBorders>
            <w:shd w:val="clear" w:color="auto" w:fill="F0F4FA"/>
            <w:tcMar>
              <w:top w:w="15" w:type="dxa"/>
              <w:left w:w="15" w:type="dxa"/>
              <w:bottom w:w="0" w:type="dxa"/>
              <w:right w:w="15" w:type="dxa"/>
            </w:tcMar>
            <w:vAlign w:val="center"/>
            <w:hideMark/>
          </w:tcPr>
          <w:p w14:paraId="6738717C" w14:textId="77777777" w:rsidR="003C1D79" w:rsidRPr="003C1D79" w:rsidRDefault="003C1D79">
            <w:pPr>
              <w:jc w:val="center"/>
              <w:rPr>
                <w:rFonts w:hint="cs"/>
                <w:b/>
                <w:bCs/>
                <w:color w:val="000000"/>
                <w:szCs w:val="20"/>
                <w:rtl/>
              </w:rPr>
            </w:pPr>
            <w:r w:rsidRPr="003C1D79">
              <w:rPr>
                <w:rFonts w:hint="cs"/>
                <w:b/>
                <w:bCs/>
                <w:color w:val="000000"/>
                <w:szCs w:val="20"/>
                <w:rtl/>
              </w:rPr>
              <w:t>סך עודף שהועבר ב-2024</w:t>
            </w:r>
          </w:p>
        </w:tc>
        <w:tc>
          <w:tcPr>
            <w:tcW w:w="985" w:type="pct"/>
            <w:tcBorders>
              <w:top w:val="single" w:sz="4" w:space="0" w:color="979991"/>
              <w:left w:val="single" w:sz="4" w:space="0" w:color="979991"/>
              <w:bottom w:val="single" w:sz="4" w:space="0" w:color="979991"/>
              <w:right w:val="single" w:sz="4" w:space="0" w:color="979991"/>
            </w:tcBorders>
            <w:shd w:val="clear" w:color="auto" w:fill="F0F4FA"/>
            <w:tcMar>
              <w:top w:w="15" w:type="dxa"/>
              <w:left w:w="15" w:type="dxa"/>
              <w:bottom w:w="0" w:type="dxa"/>
              <w:right w:w="15" w:type="dxa"/>
            </w:tcMar>
            <w:vAlign w:val="center"/>
            <w:hideMark/>
          </w:tcPr>
          <w:p w14:paraId="7B668553" w14:textId="77777777" w:rsidR="003C1D79" w:rsidRPr="003C1D79" w:rsidRDefault="003C1D79">
            <w:pPr>
              <w:jc w:val="center"/>
              <w:rPr>
                <w:rFonts w:hint="cs"/>
                <w:b/>
                <w:bCs/>
                <w:color w:val="000000"/>
                <w:szCs w:val="20"/>
                <w:rtl/>
              </w:rPr>
            </w:pPr>
            <w:r w:rsidRPr="003C1D79">
              <w:rPr>
                <w:rFonts w:hint="cs"/>
                <w:b/>
                <w:bCs/>
                <w:color w:val="000000"/>
                <w:szCs w:val="20"/>
                <w:rtl/>
              </w:rPr>
              <w:t>סך עודף שהועבר ב-2023</w:t>
            </w:r>
          </w:p>
        </w:tc>
      </w:tr>
      <w:tr w:rsidR="003C1D79" w:rsidRPr="003C1D79" w14:paraId="57CA8056" w14:textId="77777777" w:rsidTr="003C1D79">
        <w:trPr>
          <w:trHeight w:val="300"/>
        </w:trPr>
        <w:tc>
          <w:tcPr>
            <w:tcW w:w="969" w:type="pct"/>
            <w:tcBorders>
              <w:top w:val="single" w:sz="4" w:space="0" w:color="auto"/>
              <w:left w:val="single" w:sz="4" w:space="0" w:color="auto"/>
              <w:bottom w:val="single" w:sz="4" w:space="0" w:color="auto"/>
              <w:right w:val="single" w:sz="4" w:space="0" w:color="auto"/>
            </w:tcBorders>
            <w:shd w:val="clear" w:color="auto" w:fill="F0F4FA"/>
            <w:tcMar>
              <w:top w:w="15" w:type="dxa"/>
              <w:left w:w="15" w:type="dxa"/>
              <w:bottom w:w="0" w:type="dxa"/>
              <w:right w:w="15" w:type="dxa"/>
            </w:tcMar>
            <w:vAlign w:val="center"/>
            <w:hideMark/>
          </w:tcPr>
          <w:p w14:paraId="06C78755" w14:textId="77777777" w:rsidR="003C1D79" w:rsidRDefault="003C1D79">
            <w:pPr>
              <w:jc w:val="center"/>
              <w:rPr>
                <w:rFonts w:hint="cs"/>
                <w:color w:val="000000"/>
                <w:sz w:val="16"/>
                <w:szCs w:val="16"/>
                <w:rtl/>
              </w:rPr>
            </w:pPr>
            <w:r>
              <w:rPr>
                <w:color w:val="000000"/>
                <w:sz w:val="16"/>
                <w:szCs w:val="16"/>
              </w:rPr>
              <w:t>194001</w:t>
            </w: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2F9F7895" w14:textId="77777777" w:rsidR="003C1D79" w:rsidRDefault="003C1D79">
            <w:pPr>
              <w:jc w:val="center"/>
              <w:rPr>
                <w:rFonts w:hint="cs"/>
                <w:color w:val="000000"/>
                <w:sz w:val="16"/>
                <w:szCs w:val="16"/>
                <w:rtl/>
              </w:rPr>
            </w:pPr>
            <w:r>
              <w:rPr>
                <w:color w:val="000000"/>
                <w:sz w:val="16"/>
                <w:szCs w:val="16"/>
              </w:rPr>
              <w:t>32,310</w:t>
            </w:r>
          </w:p>
        </w:tc>
        <w:tc>
          <w:tcPr>
            <w:tcW w:w="968"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3E1C885" w14:textId="77777777" w:rsidR="003C1D79" w:rsidRDefault="003C1D79">
            <w:pPr>
              <w:jc w:val="center"/>
              <w:rPr>
                <w:color w:val="000000"/>
                <w:sz w:val="16"/>
                <w:szCs w:val="16"/>
              </w:rPr>
            </w:pPr>
            <w:r>
              <w:rPr>
                <w:color w:val="000000"/>
                <w:sz w:val="16"/>
                <w:szCs w:val="16"/>
              </w:rPr>
              <w:t>36,393</w:t>
            </w:r>
          </w:p>
        </w:tc>
        <w:tc>
          <w:tcPr>
            <w:tcW w:w="968"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7D6485E" w14:textId="77777777" w:rsidR="003C1D79" w:rsidRDefault="003C1D79">
            <w:pPr>
              <w:jc w:val="center"/>
              <w:rPr>
                <w:color w:val="000000"/>
                <w:sz w:val="16"/>
                <w:szCs w:val="16"/>
              </w:rPr>
            </w:pPr>
            <w:r>
              <w:rPr>
                <w:color w:val="000000"/>
                <w:sz w:val="16"/>
                <w:szCs w:val="16"/>
              </w:rPr>
              <w:t>85,322</w:t>
            </w:r>
          </w:p>
        </w:tc>
        <w:tc>
          <w:tcPr>
            <w:tcW w:w="985"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2A324E0" w14:textId="77777777" w:rsidR="003C1D79" w:rsidRDefault="003C1D79">
            <w:pPr>
              <w:jc w:val="center"/>
              <w:rPr>
                <w:color w:val="000000"/>
                <w:sz w:val="16"/>
                <w:szCs w:val="16"/>
              </w:rPr>
            </w:pPr>
            <w:r>
              <w:rPr>
                <w:color w:val="000000"/>
                <w:sz w:val="16"/>
                <w:szCs w:val="16"/>
              </w:rPr>
              <w:t>97,641</w:t>
            </w:r>
          </w:p>
        </w:tc>
      </w:tr>
      <w:tr w:rsidR="003C1D79" w:rsidRPr="003C1D79" w14:paraId="67C066EE" w14:textId="77777777" w:rsidTr="003C1D79">
        <w:trPr>
          <w:trHeight w:val="300"/>
        </w:trPr>
        <w:tc>
          <w:tcPr>
            <w:tcW w:w="969" w:type="pct"/>
            <w:tcBorders>
              <w:top w:val="single" w:sz="4" w:space="0" w:color="auto"/>
              <w:left w:val="single" w:sz="4" w:space="0" w:color="auto"/>
              <w:bottom w:val="single" w:sz="4" w:space="0" w:color="auto"/>
              <w:right w:val="single" w:sz="4" w:space="0" w:color="auto"/>
            </w:tcBorders>
            <w:shd w:val="clear" w:color="auto" w:fill="F0F4FA"/>
            <w:tcMar>
              <w:top w:w="15" w:type="dxa"/>
              <w:left w:w="15" w:type="dxa"/>
              <w:bottom w:w="0" w:type="dxa"/>
              <w:right w:w="15" w:type="dxa"/>
            </w:tcMar>
            <w:vAlign w:val="center"/>
            <w:hideMark/>
          </w:tcPr>
          <w:p w14:paraId="0EAA50B7" w14:textId="77777777" w:rsidR="003C1D79" w:rsidRDefault="003C1D79">
            <w:pPr>
              <w:jc w:val="center"/>
              <w:rPr>
                <w:color w:val="000000"/>
                <w:sz w:val="16"/>
                <w:szCs w:val="16"/>
              </w:rPr>
            </w:pPr>
            <w:r>
              <w:rPr>
                <w:color w:val="000000"/>
                <w:sz w:val="16"/>
                <w:szCs w:val="16"/>
              </w:rPr>
              <w:t>194102</w:t>
            </w: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6E73E6B" w14:textId="77777777" w:rsidR="003C1D79" w:rsidRDefault="003C1D79">
            <w:pPr>
              <w:jc w:val="center"/>
              <w:rPr>
                <w:color w:val="000000"/>
                <w:sz w:val="16"/>
                <w:szCs w:val="16"/>
              </w:rPr>
            </w:pPr>
            <w:r>
              <w:rPr>
                <w:color w:val="000000"/>
                <w:sz w:val="16"/>
                <w:szCs w:val="16"/>
              </w:rPr>
              <w:t>19,210</w:t>
            </w:r>
          </w:p>
        </w:tc>
        <w:tc>
          <w:tcPr>
            <w:tcW w:w="968"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05262B7" w14:textId="77777777" w:rsidR="003C1D79" w:rsidRDefault="003C1D79">
            <w:pPr>
              <w:jc w:val="center"/>
              <w:rPr>
                <w:color w:val="000000"/>
                <w:sz w:val="16"/>
                <w:szCs w:val="16"/>
              </w:rPr>
            </w:pPr>
            <w:r>
              <w:rPr>
                <w:color w:val="000000"/>
                <w:sz w:val="16"/>
                <w:szCs w:val="16"/>
              </w:rPr>
              <w:t>15,437</w:t>
            </w:r>
          </w:p>
        </w:tc>
        <w:tc>
          <w:tcPr>
            <w:tcW w:w="968"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3A1EA22" w14:textId="77777777" w:rsidR="003C1D79" w:rsidRDefault="003C1D79">
            <w:pPr>
              <w:jc w:val="center"/>
              <w:rPr>
                <w:color w:val="000000"/>
                <w:sz w:val="16"/>
                <w:szCs w:val="16"/>
              </w:rPr>
            </w:pPr>
            <w:r>
              <w:rPr>
                <w:color w:val="000000"/>
                <w:sz w:val="16"/>
                <w:szCs w:val="16"/>
              </w:rPr>
              <w:t>21,918</w:t>
            </w:r>
          </w:p>
        </w:tc>
        <w:tc>
          <w:tcPr>
            <w:tcW w:w="985"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A00A86" w14:textId="77777777" w:rsidR="003C1D79" w:rsidRDefault="003C1D79">
            <w:pPr>
              <w:jc w:val="center"/>
              <w:rPr>
                <w:color w:val="000000"/>
                <w:sz w:val="16"/>
                <w:szCs w:val="16"/>
              </w:rPr>
            </w:pPr>
            <w:r>
              <w:rPr>
                <w:color w:val="000000"/>
                <w:sz w:val="16"/>
                <w:szCs w:val="16"/>
              </w:rPr>
              <w:t>53,905</w:t>
            </w:r>
          </w:p>
        </w:tc>
      </w:tr>
      <w:tr w:rsidR="003C1D79" w:rsidRPr="003C1D79" w14:paraId="7E29AAF9" w14:textId="77777777" w:rsidTr="003C1D79">
        <w:trPr>
          <w:trHeight w:val="300"/>
        </w:trPr>
        <w:tc>
          <w:tcPr>
            <w:tcW w:w="969" w:type="pct"/>
            <w:tcBorders>
              <w:top w:val="single" w:sz="4" w:space="0" w:color="auto"/>
              <w:left w:val="single" w:sz="4" w:space="0" w:color="auto"/>
              <w:bottom w:val="single" w:sz="4" w:space="0" w:color="auto"/>
              <w:right w:val="single" w:sz="4" w:space="0" w:color="auto"/>
            </w:tcBorders>
            <w:shd w:val="clear" w:color="auto" w:fill="F0F4FA"/>
            <w:tcMar>
              <w:top w:w="15" w:type="dxa"/>
              <w:left w:w="15" w:type="dxa"/>
              <w:bottom w:w="0" w:type="dxa"/>
              <w:right w:w="15" w:type="dxa"/>
            </w:tcMar>
            <w:vAlign w:val="center"/>
            <w:hideMark/>
          </w:tcPr>
          <w:p w14:paraId="5B39B7C3" w14:textId="77777777" w:rsidR="003C1D79" w:rsidRDefault="003C1D79">
            <w:pPr>
              <w:jc w:val="center"/>
              <w:rPr>
                <w:color w:val="000000"/>
                <w:sz w:val="16"/>
                <w:szCs w:val="16"/>
              </w:rPr>
            </w:pPr>
            <w:r>
              <w:rPr>
                <w:color w:val="000000"/>
                <w:sz w:val="16"/>
                <w:szCs w:val="16"/>
              </w:rPr>
              <w:t>194103</w:t>
            </w: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04BA4FB" w14:textId="77777777" w:rsidR="003C1D79" w:rsidRDefault="003C1D79">
            <w:pPr>
              <w:jc w:val="center"/>
              <w:rPr>
                <w:color w:val="000000"/>
                <w:sz w:val="16"/>
                <w:szCs w:val="16"/>
              </w:rPr>
            </w:pPr>
            <w:r>
              <w:rPr>
                <w:color w:val="000000"/>
                <w:sz w:val="16"/>
                <w:szCs w:val="16"/>
              </w:rPr>
              <w:t>11,129</w:t>
            </w:r>
          </w:p>
        </w:tc>
        <w:tc>
          <w:tcPr>
            <w:tcW w:w="968"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10515AB" w14:textId="77777777" w:rsidR="003C1D79" w:rsidRDefault="003C1D79">
            <w:pPr>
              <w:jc w:val="center"/>
              <w:rPr>
                <w:color w:val="000000"/>
                <w:sz w:val="16"/>
                <w:szCs w:val="16"/>
              </w:rPr>
            </w:pPr>
            <w:r>
              <w:rPr>
                <w:color w:val="000000"/>
                <w:sz w:val="16"/>
                <w:szCs w:val="16"/>
              </w:rPr>
              <w:t>2,829</w:t>
            </w:r>
          </w:p>
        </w:tc>
        <w:tc>
          <w:tcPr>
            <w:tcW w:w="968"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B1CE47D" w14:textId="77777777" w:rsidR="003C1D79" w:rsidRDefault="003C1D79">
            <w:pPr>
              <w:jc w:val="center"/>
              <w:rPr>
                <w:color w:val="000000"/>
                <w:sz w:val="16"/>
                <w:szCs w:val="16"/>
              </w:rPr>
            </w:pPr>
            <w:r>
              <w:rPr>
                <w:color w:val="000000"/>
                <w:sz w:val="16"/>
                <w:szCs w:val="16"/>
              </w:rPr>
              <w:t>6,604</w:t>
            </w:r>
          </w:p>
        </w:tc>
        <w:tc>
          <w:tcPr>
            <w:tcW w:w="985"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765F0F" w14:textId="77777777" w:rsidR="003C1D79" w:rsidRDefault="003C1D79">
            <w:pPr>
              <w:jc w:val="center"/>
              <w:rPr>
                <w:color w:val="000000"/>
                <w:sz w:val="16"/>
                <w:szCs w:val="16"/>
              </w:rPr>
            </w:pPr>
            <w:r>
              <w:rPr>
                <w:color w:val="000000"/>
                <w:sz w:val="16"/>
                <w:szCs w:val="16"/>
              </w:rPr>
              <w:t>9,708</w:t>
            </w:r>
          </w:p>
        </w:tc>
      </w:tr>
      <w:tr w:rsidR="003C1D79" w:rsidRPr="003C1D79" w14:paraId="4076387C" w14:textId="77777777" w:rsidTr="003C1D79">
        <w:trPr>
          <w:trHeight w:val="300"/>
        </w:trPr>
        <w:tc>
          <w:tcPr>
            <w:tcW w:w="969" w:type="pct"/>
            <w:tcBorders>
              <w:top w:val="single" w:sz="4" w:space="0" w:color="auto"/>
              <w:left w:val="single" w:sz="4" w:space="0" w:color="auto"/>
              <w:bottom w:val="single" w:sz="4" w:space="0" w:color="auto"/>
              <w:right w:val="single" w:sz="4" w:space="0" w:color="auto"/>
            </w:tcBorders>
            <w:shd w:val="clear" w:color="auto" w:fill="F0F4FA"/>
            <w:tcMar>
              <w:top w:w="15" w:type="dxa"/>
              <w:left w:w="15" w:type="dxa"/>
              <w:bottom w:w="0" w:type="dxa"/>
              <w:right w:w="15" w:type="dxa"/>
            </w:tcMar>
            <w:vAlign w:val="center"/>
            <w:hideMark/>
          </w:tcPr>
          <w:p w14:paraId="1F90FB36" w14:textId="77777777" w:rsidR="003C1D79" w:rsidRDefault="003C1D79">
            <w:pPr>
              <w:jc w:val="center"/>
              <w:rPr>
                <w:color w:val="000000"/>
                <w:sz w:val="16"/>
                <w:szCs w:val="16"/>
              </w:rPr>
            </w:pPr>
            <w:r>
              <w:rPr>
                <w:color w:val="000000"/>
                <w:sz w:val="16"/>
                <w:szCs w:val="16"/>
              </w:rPr>
              <w:t>194201</w:t>
            </w: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801F7B3" w14:textId="77777777" w:rsidR="003C1D79" w:rsidRDefault="003C1D79">
            <w:pPr>
              <w:jc w:val="center"/>
              <w:rPr>
                <w:color w:val="000000"/>
                <w:sz w:val="16"/>
                <w:szCs w:val="16"/>
              </w:rPr>
            </w:pPr>
            <w:r>
              <w:rPr>
                <w:color w:val="000000"/>
                <w:sz w:val="16"/>
                <w:szCs w:val="16"/>
              </w:rPr>
              <w:t>88</w:t>
            </w:r>
          </w:p>
        </w:tc>
        <w:tc>
          <w:tcPr>
            <w:tcW w:w="968"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E884088" w14:textId="77777777" w:rsidR="003C1D79" w:rsidRDefault="003C1D79">
            <w:pPr>
              <w:jc w:val="center"/>
              <w:rPr>
                <w:color w:val="000000"/>
                <w:sz w:val="16"/>
                <w:szCs w:val="16"/>
              </w:rPr>
            </w:pPr>
            <w:r>
              <w:rPr>
                <w:color w:val="000000"/>
                <w:sz w:val="16"/>
                <w:szCs w:val="16"/>
              </w:rPr>
              <w:t>0</w:t>
            </w:r>
          </w:p>
        </w:tc>
        <w:tc>
          <w:tcPr>
            <w:tcW w:w="968"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6C206537" w14:textId="77777777" w:rsidR="003C1D79" w:rsidRDefault="003C1D79">
            <w:pPr>
              <w:jc w:val="center"/>
              <w:rPr>
                <w:color w:val="000000"/>
                <w:sz w:val="16"/>
                <w:szCs w:val="16"/>
              </w:rPr>
            </w:pPr>
            <w:r>
              <w:rPr>
                <w:color w:val="000000"/>
                <w:sz w:val="16"/>
                <w:szCs w:val="16"/>
              </w:rPr>
              <w:t>1,150</w:t>
            </w:r>
          </w:p>
        </w:tc>
        <w:tc>
          <w:tcPr>
            <w:tcW w:w="985"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D7D795" w14:textId="77777777" w:rsidR="003C1D79" w:rsidRDefault="003C1D79">
            <w:pPr>
              <w:jc w:val="center"/>
              <w:rPr>
                <w:color w:val="000000"/>
                <w:sz w:val="16"/>
                <w:szCs w:val="16"/>
              </w:rPr>
            </w:pPr>
            <w:r>
              <w:rPr>
                <w:color w:val="000000"/>
                <w:sz w:val="16"/>
                <w:szCs w:val="16"/>
              </w:rPr>
              <w:t>11,443</w:t>
            </w:r>
          </w:p>
        </w:tc>
      </w:tr>
      <w:tr w:rsidR="003C1D79" w:rsidRPr="003C1D79" w14:paraId="55AF665B" w14:textId="77777777" w:rsidTr="003C1D79">
        <w:trPr>
          <w:trHeight w:val="300"/>
        </w:trPr>
        <w:tc>
          <w:tcPr>
            <w:tcW w:w="969" w:type="pct"/>
            <w:tcBorders>
              <w:top w:val="single" w:sz="4" w:space="0" w:color="auto"/>
              <w:left w:val="single" w:sz="4" w:space="0" w:color="auto"/>
              <w:bottom w:val="single" w:sz="4" w:space="0" w:color="auto"/>
              <w:right w:val="single" w:sz="4" w:space="0" w:color="auto"/>
            </w:tcBorders>
            <w:shd w:val="clear" w:color="auto" w:fill="F0F4FA"/>
            <w:tcMar>
              <w:top w:w="15" w:type="dxa"/>
              <w:left w:w="15" w:type="dxa"/>
              <w:bottom w:w="0" w:type="dxa"/>
              <w:right w:w="15" w:type="dxa"/>
            </w:tcMar>
            <w:vAlign w:val="center"/>
            <w:hideMark/>
          </w:tcPr>
          <w:p w14:paraId="1261C038" w14:textId="77777777" w:rsidR="003C1D79" w:rsidRDefault="003C1D79">
            <w:pPr>
              <w:jc w:val="center"/>
              <w:rPr>
                <w:color w:val="000000"/>
                <w:sz w:val="16"/>
                <w:szCs w:val="16"/>
              </w:rPr>
            </w:pPr>
            <w:r>
              <w:rPr>
                <w:color w:val="000000"/>
                <w:sz w:val="16"/>
                <w:szCs w:val="16"/>
              </w:rPr>
              <w:t>194202</w:t>
            </w: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B17EFA5" w14:textId="77777777" w:rsidR="003C1D79" w:rsidRDefault="003C1D79">
            <w:pPr>
              <w:jc w:val="center"/>
              <w:rPr>
                <w:color w:val="000000"/>
                <w:sz w:val="16"/>
                <w:szCs w:val="16"/>
              </w:rPr>
            </w:pPr>
            <w:r>
              <w:rPr>
                <w:color w:val="000000"/>
                <w:sz w:val="16"/>
                <w:szCs w:val="16"/>
              </w:rPr>
              <w:t>131,584</w:t>
            </w:r>
          </w:p>
        </w:tc>
        <w:tc>
          <w:tcPr>
            <w:tcW w:w="968"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0517BD5" w14:textId="77777777" w:rsidR="003C1D79" w:rsidRDefault="003C1D79">
            <w:pPr>
              <w:jc w:val="center"/>
              <w:rPr>
                <w:color w:val="000000"/>
                <w:sz w:val="16"/>
                <w:szCs w:val="16"/>
              </w:rPr>
            </w:pPr>
            <w:r>
              <w:rPr>
                <w:color w:val="000000"/>
                <w:sz w:val="16"/>
                <w:szCs w:val="16"/>
              </w:rPr>
              <w:t>187,192</w:t>
            </w:r>
          </w:p>
        </w:tc>
        <w:tc>
          <w:tcPr>
            <w:tcW w:w="968"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10893FE" w14:textId="77777777" w:rsidR="003C1D79" w:rsidRDefault="003C1D79">
            <w:pPr>
              <w:jc w:val="center"/>
              <w:rPr>
                <w:color w:val="000000"/>
                <w:sz w:val="16"/>
                <w:szCs w:val="16"/>
              </w:rPr>
            </w:pPr>
            <w:r>
              <w:rPr>
                <w:color w:val="000000"/>
                <w:sz w:val="16"/>
                <w:szCs w:val="16"/>
              </w:rPr>
              <w:t>164,296</w:t>
            </w:r>
          </w:p>
        </w:tc>
        <w:tc>
          <w:tcPr>
            <w:tcW w:w="985"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222342" w14:textId="77777777" w:rsidR="003C1D79" w:rsidRDefault="003C1D79">
            <w:pPr>
              <w:jc w:val="center"/>
              <w:rPr>
                <w:color w:val="000000"/>
                <w:sz w:val="16"/>
                <w:szCs w:val="16"/>
              </w:rPr>
            </w:pPr>
            <w:r>
              <w:rPr>
                <w:color w:val="000000"/>
                <w:sz w:val="16"/>
                <w:szCs w:val="16"/>
              </w:rPr>
              <w:t>208,577</w:t>
            </w:r>
          </w:p>
        </w:tc>
      </w:tr>
      <w:tr w:rsidR="003C1D79" w:rsidRPr="003C1D79" w14:paraId="4FED5F88" w14:textId="77777777" w:rsidTr="003C1D79">
        <w:trPr>
          <w:trHeight w:val="300"/>
        </w:trPr>
        <w:tc>
          <w:tcPr>
            <w:tcW w:w="969" w:type="pct"/>
            <w:tcBorders>
              <w:top w:val="single" w:sz="4" w:space="0" w:color="auto"/>
              <w:left w:val="single" w:sz="4" w:space="0" w:color="auto"/>
              <w:bottom w:val="single" w:sz="4" w:space="0" w:color="auto"/>
              <w:right w:val="single" w:sz="4" w:space="0" w:color="auto"/>
            </w:tcBorders>
            <w:shd w:val="clear" w:color="auto" w:fill="F0F4FA"/>
            <w:tcMar>
              <w:top w:w="15" w:type="dxa"/>
              <w:left w:w="15" w:type="dxa"/>
              <w:bottom w:w="0" w:type="dxa"/>
              <w:right w:w="15" w:type="dxa"/>
            </w:tcMar>
            <w:vAlign w:val="center"/>
            <w:hideMark/>
          </w:tcPr>
          <w:p w14:paraId="44F68C06" w14:textId="77777777" w:rsidR="003C1D79" w:rsidRDefault="003C1D79">
            <w:pPr>
              <w:jc w:val="center"/>
              <w:rPr>
                <w:color w:val="000000"/>
                <w:sz w:val="16"/>
                <w:szCs w:val="16"/>
              </w:rPr>
            </w:pPr>
            <w:r>
              <w:rPr>
                <w:color w:val="000000"/>
                <w:sz w:val="16"/>
                <w:szCs w:val="16"/>
              </w:rPr>
              <w:t>194303</w:t>
            </w:r>
          </w:p>
        </w:tc>
        <w:tc>
          <w:tcPr>
            <w:tcW w:w="1111"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1668949" w14:textId="77777777" w:rsidR="003C1D79" w:rsidRDefault="003C1D79">
            <w:pPr>
              <w:jc w:val="center"/>
              <w:rPr>
                <w:color w:val="000000"/>
                <w:sz w:val="16"/>
                <w:szCs w:val="16"/>
              </w:rPr>
            </w:pPr>
            <w:r>
              <w:rPr>
                <w:color w:val="000000"/>
                <w:sz w:val="16"/>
                <w:szCs w:val="16"/>
              </w:rPr>
              <w:t>104,560</w:t>
            </w:r>
          </w:p>
        </w:tc>
        <w:tc>
          <w:tcPr>
            <w:tcW w:w="968"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5AD9DD3" w14:textId="77777777" w:rsidR="003C1D79" w:rsidRDefault="003C1D79">
            <w:pPr>
              <w:jc w:val="center"/>
              <w:rPr>
                <w:color w:val="000000"/>
                <w:sz w:val="16"/>
                <w:szCs w:val="16"/>
              </w:rPr>
            </w:pPr>
            <w:r>
              <w:rPr>
                <w:color w:val="000000"/>
                <w:sz w:val="16"/>
                <w:szCs w:val="16"/>
              </w:rPr>
              <w:t>70,318</w:t>
            </w:r>
          </w:p>
        </w:tc>
        <w:tc>
          <w:tcPr>
            <w:tcW w:w="968"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08C5522" w14:textId="77777777" w:rsidR="003C1D79" w:rsidRDefault="003C1D79">
            <w:pPr>
              <w:jc w:val="center"/>
              <w:rPr>
                <w:color w:val="000000"/>
                <w:sz w:val="16"/>
                <w:szCs w:val="16"/>
              </w:rPr>
            </w:pPr>
            <w:r>
              <w:rPr>
                <w:color w:val="000000"/>
                <w:sz w:val="16"/>
                <w:szCs w:val="16"/>
              </w:rPr>
              <w:t>137,427</w:t>
            </w:r>
          </w:p>
        </w:tc>
        <w:tc>
          <w:tcPr>
            <w:tcW w:w="985"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AADD01" w14:textId="77777777" w:rsidR="003C1D79" w:rsidRDefault="003C1D79">
            <w:pPr>
              <w:jc w:val="center"/>
              <w:rPr>
                <w:color w:val="000000"/>
                <w:sz w:val="16"/>
                <w:szCs w:val="16"/>
              </w:rPr>
            </w:pPr>
            <w:r>
              <w:rPr>
                <w:color w:val="000000"/>
                <w:sz w:val="16"/>
                <w:szCs w:val="16"/>
              </w:rPr>
              <w:t>93,871</w:t>
            </w:r>
          </w:p>
        </w:tc>
      </w:tr>
    </w:tbl>
    <w:p w14:paraId="2BDAFB70" w14:textId="77777777" w:rsidR="003C1D79" w:rsidRDefault="003C1D79">
      <w:pPr>
        <w:rPr>
          <w:rFonts w:cs="FrankRuehl"/>
          <w:sz w:val="26"/>
          <w:szCs w:val="26"/>
          <w:rtl/>
        </w:rPr>
      </w:pPr>
    </w:p>
    <w:p w14:paraId="3FFACEB4" w14:textId="13D89693" w:rsidR="003C1D79" w:rsidRDefault="003C1D79">
      <w:pPr>
        <w:rPr>
          <w:rFonts w:cs="FrankRuehl"/>
          <w:sz w:val="26"/>
          <w:szCs w:val="26"/>
          <w:rtl/>
        </w:rPr>
      </w:pPr>
    </w:p>
    <w:p w14:paraId="77154E4E" w14:textId="0769FC6D" w:rsidR="003C1D79" w:rsidRDefault="003C1D79">
      <w:pPr>
        <w:rPr>
          <w:rFonts w:cs="FrankRuehl"/>
          <w:sz w:val="26"/>
          <w:szCs w:val="26"/>
          <w:rtl/>
        </w:rPr>
      </w:pPr>
    </w:p>
    <w:p w14:paraId="08059F44" w14:textId="5ABBB9FC" w:rsidR="003C1D79" w:rsidRDefault="003C1D79">
      <w:pPr>
        <w:rPr>
          <w:rFonts w:cs="FrankRuehl"/>
          <w:sz w:val="26"/>
          <w:szCs w:val="26"/>
          <w:rtl/>
        </w:rPr>
      </w:pPr>
    </w:p>
    <w:p w14:paraId="6EDAE0EB" w14:textId="5DF3988C" w:rsidR="003C1D79" w:rsidRDefault="003C1D79">
      <w:pPr>
        <w:rPr>
          <w:rFonts w:cs="FrankRuehl"/>
          <w:sz w:val="26"/>
          <w:szCs w:val="26"/>
          <w:rtl/>
        </w:rPr>
      </w:pPr>
    </w:p>
    <w:p w14:paraId="65301264" w14:textId="003E76E0" w:rsidR="003C1D79" w:rsidRDefault="003C1D79">
      <w:pPr>
        <w:rPr>
          <w:rFonts w:cs="FrankRuehl"/>
          <w:sz w:val="26"/>
          <w:szCs w:val="26"/>
          <w:rtl/>
        </w:rPr>
      </w:pPr>
    </w:p>
    <w:p w14:paraId="77631C1B" w14:textId="303A2282" w:rsidR="003C1D79" w:rsidRDefault="003C1D79">
      <w:pPr>
        <w:rPr>
          <w:rFonts w:cs="FrankRuehl"/>
          <w:sz w:val="26"/>
          <w:szCs w:val="26"/>
          <w:rtl/>
        </w:rPr>
      </w:pPr>
    </w:p>
    <w:p w14:paraId="414AB044" w14:textId="6958EEC7" w:rsidR="003C1D79" w:rsidRDefault="003C1D79">
      <w:pPr>
        <w:rPr>
          <w:rFonts w:cs="FrankRuehl"/>
          <w:sz w:val="26"/>
          <w:szCs w:val="26"/>
          <w:rtl/>
        </w:rPr>
      </w:pPr>
    </w:p>
    <w:p w14:paraId="13CD2C7A" w14:textId="77777777" w:rsidR="003C1D79" w:rsidRPr="000A3FA0" w:rsidRDefault="003C1D79">
      <w:pPr>
        <w:rPr>
          <w:rFonts w:cs="FrankRuehl"/>
          <w:sz w:val="26"/>
          <w:szCs w:val="26"/>
          <w:rtl/>
        </w:rPr>
      </w:pPr>
    </w:p>
    <w:sectPr w:rsidR="003C1D79" w:rsidRPr="000A3FA0" w:rsidSect="00A32326">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7A0E4" w14:textId="77777777" w:rsidR="001C489C" w:rsidRDefault="001C489C" w:rsidP="00A32326">
      <w:r>
        <w:separator/>
      </w:r>
    </w:p>
  </w:endnote>
  <w:endnote w:type="continuationSeparator" w:id="0">
    <w:p w14:paraId="17FFEB78" w14:textId="77777777" w:rsidR="001C489C" w:rsidRDefault="001C489C"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1730B"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5D3F2"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9E91A"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95B3C" w14:textId="77777777" w:rsidR="001C489C" w:rsidRDefault="001C489C" w:rsidP="00A32326">
      <w:r>
        <w:separator/>
      </w:r>
    </w:p>
  </w:footnote>
  <w:footnote w:type="continuationSeparator" w:id="0">
    <w:p w14:paraId="1EA903C8" w14:textId="77777777" w:rsidR="001C489C" w:rsidRDefault="001C489C"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EB73C"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CFD1" w14:textId="77777777" w:rsidR="00A32326" w:rsidRPr="00CB5FFD" w:rsidRDefault="001C489C" w:rsidP="00A32326">
    <w:pPr>
      <w:pStyle w:val="a4"/>
      <w:jc w:val="right"/>
      <w:rPr>
        <w:color w:val="4F81BD"/>
        <w:rtl/>
        <w:cs/>
      </w:rPr>
    </w:pPr>
    <w:r>
      <w:rPr>
        <w:noProof/>
        <w:rtl/>
      </w:rPr>
      <w:pict w14:anchorId="063B9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6FB244D6" w14:textId="77777777" w:rsidR="00A32326" w:rsidRPr="00CB5FFD" w:rsidRDefault="00A32326" w:rsidP="00A32326">
    <w:pPr>
      <w:pStyle w:val="a4"/>
      <w:jc w:val="right"/>
      <w:rPr>
        <w:color w:val="4F81BD"/>
        <w:rtl/>
        <w:cs/>
      </w:rPr>
    </w:pPr>
  </w:p>
  <w:p w14:paraId="2507C3A0" w14:textId="77777777" w:rsidR="00A32326" w:rsidRDefault="00A32326" w:rsidP="00A32326">
    <w:pPr>
      <w:pStyle w:val="a4"/>
    </w:pPr>
  </w:p>
  <w:p w14:paraId="35E88A99"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327A4" w14:textId="77777777" w:rsidR="0096594F" w:rsidRDefault="009659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7EA8"/>
    <w:multiLevelType w:val="multilevel"/>
    <w:tmpl w:val="87D8F126"/>
    <w:lvl w:ilvl="0">
      <w:start w:val="1"/>
      <w:numFmt w:val="decimal"/>
      <w:lvlText w:val="%1 ."/>
      <w:lvlJc w:val="left"/>
      <w:pPr>
        <w:tabs>
          <w:tab w:val="num" w:pos="397"/>
        </w:tabs>
        <w:ind w:left="397" w:hanging="397"/>
      </w:p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abstractNum w:abstractNumId="1" w15:restartNumberingAfterBreak="0">
    <w:nsid w:val="7E2D54CF"/>
    <w:multiLevelType w:val="multilevel"/>
    <w:tmpl w:val="B8E6DFAA"/>
    <w:lvl w:ilvl="0">
      <w:start w:val="1"/>
      <w:numFmt w:val="decimal"/>
      <w:lvlText w:val="%1 ."/>
      <w:lvlJc w:val="left"/>
      <w:pPr>
        <w:tabs>
          <w:tab w:val="num" w:pos="397"/>
        </w:tabs>
        <w:ind w:left="397" w:hanging="397"/>
      </w:p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1C489C"/>
    <w:rsid w:val="00274FEB"/>
    <w:rsid w:val="003C1D79"/>
    <w:rsid w:val="00411078"/>
    <w:rsid w:val="00507569"/>
    <w:rsid w:val="0051496B"/>
    <w:rsid w:val="00596B46"/>
    <w:rsid w:val="005B2D6A"/>
    <w:rsid w:val="007332A2"/>
    <w:rsid w:val="007451F3"/>
    <w:rsid w:val="008A7F56"/>
    <w:rsid w:val="0096594F"/>
    <w:rsid w:val="009D4C22"/>
    <w:rsid w:val="009E3253"/>
    <w:rsid w:val="00A14A9C"/>
    <w:rsid w:val="00A32326"/>
    <w:rsid w:val="00A51CFB"/>
    <w:rsid w:val="00A6761F"/>
    <w:rsid w:val="00AC0FB8"/>
    <w:rsid w:val="00B2668E"/>
    <w:rsid w:val="00BE74E8"/>
    <w:rsid w:val="00C81BEB"/>
    <w:rsid w:val="00CA1553"/>
    <w:rsid w:val="00D00A6A"/>
    <w:rsid w:val="00D02451"/>
    <w:rsid w:val="00D1564D"/>
    <w:rsid w:val="00D15DD5"/>
    <w:rsid w:val="00E15D12"/>
    <w:rsid w:val="00EF3018"/>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318F7D57"/>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 w:type="table" w:styleId="aa">
    <w:name w:val="Table Grid"/>
    <w:basedOn w:val="a1"/>
    <w:uiPriority w:val="59"/>
    <w:rsid w:val="00274F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68194">
      <w:bodyDiv w:val="1"/>
      <w:marLeft w:val="0"/>
      <w:marRight w:val="0"/>
      <w:marTop w:val="0"/>
      <w:marBottom w:val="0"/>
      <w:divBdr>
        <w:top w:val="none" w:sz="0" w:space="0" w:color="auto"/>
        <w:left w:val="none" w:sz="0" w:space="0" w:color="auto"/>
        <w:bottom w:val="none" w:sz="0" w:space="0" w:color="auto"/>
        <w:right w:val="none" w:sz="0" w:space="0" w:color="auto"/>
      </w:divBdr>
    </w:div>
    <w:div w:id="729891222">
      <w:bodyDiv w:val="1"/>
      <w:marLeft w:val="0"/>
      <w:marRight w:val="0"/>
      <w:marTop w:val="0"/>
      <w:marBottom w:val="0"/>
      <w:divBdr>
        <w:top w:val="none" w:sz="0" w:space="0" w:color="auto"/>
        <w:left w:val="none" w:sz="0" w:space="0" w:color="auto"/>
        <w:bottom w:val="none" w:sz="0" w:space="0" w:color="auto"/>
        <w:right w:val="none" w:sz="0" w:space="0" w:color="auto"/>
      </w:divBdr>
    </w:div>
    <w:div w:id="865170291">
      <w:bodyDiv w:val="1"/>
      <w:marLeft w:val="0"/>
      <w:marRight w:val="0"/>
      <w:marTop w:val="0"/>
      <w:marBottom w:val="0"/>
      <w:divBdr>
        <w:top w:val="none" w:sz="0" w:space="0" w:color="auto"/>
        <w:left w:val="none" w:sz="0" w:space="0" w:color="auto"/>
        <w:bottom w:val="none" w:sz="0" w:space="0" w:color="auto"/>
        <w:right w:val="none" w:sz="0" w:space="0" w:color="auto"/>
      </w:divBdr>
    </w:div>
    <w:div w:id="922103324">
      <w:bodyDiv w:val="1"/>
      <w:marLeft w:val="0"/>
      <w:marRight w:val="0"/>
      <w:marTop w:val="0"/>
      <w:marBottom w:val="0"/>
      <w:divBdr>
        <w:top w:val="none" w:sz="0" w:space="0" w:color="auto"/>
        <w:left w:val="none" w:sz="0" w:space="0" w:color="auto"/>
        <w:bottom w:val="none" w:sz="0" w:space="0" w:color="auto"/>
        <w:right w:val="none" w:sz="0" w:space="0" w:color="auto"/>
      </w:divBdr>
    </w:div>
    <w:div w:id="987829108">
      <w:bodyDiv w:val="1"/>
      <w:marLeft w:val="0"/>
      <w:marRight w:val="0"/>
      <w:marTop w:val="0"/>
      <w:marBottom w:val="0"/>
      <w:divBdr>
        <w:top w:val="none" w:sz="0" w:space="0" w:color="auto"/>
        <w:left w:val="none" w:sz="0" w:space="0" w:color="auto"/>
        <w:bottom w:val="none" w:sz="0" w:space="0" w:color="auto"/>
        <w:right w:val="none" w:sz="0" w:space="0" w:color="auto"/>
      </w:divBdr>
    </w:div>
    <w:div w:id="159208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836</Words>
  <Characters>4182</Characters>
  <Application>Microsoft Office Word</Application>
  <DocSecurity>0</DocSecurity>
  <Lines>34</Lines>
  <Paragraphs>10</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9</cp:revision>
  <cp:lastPrinted>1899-12-31T22:00:00Z</cp:lastPrinted>
  <dcterms:created xsi:type="dcterms:W3CDTF">2026-04-28T11:18:00Z</dcterms:created>
  <dcterms:modified xsi:type="dcterms:W3CDTF">2026-04-30T03:51:00Z</dcterms:modified>
</cp:coreProperties>
</file>