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1F95D" w14:textId="77777777" w:rsidR="00436E4E" w:rsidRDefault="00436E4E">
      <w:pPr>
        <w:pStyle w:val="a6"/>
        <w:rPr>
          <w:rtl/>
        </w:rPr>
      </w:pPr>
    </w:p>
    <w:p w14:paraId="5C9856D3" w14:textId="77777777" w:rsidR="00436E4E" w:rsidRDefault="00436E4E">
      <w:pPr>
        <w:pStyle w:val="a6"/>
        <w:rPr>
          <w:rtl/>
        </w:rPr>
      </w:pPr>
      <w:r>
        <w:rPr>
          <w:rtl/>
        </w:rPr>
        <w:t>מדינת ישראל</w:t>
      </w:r>
    </w:p>
    <w:p w14:paraId="5B47C806" w14:textId="77777777" w:rsidR="00436E4E" w:rsidRDefault="00436E4E">
      <w:pPr>
        <w:pStyle w:val="a6"/>
        <w:rPr>
          <w:szCs w:val="24"/>
          <w:rtl/>
        </w:rPr>
      </w:pPr>
      <w:r>
        <w:rPr>
          <w:rtl/>
        </w:rPr>
        <w:t>האוצר - אגף התקציבים</w:t>
      </w:r>
    </w:p>
    <w:p w14:paraId="6BD1732E" w14:textId="77777777" w:rsidR="00436E4E" w:rsidRDefault="00436E4E">
      <w:pPr>
        <w:rPr>
          <w:rtl/>
        </w:rPr>
      </w:pPr>
    </w:p>
    <w:p w14:paraId="5D3CA638" w14:textId="77777777" w:rsidR="00436E4E" w:rsidRDefault="00436E4E">
      <w:pPr>
        <w:rPr>
          <w:rtl/>
        </w:rPr>
      </w:pPr>
    </w:p>
    <w:p w14:paraId="7AC18B95" w14:textId="1E440A93" w:rsidR="00436E4E" w:rsidRDefault="00436E4E">
      <w:pPr>
        <w:tabs>
          <w:tab w:val="left" w:pos="6300"/>
        </w:tabs>
        <w:rPr>
          <w:rtl/>
        </w:rPr>
      </w:pPr>
      <w:r>
        <w:rPr>
          <w:rtl/>
        </w:rPr>
        <w:tab/>
      </w:r>
      <w:bookmarkStart w:id="0" w:name="TAKZIV8"/>
      <w:r w:rsidR="009D21DD">
        <w:rPr>
          <w:rtl/>
        </w:rPr>
        <w:t>תקציב רגיל</w:t>
      </w:r>
      <w:bookmarkEnd w:id="0"/>
    </w:p>
    <w:p w14:paraId="6E14B9C7" w14:textId="77777777" w:rsidR="00436E4E" w:rsidRDefault="00436E4E">
      <w:pPr>
        <w:tabs>
          <w:tab w:val="left" w:pos="6300"/>
        </w:tabs>
        <w:rPr>
          <w:rtl/>
        </w:rPr>
      </w:pPr>
      <w:r>
        <w:rPr>
          <w:rtl/>
        </w:rPr>
        <w:tab/>
      </w:r>
    </w:p>
    <w:p w14:paraId="2C2801CD"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15D9EEB7" w14:textId="40F0D04D" w:rsidR="00436E4E" w:rsidRPr="002E1D22"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9D21DD">
        <w:rPr>
          <w:rFonts w:cs="FrankRuehl"/>
          <w:sz w:val="26"/>
          <w:szCs w:val="26"/>
          <w:rtl/>
        </w:rPr>
        <w:t>005</w:t>
      </w:r>
      <w:bookmarkEnd w:id="2"/>
      <w:r w:rsidRPr="002E1D22">
        <w:rPr>
          <w:rFonts w:cs="FrankRuehl"/>
          <w:sz w:val="26"/>
          <w:szCs w:val="26"/>
          <w:rtl/>
        </w:rPr>
        <w:t xml:space="preserve"> - </w:t>
      </w:r>
      <w:bookmarkStart w:id="3" w:name="TAKZIV3"/>
      <w:r w:rsidR="009D21DD">
        <w:rPr>
          <w:rFonts w:cs="FrankRuehl"/>
          <w:sz w:val="26"/>
          <w:szCs w:val="26"/>
          <w:rtl/>
        </w:rPr>
        <w:t>18</w:t>
      </w:r>
      <w:bookmarkEnd w:id="3"/>
    </w:p>
    <w:p w14:paraId="64A7A2C4" w14:textId="4EF9EEC9"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B801E4" w:rsidRPr="002E1D22">
        <w:rPr>
          <w:rFonts w:cs="FrankRuehl" w:hint="cs"/>
          <w:sz w:val="26"/>
          <w:szCs w:val="26"/>
          <w:rtl/>
        </w:rPr>
        <w:t>לוועד</w:t>
      </w:r>
      <w:r w:rsidR="00B801E4" w:rsidRPr="002E1D22">
        <w:rPr>
          <w:rFonts w:cs="FrankRuehl" w:hint="eastAsia"/>
          <w:sz w:val="26"/>
          <w:szCs w:val="26"/>
          <w:rtl/>
        </w:rPr>
        <w:t>ה</w:t>
      </w:r>
      <w:r w:rsidRPr="002E1D22">
        <w:rPr>
          <w:rFonts w:cs="FrankRuehl"/>
          <w:sz w:val="26"/>
          <w:szCs w:val="26"/>
          <w:rtl/>
        </w:rPr>
        <w:t xml:space="preserve">: </w:t>
      </w:r>
      <w:r w:rsidR="00B801E4">
        <w:rPr>
          <w:rFonts w:cs="FrankRuehl" w:hint="cs"/>
          <w:sz w:val="26"/>
          <w:szCs w:val="26"/>
          <w:rtl/>
        </w:rPr>
        <w:t>9001, 17</w:t>
      </w:r>
    </w:p>
    <w:p w14:paraId="0A696112" w14:textId="77777777" w:rsidR="004F38FC" w:rsidRDefault="004F38FC">
      <w:pPr>
        <w:rPr>
          <w:rFonts w:cs="FrankRuehl"/>
          <w:sz w:val="26"/>
          <w:szCs w:val="26"/>
          <w:rtl/>
        </w:rPr>
      </w:pPr>
    </w:p>
    <w:p w14:paraId="0E1C3390" w14:textId="698E1285" w:rsidR="00436E4E" w:rsidRPr="002E1D22" w:rsidRDefault="00436E4E">
      <w:pPr>
        <w:rPr>
          <w:rFonts w:cs="FrankRuehl"/>
          <w:sz w:val="26"/>
          <w:szCs w:val="26"/>
          <w:rtl/>
        </w:rPr>
      </w:pPr>
      <w:r w:rsidRPr="002E1D22">
        <w:rPr>
          <w:rFonts w:cs="FrankRuehl"/>
          <w:sz w:val="26"/>
          <w:szCs w:val="26"/>
          <w:rtl/>
        </w:rPr>
        <w:t>לכבוד,</w:t>
      </w:r>
    </w:p>
    <w:p w14:paraId="6AF2E68A" w14:textId="77777777" w:rsidR="00436E4E" w:rsidRPr="002E1D22" w:rsidRDefault="00436E4E">
      <w:pPr>
        <w:rPr>
          <w:rFonts w:cs="FrankRuehl"/>
          <w:sz w:val="26"/>
          <w:szCs w:val="26"/>
          <w:rtl/>
        </w:rPr>
      </w:pPr>
      <w:r w:rsidRPr="002E1D22">
        <w:rPr>
          <w:rFonts w:cs="FrankRuehl"/>
          <w:sz w:val="26"/>
          <w:szCs w:val="26"/>
          <w:rtl/>
        </w:rPr>
        <w:t>יו"ר ועדת הכספים</w:t>
      </w:r>
    </w:p>
    <w:p w14:paraId="03832410" w14:textId="77777777" w:rsidR="00436E4E" w:rsidRPr="002E1D22" w:rsidRDefault="00436E4E">
      <w:pPr>
        <w:rPr>
          <w:rFonts w:cs="FrankRuehl"/>
          <w:sz w:val="26"/>
          <w:szCs w:val="26"/>
          <w:rtl/>
        </w:rPr>
      </w:pPr>
      <w:r w:rsidRPr="002E1D22">
        <w:rPr>
          <w:rFonts w:cs="FrankRuehl"/>
          <w:sz w:val="26"/>
          <w:szCs w:val="26"/>
          <w:rtl/>
        </w:rPr>
        <w:t>של הכנסת</w:t>
      </w:r>
    </w:p>
    <w:p w14:paraId="590B2AE4" w14:textId="77777777" w:rsidR="00436E4E" w:rsidRPr="002E1D22" w:rsidRDefault="00436E4E">
      <w:pPr>
        <w:rPr>
          <w:rFonts w:cs="FrankRuehl"/>
          <w:sz w:val="26"/>
          <w:szCs w:val="26"/>
          <w:rtl/>
        </w:rPr>
      </w:pPr>
    </w:p>
    <w:p w14:paraId="1C7945B2" w14:textId="77777777" w:rsidR="00436E4E" w:rsidRPr="002E1D22" w:rsidRDefault="00436E4E">
      <w:pPr>
        <w:rPr>
          <w:rFonts w:cs="FrankRuehl"/>
          <w:sz w:val="26"/>
          <w:szCs w:val="26"/>
          <w:rtl/>
        </w:rPr>
      </w:pPr>
      <w:r w:rsidRPr="002E1D22">
        <w:rPr>
          <w:rFonts w:cs="FrankRuehl"/>
          <w:sz w:val="26"/>
          <w:szCs w:val="26"/>
          <w:rtl/>
        </w:rPr>
        <w:t>א.נ.,</w:t>
      </w:r>
    </w:p>
    <w:p w14:paraId="73738179" w14:textId="77777777" w:rsidR="00436E4E" w:rsidRPr="002E1D22" w:rsidRDefault="00436E4E">
      <w:pPr>
        <w:rPr>
          <w:rFonts w:cs="FrankRuehl"/>
          <w:sz w:val="26"/>
          <w:szCs w:val="26"/>
          <w:rtl/>
        </w:rPr>
      </w:pPr>
    </w:p>
    <w:p w14:paraId="313AE78F" w14:textId="77777777" w:rsidR="00436E4E" w:rsidRPr="002E1D22" w:rsidRDefault="00436E4E" w:rsidP="00805E49">
      <w:pPr>
        <w:pStyle w:val="a7"/>
        <w:jc w:val="both"/>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4" w:name="TAKZIV1"/>
      <w:r w:rsidR="009D21DD">
        <w:rPr>
          <w:rFonts w:cs="FrankRuehl"/>
          <w:sz w:val="26"/>
          <w:rtl/>
        </w:rPr>
        <w:t>2026</w:t>
      </w:r>
      <w:bookmarkEnd w:id="4"/>
      <w:r w:rsidRPr="002E1D22">
        <w:rPr>
          <w:rFonts w:cs="FrankRuehl"/>
          <w:sz w:val="26"/>
          <w:rtl/>
        </w:rPr>
        <w:t xml:space="preserve">     </w:t>
      </w:r>
    </w:p>
    <w:p w14:paraId="3BD2224E" w14:textId="77777777" w:rsidR="00436E4E" w:rsidRPr="002E1D22" w:rsidRDefault="00436E4E" w:rsidP="00805E49">
      <w:pPr>
        <w:jc w:val="both"/>
        <w:rPr>
          <w:rFonts w:cs="FrankRuehl"/>
          <w:sz w:val="26"/>
          <w:szCs w:val="26"/>
          <w:rtl/>
        </w:rPr>
      </w:pPr>
    </w:p>
    <w:p w14:paraId="077ADD83" w14:textId="04AF1E66" w:rsidR="00436E4E" w:rsidRPr="002E1D22" w:rsidRDefault="00436E4E" w:rsidP="00805E49">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5" w:name="TAKZIV30"/>
      <w:r w:rsidR="009D21DD">
        <w:rPr>
          <w:rFonts w:cs="FrankRuehl"/>
          <w:sz w:val="26"/>
          <w:szCs w:val="26"/>
          <w:rtl/>
        </w:rPr>
        <w:t>50,000</w:t>
      </w:r>
      <w:bookmarkEnd w:id="5"/>
      <w:r w:rsidRPr="002E1D22">
        <w:rPr>
          <w:rFonts w:cs="FrankRuehl"/>
          <w:sz w:val="26"/>
          <w:szCs w:val="26"/>
          <w:rtl/>
        </w:rPr>
        <w:t xml:space="preserve"> אלפי שקלים חדשים מ</w:t>
      </w:r>
      <w:r w:rsidR="00473B6D">
        <w:rPr>
          <w:rFonts w:cs="FrankRuehl" w:hint="cs"/>
          <w:sz w:val="26"/>
          <w:szCs w:val="26"/>
          <w:rtl/>
        </w:rPr>
        <w:t>סעיפי המשרדים השונים ל</w:t>
      </w:r>
      <w:r w:rsidRPr="002E1D22">
        <w:rPr>
          <w:rFonts w:cs="FrankRuehl"/>
          <w:sz w:val="26"/>
          <w:szCs w:val="26"/>
          <w:rtl/>
        </w:rPr>
        <w:t xml:space="preserve">סעיף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0F908F88" w14:textId="77777777" w:rsidR="00436E4E" w:rsidRPr="002E1D22" w:rsidRDefault="00436E4E" w:rsidP="00805E49">
      <w:pPr>
        <w:jc w:val="both"/>
        <w:rPr>
          <w:rFonts w:cs="FrankRuehl"/>
          <w:sz w:val="26"/>
          <w:szCs w:val="26"/>
          <w:rtl/>
        </w:rPr>
      </w:pPr>
    </w:p>
    <w:p w14:paraId="0565F670" w14:textId="341A3FCD" w:rsidR="00436E4E" w:rsidRPr="002E1D22" w:rsidRDefault="00436E4E" w:rsidP="00805E49">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473B6D">
        <w:rPr>
          <w:rFonts w:cs="FrankRuehl" w:hint="cs"/>
          <w:sz w:val="26"/>
          <w:szCs w:val="26"/>
          <w:rtl/>
        </w:rPr>
        <w:t xml:space="preserve">של 50,000 </w:t>
      </w:r>
      <w:r w:rsidRPr="002E1D22">
        <w:rPr>
          <w:rFonts w:cs="FrankRuehl"/>
          <w:sz w:val="26"/>
          <w:szCs w:val="26"/>
          <w:rtl/>
        </w:rPr>
        <w:t xml:space="preserve">אלפי שקלים חדשים מסעיף 47 - רזרבה כללית </w:t>
      </w:r>
      <w:r w:rsidR="00473B6D" w:rsidRPr="002E1D22">
        <w:rPr>
          <w:rFonts w:cs="FrankRuehl"/>
          <w:sz w:val="26"/>
          <w:szCs w:val="26"/>
          <w:rtl/>
        </w:rPr>
        <w:t xml:space="preserve">לסעיף </w:t>
      </w:r>
      <w:bookmarkStart w:id="6" w:name="TAKZIV3_1"/>
      <w:r w:rsidR="00473B6D">
        <w:rPr>
          <w:rFonts w:cs="FrankRuehl"/>
          <w:sz w:val="26"/>
          <w:szCs w:val="26"/>
          <w:rtl/>
        </w:rPr>
        <w:t>18</w:t>
      </w:r>
      <w:bookmarkEnd w:id="6"/>
      <w:r w:rsidR="00473B6D" w:rsidRPr="002E1D22">
        <w:rPr>
          <w:rFonts w:cs="FrankRuehl"/>
          <w:sz w:val="26"/>
          <w:szCs w:val="26"/>
          <w:rtl/>
        </w:rPr>
        <w:t xml:space="preserve"> - </w:t>
      </w:r>
      <w:bookmarkStart w:id="7" w:name="TAKZIV6"/>
      <w:r w:rsidR="00473B6D">
        <w:rPr>
          <w:rFonts w:cs="FrankRuehl"/>
          <w:sz w:val="26"/>
          <w:szCs w:val="26"/>
          <w:rtl/>
        </w:rPr>
        <w:t xml:space="preserve">הרשויות </w:t>
      </w:r>
      <w:proofErr w:type="spellStart"/>
      <w:r w:rsidR="00473B6D">
        <w:rPr>
          <w:rFonts w:cs="FrankRuehl"/>
          <w:sz w:val="26"/>
          <w:szCs w:val="26"/>
          <w:rtl/>
        </w:rPr>
        <w:t>המקומיו</w:t>
      </w:r>
      <w:r w:rsidR="00473B6D">
        <w:rPr>
          <w:rFonts w:cs="FrankRuehl" w:hint="cs"/>
          <w:sz w:val="26"/>
          <w:szCs w:val="26"/>
          <w:rtl/>
        </w:rPr>
        <w:t>,</w:t>
      </w:r>
      <w:r w:rsidR="00473B6D">
        <w:rPr>
          <w:rFonts w:cs="FrankRuehl"/>
          <w:sz w:val="26"/>
          <w:szCs w:val="26"/>
          <w:rtl/>
        </w:rPr>
        <w:t>ת</w:t>
      </w:r>
      <w:bookmarkEnd w:id="7"/>
      <w:proofErr w:type="spellEnd"/>
      <w:r w:rsidR="00473B6D" w:rsidRPr="002E1D22">
        <w:rPr>
          <w:rFonts w:cs="FrankRuehl"/>
          <w:sz w:val="26"/>
          <w:szCs w:val="26"/>
          <w:rtl/>
        </w:rPr>
        <w:t xml:space="preserve"> </w:t>
      </w:r>
      <w:r w:rsidRPr="002E1D22">
        <w:rPr>
          <w:rFonts w:cs="FrankRuehl"/>
          <w:sz w:val="26"/>
          <w:szCs w:val="26"/>
          <w:rtl/>
        </w:rPr>
        <w:t>בהתאם לסעיף 12 (א)</w:t>
      </w:r>
      <w:r w:rsidR="00473B6D">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33ABD299" w14:textId="77777777" w:rsidR="00436E4E" w:rsidRPr="002E1D22" w:rsidRDefault="00436E4E" w:rsidP="00805E49">
      <w:pPr>
        <w:jc w:val="both"/>
        <w:rPr>
          <w:rFonts w:cs="FrankRuehl"/>
          <w:sz w:val="26"/>
          <w:szCs w:val="26"/>
          <w:rtl/>
        </w:rPr>
      </w:pPr>
    </w:p>
    <w:p w14:paraId="3133ED0C" w14:textId="77777777" w:rsidR="00B801E4" w:rsidRDefault="00B801E4" w:rsidP="00805E49">
      <w:pPr>
        <w:contextualSpacing/>
        <w:jc w:val="both"/>
        <w:rPr>
          <w:rFonts w:ascii="FrankRuehl" w:hAnsi="FrankRuehl" w:cs="FrankRuehl"/>
          <w:b/>
          <w:bCs/>
          <w:sz w:val="26"/>
          <w:szCs w:val="26"/>
          <w:lang w:eastAsia="en-US"/>
        </w:rPr>
      </w:pPr>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18 - הרשויות המקומיות</w:t>
      </w:r>
      <w:r>
        <w:rPr>
          <w:rFonts w:ascii="FrankRuehl" w:hAnsi="FrankRuehl" w:cs="FrankRuehl" w:hint="cs"/>
          <w:b/>
          <w:bCs/>
          <w:sz w:val="26"/>
          <w:szCs w:val="26"/>
          <w:rtl/>
        </w:rPr>
        <w:t xml:space="preserve"> </w:t>
      </w:r>
    </w:p>
    <w:p w14:paraId="3019A5CD" w14:textId="77777777" w:rsidR="00B801E4" w:rsidRDefault="00B801E4" w:rsidP="00805E49">
      <w:pPr>
        <w:contextualSpacing/>
        <w:jc w:val="both"/>
        <w:rPr>
          <w:rFonts w:ascii="FrankRuehl" w:hAnsi="FrankRuehl" w:cs="FrankRuehl"/>
          <w:b/>
          <w:bCs/>
          <w:sz w:val="26"/>
          <w:szCs w:val="26"/>
        </w:rPr>
      </w:pPr>
    </w:p>
    <w:p w14:paraId="62FA650A" w14:textId="77777777" w:rsidR="00B801E4" w:rsidRDefault="00B801E4" w:rsidP="00805E49">
      <w:pPr>
        <w:contextualSpacing/>
        <w:jc w:val="both"/>
        <w:rPr>
          <w:rFonts w:ascii="FrankRuehl" w:hAnsi="FrankRuehl" w:cs="FrankRuehl"/>
          <w:b/>
          <w:bCs/>
          <w:sz w:val="26"/>
          <w:szCs w:val="26"/>
        </w:rPr>
      </w:pPr>
      <w:r>
        <w:rPr>
          <w:rFonts w:ascii="FrankRuehl" w:hAnsi="FrankRuehl" w:cs="FrankRuehl" w:hint="cs"/>
          <w:b/>
          <w:bCs/>
          <w:sz w:val="26"/>
          <w:szCs w:val="26"/>
          <w:rtl/>
        </w:rPr>
        <w:t>עיקרי הפנייה:</w:t>
      </w:r>
    </w:p>
    <w:p w14:paraId="3B0319FC" w14:textId="3AFF5803" w:rsidR="00B801E4" w:rsidRDefault="00B801E4" w:rsidP="00805E49">
      <w:pPr>
        <w:contextualSpacing/>
        <w:jc w:val="both"/>
        <w:rPr>
          <w:rFonts w:ascii="FrankRuehl" w:hAnsi="FrankRuehl" w:cs="FrankRuehl"/>
          <w:sz w:val="26"/>
          <w:szCs w:val="26"/>
          <w:rtl/>
        </w:rPr>
      </w:pPr>
      <w:r>
        <w:rPr>
          <w:rFonts w:ascii="FrankRuehl" w:hAnsi="FrankRuehl" w:cs="FrankRuehl" w:hint="cs"/>
          <w:sz w:val="26"/>
          <w:szCs w:val="26"/>
          <w:rtl/>
        </w:rPr>
        <w:t>הפנייה התקציבית נועדה לתקצוב סך של 50,000 אלפי ש"ח בהוצאה עבור פעולות משרד הפנים ויישום החלטות ממשלה כפי שיפורט להלן</w:t>
      </w:r>
      <w:r w:rsidR="00473B6D">
        <w:rPr>
          <w:rFonts w:ascii="FrankRuehl" w:hAnsi="FrankRuehl" w:cs="FrankRuehl" w:hint="cs"/>
          <w:sz w:val="26"/>
          <w:szCs w:val="26"/>
          <w:rtl/>
        </w:rPr>
        <w:t>.</w:t>
      </w:r>
    </w:p>
    <w:p w14:paraId="01089ADD" w14:textId="77777777" w:rsidR="00B801E4" w:rsidRDefault="00B801E4" w:rsidP="00805E49">
      <w:pPr>
        <w:contextualSpacing/>
        <w:jc w:val="both"/>
        <w:rPr>
          <w:rFonts w:ascii="FrankRuehl" w:hAnsi="FrankRuehl" w:cs="FrankRuehl"/>
          <w:sz w:val="26"/>
          <w:szCs w:val="26"/>
          <w:rtl/>
        </w:rPr>
      </w:pPr>
    </w:p>
    <w:p w14:paraId="4229BA3F" w14:textId="77777777" w:rsidR="00B801E4" w:rsidRDefault="00B801E4" w:rsidP="00805E49">
      <w:pPr>
        <w:contextualSpacing/>
        <w:jc w:val="both"/>
        <w:rPr>
          <w:rFonts w:ascii="FrankRuehl" w:eastAsia="Calibri" w:hAnsi="FrankRuehl" w:cs="FrankRuehl"/>
          <w:sz w:val="26"/>
          <w:szCs w:val="26"/>
          <w:rtl/>
          <w:lang w:eastAsia="en-US"/>
        </w:rPr>
      </w:pPr>
      <w:r>
        <w:rPr>
          <w:rFonts w:ascii="FrankRuehl" w:hAnsi="FrankRuehl" w:cs="FrankRuehl" w:hint="cs"/>
          <w:sz w:val="26"/>
          <w:szCs w:val="26"/>
          <w:rtl/>
        </w:rPr>
        <w:t xml:space="preserve">עיקרי הפנייה התקציבית בחלוקה </w:t>
      </w:r>
      <w:proofErr w:type="spellStart"/>
      <w:r>
        <w:rPr>
          <w:rFonts w:ascii="FrankRuehl" w:hAnsi="FrankRuehl" w:cs="FrankRuehl" w:hint="cs"/>
          <w:sz w:val="26"/>
          <w:szCs w:val="26"/>
          <w:rtl/>
        </w:rPr>
        <w:t>לתכניות</w:t>
      </w:r>
      <w:proofErr w:type="spellEnd"/>
      <w:r>
        <w:rPr>
          <w:rFonts w:ascii="FrankRuehl" w:hAnsi="FrankRuehl" w:cs="FrankRuehl" w:hint="cs"/>
          <w:sz w:val="26"/>
          <w:szCs w:val="26"/>
          <w:rtl/>
        </w:rPr>
        <w:t xml:space="preserve"> מובאים להלן:</w:t>
      </w:r>
    </w:p>
    <w:p w14:paraId="55DAD1F0" w14:textId="70E03FD5" w:rsidR="00B801E4" w:rsidRDefault="00B801E4" w:rsidP="00805E49">
      <w:pPr>
        <w:contextualSpacing/>
        <w:jc w:val="both"/>
        <w:rPr>
          <w:rFonts w:ascii="FrankRuehl" w:hAnsi="FrankRuehl" w:cs="FrankRuehl"/>
          <w:sz w:val="26"/>
          <w:szCs w:val="26"/>
          <w:rtl/>
        </w:rPr>
      </w:pPr>
      <w:r>
        <w:rPr>
          <w:rFonts w:ascii="FrankRuehl" w:hAnsi="FrankRuehl" w:cs="FrankRuehl" w:hint="cs"/>
          <w:b/>
          <w:bCs/>
          <w:sz w:val="26"/>
          <w:szCs w:val="26"/>
          <w:rtl/>
        </w:rPr>
        <w:t>תכנית 181103- מענקים שוטפים – תקצוב סך של 50,000 אלפי ש"ח בהוצאה</w:t>
      </w:r>
    </w:p>
    <w:p w14:paraId="46B4BB54" w14:textId="77777777" w:rsidR="00B801E4" w:rsidRDefault="00B801E4" w:rsidP="00805E49">
      <w:pPr>
        <w:contextualSpacing/>
        <w:jc w:val="both"/>
        <w:rPr>
          <w:rFonts w:ascii="FrankRuehl" w:hAnsi="FrankRuehl" w:cs="FrankRuehl"/>
          <w:sz w:val="26"/>
          <w:szCs w:val="26"/>
          <w:rtl/>
        </w:rPr>
      </w:pPr>
      <w:r w:rsidRPr="00473B6D">
        <w:rPr>
          <w:rFonts w:ascii="FrankRuehl" w:hAnsi="FrankRuehl" w:cs="FrankRuehl" w:hint="cs"/>
          <w:b/>
          <w:bCs/>
          <w:sz w:val="26"/>
          <w:szCs w:val="26"/>
          <w:rtl/>
        </w:rPr>
        <w:t xml:space="preserve">תיאור </w:t>
      </w:r>
      <w:proofErr w:type="spellStart"/>
      <w:r w:rsidRPr="00473B6D">
        <w:rPr>
          <w:rFonts w:ascii="FrankRuehl" w:hAnsi="FrankRuehl" w:cs="FrankRuehl" w:hint="cs"/>
          <w:b/>
          <w:bCs/>
          <w:sz w:val="26"/>
          <w:szCs w:val="26"/>
          <w:rtl/>
        </w:rPr>
        <w:t>התכנית</w:t>
      </w:r>
      <w:proofErr w:type="spellEnd"/>
      <w:r>
        <w:rPr>
          <w:rFonts w:ascii="FrankRuehl" w:hAnsi="FrankRuehl" w:cs="FrankRuehl" w:hint="cs"/>
          <w:sz w:val="26"/>
          <w:szCs w:val="26"/>
          <w:rtl/>
        </w:rPr>
        <w:t xml:space="preserve">: </w:t>
      </w:r>
      <w:proofErr w:type="spellStart"/>
      <w:r>
        <w:rPr>
          <w:rFonts w:ascii="FrankRuehl" w:hAnsi="FrankRuehl" w:cs="FrankRuehl" w:hint="cs"/>
          <w:sz w:val="26"/>
          <w:szCs w:val="26"/>
          <w:rtl/>
        </w:rPr>
        <w:t>בתכנית</w:t>
      </w:r>
      <w:proofErr w:type="spellEnd"/>
      <w:r>
        <w:rPr>
          <w:rFonts w:ascii="FrankRuehl" w:hAnsi="FrankRuehl" w:cs="FrankRuehl" w:hint="cs"/>
          <w:sz w:val="26"/>
          <w:szCs w:val="26"/>
          <w:rtl/>
        </w:rPr>
        <w:t xml:space="preserve"> זו מתוקצבים המענקים והתקציבים המועברים לרשויות מקומיות ישירות. מענקים אלה כוללים את מענקי האיזון לרשויות המקומיות, מענקי ההבראה, מענק הבירה לעיריית ירושלים ומענקים שוטפים אחרים. כמו כן, במסגרת תכנית זו מתוקצבים רואי החשבון אשר עורכים את הדוחות הכספיים והביקורות ברשויות המקומיות.</w:t>
      </w:r>
    </w:p>
    <w:p w14:paraId="1E8368DF" w14:textId="77777777" w:rsidR="00B801E4" w:rsidRDefault="00B801E4" w:rsidP="00805E49">
      <w:pPr>
        <w:contextualSpacing/>
        <w:jc w:val="both"/>
        <w:rPr>
          <w:rFonts w:ascii="FrankRuehl" w:eastAsia="Calibri" w:hAnsi="FrankRuehl" w:cs="FrankRuehl"/>
          <w:b/>
          <w:bCs/>
          <w:sz w:val="26"/>
          <w:szCs w:val="26"/>
          <w:rtl/>
          <w:lang w:eastAsia="en-US"/>
        </w:rPr>
      </w:pPr>
      <w:r>
        <w:rPr>
          <w:rFonts w:ascii="FrankRuehl" w:hAnsi="FrankRuehl" w:cs="FrankRuehl" w:hint="cs"/>
          <w:b/>
          <w:bCs/>
          <w:sz w:val="26"/>
          <w:szCs w:val="26"/>
          <w:rtl/>
        </w:rPr>
        <w:t>מטרת השינוי:</w:t>
      </w:r>
    </w:p>
    <w:p w14:paraId="325B074F" w14:textId="22CD681C" w:rsidR="00B801E4" w:rsidRDefault="00B801E4" w:rsidP="00805E49">
      <w:pPr>
        <w:contextualSpacing/>
        <w:jc w:val="both"/>
        <w:rPr>
          <w:rFonts w:ascii="FrankRuehl" w:hAnsi="FrankRuehl" w:cs="FrankRuehl"/>
          <w:b/>
          <w:bCs/>
          <w:sz w:val="26"/>
          <w:szCs w:val="26"/>
        </w:rPr>
      </w:pPr>
      <w:r>
        <w:rPr>
          <w:rFonts w:ascii="FrankRuehl" w:hAnsi="FrankRuehl" w:cs="FrankRuehl" w:hint="cs"/>
          <w:sz w:val="26"/>
          <w:szCs w:val="26"/>
          <w:rtl/>
        </w:rPr>
        <w:t>תקצוב סך של 50,000 אלפי ש״ח בהוצאה</w:t>
      </w:r>
      <w:r w:rsidR="00473B6D">
        <w:rPr>
          <w:rFonts w:ascii="FrankRuehl" w:hAnsi="FrankRuehl" w:cs="FrankRuehl" w:hint="cs"/>
          <w:sz w:val="26"/>
          <w:szCs w:val="26"/>
          <w:rtl/>
        </w:rPr>
        <w:t>,</w:t>
      </w:r>
      <w:r>
        <w:rPr>
          <w:rFonts w:ascii="FrankRuehl" w:hAnsi="FrankRuehl" w:cs="FrankRuehl" w:hint="cs"/>
          <w:sz w:val="26"/>
          <w:szCs w:val="26"/>
          <w:rtl/>
        </w:rPr>
        <w:t xml:space="preserve"> בהתאם לאמור בהחלטת ממשלה</w:t>
      </w:r>
      <w:r w:rsidR="00473B6D">
        <w:rPr>
          <w:rFonts w:ascii="FrankRuehl" w:hAnsi="FrankRuehl" w:cs="FrankRuehl" w:hint="cs"/>
          <w:sz w:val="26"/>
          <w:szCs w:val="26"/>
          <w:rtl/>
        </w:rPr>
        <w:t xml:space="preserve"> מס'</w:t>
      </w:r>
      <w:r>
        <w:rPr>
          <w:rFonts w:ascii="FrankRuehl" w:hAnsi="FrankRuehl" w:cs="FrankRuehl" w:hint="cs"/>
          <w:sz w:val="26"/>
          <w:szCs w:val="26"/>
          <w:rtl/>
        </w:rPr>
        <w:t xml:space="preserve"> </w:t>
      </w:r>
      <w:hyperlink r:id="rId6" w:history="1">
        <w:r>
          <w:rPr>
            <w:rStyle w:val="Hyperlink"/>
            <w:rFonts w:ascii="FrankRuehl" w:hAnsi="FrankRuehl" w:cs="FrankRuehl" w:hint="cs"/>
            <w:sz w:val="26"/>
            <w:szCs w:val="26"/>
            <w:rtl/>
          </w:rPr>
          <w:t>3940</w:t>
        </w:r>
      </w:hyperlink>
      <w:r>
        <w:rPr>
          <w:rFonts w:ascii="FrankRuehl" w:hAnsi="FrankRuehl" w:cs="FrankRuehl" w:hint="cs"/>
          <w:sz w:val="26"/>
          <w:szCs w:val="26"/>
          <w:rtl/>
        </w:rPr>
        <w:t xml:space="preserve"> מיום 1 במרץ 2026 שעניינה ״מתן מענה </w:t>
      </w:r>
      <w:proofErr w:type="spellStart"/>
      <w:r>
        <w:rPr>
          <w:rFonts w:ascii="FrankRuehl" w:hAnsi="FrankRuehl" w:cs="FrankRuehl" w:hint="cs"/>
          <w:sz w:val="26"/>
          <w:szCs w:val="26"/>
          <w:rtl/>
        </w:rPr>
        <w:t>מיידי</w:t>
      </w:r>
      <w:proofErr w:type="spellEnd"/>
      <w:r>
        <w:rPr>
          <w:rFonts w:ascii="FrankRuehl" w:hAnsi="FrankRuehl" w:cs="FrankRuehl" w:hint="cs"/>
          <w:sz w:val="26"/>
          <w:szCs w:val="26"/>
          <w:rtl/>
        </w:rPr>
        <w:t xml:space="preserve"> לתושבים שביתם ניזוק ואינו ראוי למגורים״. </w:t>
      </w:r>
    </w:p>
    <w:p w14:paraId="6934226F" w14:textId="77777777" w:rsidR="00B801E4" w:rsidRDefault="00B801E4" w:rsidP="00805E49">
      <w:pPr>
        <w:contextualSpacing/>
        <w:jc w:val="both"/>
        <w:rPr>
          <w:rFonts w:eastAsia="Calibri" w:cs="FrankRuehl"/>
          <w:sz w:val="26"/>
          <w:szCs w:val="26"/>
          <w:lang w:eastAsia="en-US"/>
        </w:rPr>
      </w:pPr>
    </w:p>
    <w:p w14:paraId="1019FA22" w14:textId="77777777" w:rsidR="00B801E4" w:rsidRDefault="00B801E4" w:rsidP="00805E49">
      <w:pPr>
        <w:contextualSpacing/>
        <w:jc w:val="both"/>
        <w:rPr>
          <w:rFonts w:ascii="FrankRuehl" w:hAnsi="FrankRuehl" w:cs="FrankRuehl"/>
          <w:sz w:val="26"/>
          <w:szCs w:val="26"/>
          <w:rtl/>
        </w:rPr>
      </w:pPr>
      <w:r>
        <w:rPr>
          <w:rFonts w:ascii="FrankRuehl" w:hAnsi="FrankRuehl" w:cs="FrankRuehl" w:hint="cs"/>
          <w:b/>
          <w:bCs/>
          <w:sz w:val="26"/>
          <w:szCs w:val="26"/>
          <w:rtl/>
        </w:rPr>
        <w:t xml:space="preserve">השפעה על כוח אדם: </w:t>
      </w:r>
      <w:r>
        <w:rPr>
          <w:rFonts w:ascii="FrankRuehl" w:hAnsi="FrankRuehl" w:cs="FrankRuehl" w:hint="cs"/>
          <w:sz w:val="26"/>
          <w:szCs w:val="26"/>
          <w:rtl/>
        </w:rPr>
        <w:t>אין.</w:t>
      </w:r>
    </w:p>
    <w:p w14:paraId="4F9D9CDA" w14:textId="77777777" w:rsidR="00B801E4" w:rsidRDefault="00B801E4" w:rsidP="00805E49">
      <w:pPr>
        <w:contextualSpacing/>
        <w:jc w:val="both"/>
        <w:rPr>
          <w:rFonts w:cs="FrankRuehl"/>
          <w:sz w:val="26"/>
          <w:szCs w:val="26"/>
          <w:rtl/>
        </w:rPr>
      </w:pPr>
    </w:p>
    <w:p w14:paraId="61BAFBFD" w14:textId="073DF4FA" w:rsidR="00436E4E" w:rsidRPr="002E1D22" w:rsidRDefault="00B801E4" w:rsidP="00473B6D">
      <w:pPr>
        <w:tabs>
          <w:tab w:val="center" w:pos="6888"/>
        </w:tabs>
        <w:rPr>
          <w:rFonts w:cs="FrankRuehl"/>
          <w:sz w:val="26"/>
          <w:szCs w:val="26"/>
          <w:rtl/>
        </w:rPr>
      </w:pPr>
      <w:r>
        <w:rPr>
          <w:rFonts w:cs="FrankRuehl" w:hint="cs"/>
          <w:sz w:val="26"/>
          <w:szCs w:val="26"/>
          <w:rtl/>
        </w:rPr>
        <w:tab/>
      </w:r>
    </w:p>
    <w:p w14:paraId="5D6212E4" w14:textId="77777777" w:rsidR="00436E4E" w:rsidRPr="002E1D22" w:rsidRDefault="00436E4E">
      <w:pPr>
        <w:tabs>
          <w:tab w:val="center" w:pos="6867"/>
        </w:tabs>
        <w:rPr>
          <w:rFonts w:cs="FrankRuehl"/>
          <w:sz w:val="26"/>
          <w:szCs w:val="26"/>
          <w:rtl/>
        </w:rPr>
      </w:pPr>
    </w:p>
    <w:p w14:paraId="167BA9F2"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213358B8" w14:textId="77777777" w:rsidR="00436E4E" w:rsidRDefault="00C13197">
      <w:pPr>
        <w:tabs>
          <w:tab w:val="center" w:pos="6867"/>
        </w:tabs>
        <w:rPr>
          <w:rFonts w:cs="FrankRuehl"/>
          <w:sz w:val="26"/>
          <w:szCs w:val="26"/>
          <w:rtl/>
        </w:rPr>
      </w:pPr>
      <w:r>
        <w:rPr>
          <w:rFonts w:cs="FrankRuehl"/>
          <w:sz w:val="26"/>
          <w:szCs w:val="26"/>
          <w:rtl/>
        </w:rPr>
        <w:tab/>
      </w:r>
    </w:p>
    <w:p w14:paraId="49DF6056" w14:textId="77777777" w:rsidR="00C13197" w:rsidRPr="002E1D22" w:rsidRDefault="00C13197">
      <w:pPr>
        <w:tabs>
          <w:tab w:val="center" w:pos="6867"/>
        </w:tabs>
        <w:rPr>
          <w:rFonts w:cs="FrankRuehl"/>
          <w:sz w:val="26"/>
          <w:szCs w:val="26"/>
        </w:rPr>
      </w:pPr>
      <w:r>
        <w:rPr>
          <w:rFonts w:cs="FrankRuehl"/>
          <w:sz w:val="26"/>
          <w:szCs w:val="26"/>
          <w:rtl/>
        </w:rPr>
        <w:tab/>
      </w:r>
      <w:bookmarkStart w:id="8" w:name="Sign_Image"/>
      <w:bookmarkEnd w:id="8"/>
    </w:p>
    <w:p w14:paraId="197FA6C0"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12CCF9E"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3F25BF42"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26271F2B" w14:textId="77777777" w:rsidR="00436E4E" w:rsidRPr="002E1D22" w:rsidRDefault="00436E4E">
      <w:pPr>
        <w:rPr>
          <w:rFonts w:cs="FrankRuehl"/>
          <w:sz w:val="26"/>
          <w:szCs w:val="26"/>
          <w:rtl/>
        </w:rPr>
      </w:pPr>
      <w:r w:rsidRPr="002E1D22">
        <w:rPr>
          <w:rFonts w:cs="FrankRuehl"/>
          <w:sz w:val="26"/>
          <w:szCs w:val="26"/>
          <w:rtl/>
        </w:rPr>
        <w:lastRenderedPageBreak/>
        <w:t>העתק:</w:t>
      </w:r>
    </w:p>
    <w:p w14:paraId="45E38671" w14:textId="77777777" w:rsidR="00436E4E" w:rsidRPr="002E1D22" w:rsidRDefault="00436E4E">
      <w:pPr>
        <w:rPr>
          <w:rFonts w:cs="FrankRuehl"/>
          <w:sz w:val="26"/>
          <w:szCs w:val="26"/>
          <w:rtl/>
        </w:rPr>
      </w:pPr>
      <w:r w:rsidRPr="002E1D22">
        <w:rPr>
          <w:rFonts w:cs="FrankRuehl"/>
          <w:sz w:val="26"/>
          <w:szCs w:val="26"/>
          <w:rtl/>
        </w:rPr>
        <w:t>החשב הכללי</w:t>
      </w:r>
    </w:p>
    <w:p w14:paraId="44A98460" w14:textId="77777777" w:rsidR="00436E4E" w:rsidRPr="002E1D22" w:rsidRDefault="00436E4E">
      <w:pPr>
        <w:rPr>
          <w:rFonts w:cs="FrankRuehl"/>
          <w:sz w:val="26"/>
          <w:szCs w:val="26"/>
          <w:rtl/>
        </w:rPr>
      </w:pPr>
      <w:r w:rsidRPr="002E1D22">
        <w:rPr>
          <w:rFonts w:cs="FrankRuehl"/>
          <w:sz w:val="26"/>
          <w:szCs w:val="26"/>
          <w:rtl/>
        </w:rPr>
        <w:t>מבקר המדינה (2)</w:t>
      </w:r>
    </w:p>
    <w:p w14:paraId="36484339" w14:textId="51296AAB" w:rsidR="00436E4E" w:rsidRPr="002E1D22" w:rsidRDefault="009D21DD">
      <w:pPr>
        <w:rPr>
          <w:rFonts w:cs="FrankRuehl"/>
          <w:sz w:val="26"/>
          <w:szCs w:val="26"/>
          <w:rtl/>
        </w:rPr>
      </w:pPr>
      <w:bookmarkStart w:id="9" w:name="TAKZIV22"/>
      <w:r>
        <w:rPr>
          <w:rFonts w:cs="FrankRuehl"/>
          <w:sz w:val="26"/>
          <w:szCs w:val="26"/>
          <w:rtl/>
        </w:rPr>
        <w:t>חשב החשב הכללי</w:t>
      </w:r>
      <w:bookmarkEnd w:id="9"/>
    </w:p>
    <w:p w14:paraId="0D47AE36" w14:textId="0909BC7A" w:rsidR="00436E4E" w:rsidRPr="002E1D22" w:rsidRDefault="00436E4E">
      <w:pPr>
        <w:rPr>
          <w:rFonts w:cs="FrankRuehl"/>
          <w:sz w:val="26"/>
          <w:szCs w:val="26"/>
          <w:rtl/>
        </w:rPr>
      </w:pPr>
      <w:r w:rsidRPr="002E1D22">
        <w:rPr>
          <w:rFonts w:cs="FrankRuehl"/>
          <w:sz w:val="26"/>
          <w:szCs w:val="26"/>
          <w:rtl/>
        </w:rPr>
        <w:t xml:space="preserve">קצין תקציבים </w:t>
      </w:r>
      <w:bookmarkStart w:id="10" w:name="TAKZIV6_1"/>
      <w:r w:rsidR="009D21DD">
        <w:rPr>
          <w:rFonts w:cs="FrankRuehl"/>
          <w:sz w:val="26"/>
          <w:szCs w:val="26"/>
          <w:rtl/>
        </w:rPr>
        <w:t>הרשויות המקומיות</w:t>
      </w:r>
      <w:bookmarkEnd w:id="10"/>
    </w:p>
    <w:p w14:paraId="11F3128E" w14:textId="55905CC6" w:rsidR="00436E4E" w:rsidRPr="002E1D22" w:rsidRDefault="00436E4E">
      <w:pPr>
        <w:rPr>
          <w:rFonts w:cs="FrankRuehl"/>
          <w:sz w:val="26"/>
          <w:szCs w:val="26"/>
          <w:rtl/>
        </w:rPr>
      </w:pPr>
      <w:r w:rsidRPr="002E1D22">
        <w:rPr>
          <w:rFonts w:cs="FrankRuehl"/>
          <w:sz w:val="26"/>
          <w:szCs w:val="26"/>
          <w:rtl/>
        </w:rPr>
        <w:t xml:space="preserve">רפרנט </w:t>
      </w:r>
      <w:bookmarkStart w:id="11" w:name="TAKZIV6_2"/>
      <w:r w:rsidR="009D21DD">
        <w:rPr>
          <w:rFonts w:cs="FrankRuehl"/>
          <w:sz w:val="26"/>
          <w:szCs w:val="26"/>
          <w:rtl/>
        </w:rPr>
        <w:t>הרשויות המקומיות</w:t>
      </w:r>
      <w:bookmarkEnd w:id="11"/>
    </w:p>
    <w:p w14:paraId="351B8942" w14:textId="77777777" w:rsidR="00436E4E" w:rsidRPr="002E1D22" w:rsidRDefault="00436E4E">
      <w:pPr>
        <w:rPr>
          <w:rFonts w:cs="FrankRuehl"/>
          <w:sz w:val="26"/>
          <w:szCs w:val="26"/>
          <w:rtl/>
        </w:rPr>
      </w:pPr>
      <w:bookmarkStart w:id="12" w:name="TAKZIV23"/>
      <w:bookmarkEnd w:id="12"/>
    </w:p>
    <w:p w14:paraId="7C6D813D" w14:textId="77777777" w:rsidR="00436E4E" w:rsidRPr="002E1D22" w:rsidRDefault="00436E4E">
      <w:pPr>
        <w:rPr>
          <w:rFonts w:cs="FrankRuehl"/>
          <w:sz w:val="26"/>
          <w:szCs w:val="26"/>
          <w:rtl/>
        </w:rPr>
      </w:pPr>
    </w:p>
    <w:p w14:paraId="1553056B" w14:textId="77777777" w:rsidR="00B801E4" w:rsidRDefault="00B801E4" w:rsidP="00B801E4">
      <w:pPr>
        <w:contextualSpacing/>
        <w:rPr>
          <w:rFonts w:ascii="FrankRuehl" w:hAnsi="FrankRuehl" w:cs="FrankRuehl"/>
          <w:b/>
          <w:bCs/>
          <w:sz w:val="26"/>
          <w:szCs w:val="26"/>
          <w:rtl/>
        </w:rPr>
      </w:pPr>
      <w:bookmarkStart w:id="13" w:name="TAKZIV25"/>
      <w:bookmarkEnd w:id="13"/>
      <w:r>
        <w:rPr>
          <w:rFonts w:ascii="FrankRuehl" w:hAnsi="FrankRuehl" w:cs="FrankRuehl" w:hint="cs"/>
          <w:b/>
          <w:bCs/>
          <w:sz w:val="26"/>
          <w:szCs w:val="26"/>
          <w:rtl/>
        </w:rPr>
        <w:t xml:space="preserve">היסטוריה תקציבית - </w:t>
      </w:r>
    </w:p>
    <w:p w14:paraId="2D03A7F3" w14:textId="77777777" w:rsidR="00B801E4" w:rsidRDefault="00B801E4" w:rsidP="00B801E4">
      <w:pPr>
        <w:contextualSpacing/>
        <w:rPr>
          <w:rFonts w:ascii="FrankRuehl" w:hAnsi="FrankRuehl" w:cs="FrankRuehl"/>
          <w:b/>
          <w:bCs/>
          <w:sz w:val="26"/>
          <w:szCs w:val="26"/>
          <w:rtl/>
        </w:rPr>
      </w:pPr>
      <w:r>
        <w:rPr>
          <w:rFonts w:ascii="FrankRuehl" w:hAnsi="FrankRuehl" w:cs="FrankRuehl" w:hint="cs"/>
          <w:b/>
          <w:bCs/>
          <w:sz w:val="26"/>
          <w:szCs w:val="26"/>
          <w:rtl/>
        </w:rPr>
        <w:t>הוצאה נטו:</w:t>
      </w:r>
    </w:p>
    <w:tbl>
      <w:tblPr>
        <w:bidiVisual/>
        <w:tblW w:w="8717" w:type="dxa"/>
        <w:tblInd w:w="113" w:type="dxa"/>
        <w:tblLook w:val="04A0" w:firstRow="1" w:lastRow="0" w:firstColumn="1" w:lastColumn="0" w:noHBand="0" w:noVBand="1"/>
      </w:tblPr>
      <w:tblGrid>
        <w:gridCol w:w="998"/>
        <w:gridCol w:w="1236"/>
        <w:gridCol w:w="868"/>
        <w:gridCol w:w="1005"/>
        <w:gridCol w:w="868"/>
        <w:gridCol w:w="1005"/>
        <w:gridCol w:w="868"/>
        <w:gridCol w:w="1005"/>
        <w:gridCol w:w="864"/>
      </w:tblGrid>
      <w:tr w:rsidR="00B801E4" w14:paraId="64F50A7B" w14:textId="77777777" w:rsidTr="0049747C">
        <w:trPr>
          <w:trHeight w:val="768"/>
        </w:trPr>
        <w:tc>
          <w:tcPr>
            <w:tcW w:w="1010" w:type="dxa"/>
            <w:tcBorders>
              <w:top w:val="single" w:sz="4" w:space="0" w:color="979991"/>
              <w:left w:val="single" w:sz="4" w:space="0" w:color="979991"/>
              <w:bottom w:val="nil"/>
              <w:right w:val="nil"/>
            </w:tcBorders>
            <w:shd w:val="clear" w:color="auto" w:fill="BDD6EE"/>
            <w:vAlign w:val="center"/>
            <w:hideMark/>
          </w:tcPr>
          <w:p w14:paraId="004ED319" w14:textId="77777777" w:rsidR="00B801E4" w:rsidRDefault="00B801E4" w:rsidP="0049747C">
            <w:pPr>
              <w:jc w:val="center"/>
              <w:rPr>
                <w:rFonts w:ascii="Calibri" w:hAnsi="Calibri" w:cs="Calibri"/>
                <w:b/>
                <w:bCs/>
                <w:color w:val="000000"/>
                <w:sz w:val="16"/>
                <w:szCs w:val="16"/>
                <w:rtl/>
              </w:rPr>
            </w:pPr>
            <w:r>
              <w:rPr>
                <w:rFonts w:ascii="Calibri" w:hAnsi="Calibri" w:cs="Calibri"/>
                <w:b/>
                <w:bCs/>
                <w:color w:val="000000"/>
                <w:sz w:val="16"/>
                <w:szCs w:val="16"/>
                <w:rtl/>
              </w:rPr>
              <w:t>קוד תוכנית</w:t>
            </w:r>
          </w:p>
        </w:tc>
        <w:tc>
          <w:tcPr>
            <w:tcW w:w="1258" w:type="dxa"/>
            <w:tcBorders>
              <w:top w:val="single" w:sz="4" w:space="0" w:color="979991"/>
              <w:left w:val="single" w:sz="4" w:space="0" w:color="979991"/>
              <w:bottom w:val="single" w:sz="4" w:space="0" w:color="979991"/>
              <w:right w:val="nil"/>
            </w:tcBorders>
            <w:shd w:val="clear" w:color="auto" w:fill="BDD6EE"/>
            <w:vAlign w:val="center"/>
            <w:hideMark/>
          </w:tcPr>
          <w:p w14:paraId="6B0513F0" w14:textId="77777777" w:rsidR="00B801E4" w:rsidRDefault="00B801E4" w:rsidP="0049747C">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868" w:type="dxa"/>
            <w:tcBorders>
              <w:top w:val="single" w:sz="4" w:space="0" w:color="979991"/>
              <w:left w:val="single" w:sz="4" w:space="0" w:color="979991"/>
              <w:bottom w:val="single" w:sz="4" w:space="0" w:color="979991"/>
              <w:right w:val="nil"/>
            </w:tcBorders>
            <w:shd w:val="clear" w:color="auto" w:fill="BDD6EE"/>
            <w:vAlign w:val="center"/>
            <w:hideMark/>
          </w:tcPr>
          <w:p w14:paraId="3CDABE53" w14:textId="77777777" w:rsidR="00B801E4" w:rsidRDefault="00B801E4" w:rsidP="0049747C">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010" w:type="dxa"/>
            <w:tcBorders>
              <w:top w:val="single" w:sz="4" w:space="0" w:color="979991"/>
              <w:left w:val="single" w:sz="4" w:space="0" w:color="979991"/>
              <w:bottom w:val="single" w:sz="4" w:space="0" w:color="979991"/>
              <w:right w:val="nil"/>
            </w:tcBorders>
            <w:shd w:val="clear" w:color="auto" w:fill="BDD6EE"/>
            <w:vAlign w:val="center"/>
            <w:hideMark/>
          </w:tcPr>
          <w:p w14:paraId="2EC439D0" w14:textId="77777777" w:rsidR="00B801E4" w:rsidRDefault="00B801E4" w:rsidP="0049747C">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868" w:type="dxa"/>
            <w:tcBorders>
              <w:top w:val="single" w:sz="4" w:space="0" w:color="979991"/>
              <w:left w:val="single" w:sz="4" w:space="0" w:color="979991"/>
              <w:bottom w:val="single" w:sz="4" w:space="0" w:color="979991"/>
              <w:right w:val="nil"/>
            </w:tcBorders>
            <w:shd w:val="clear" w:color="auto" w:fill="BDD6EE"/>
            <w:vAlign w:val="center"/>
            <w:hideMark/>
          </w:tcPr>
          <w:p w14:paraId="38EABB3A" w14:textId="77777777" w:rsidR="00B801E4" w:rsidRDefault="00B801E4" w:rsidP="0049747C">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010" w:type="dxa"/>
            <w:tcBorders>
              <w:top w:val="single" w:sz="4" w:space="0" w:color="979991"/>
              <w:left w:val="single" w:sz="4" w:space="0" w:color="979991"/>
              <w:bottom w:val="single" w:sz="4" w:space="0" w:color="979991"/>
              <w:right w:val="nil"/>
            </w:tcBorders>
            <w:shd w:val="clear" w:color="auto" w:fill="BDD6EE"/>
            <w:vAlign w:val="center"/>
            <w:hideMark/>
          </w:tcPr>
          <w:p w14:paraId="201D71AB" w14:textId="77777777" w:rsidR="00B801E4" w:rsidRDefault="00B801E4" w:rsidP="0049747C">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868" w:type="dxa"/>
            <w:tcBorders>
              <w:top w:val="single" w:sz="4" w:space="0" w:color="979991"/>
              <w:left w:val="single" w:sz="4" w:space="0" w:color="979991"/>
              <w:bottom w:val="single" w:sz="4" w:space="0" w:color="979991"/>
              <w:right w:val="nil"/>
            </w:tcBorders>
            <w:shd w:val="clear" w:color="auto" w:fill="BDD6EE"/>
            <w:vAlign w:val="center"/>
            <w:hideMark/>
          </w:tcPr>
          <w:p w14:paraId="249E7F8B" w14:textId="77777777" w:rsidR="00B801E4" w:rsidRDefault="00B801E4" w:rsidP="0049747C">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010" w:type="dxa"/>
            <w:tcBorders>
              <w:top w:val="single" w:sz="4" w:space="0" w:color="979991"/>
              <w:left w:val="single" w:sz="4" w:space="0" w:color="979991"/>
              <w:bottom w:val="single" w:sz="4" w:space="0" w:color="979991"/>
              <w:right w:val="nil"/>
            </w:tcBorders>
            <w:shd w:val="clear" w:color="auto" w:fill="BDD6EE"/>
            <w:vAlign w:val="center"/>
            <w:hideMark/>
          </w:tcPr>
          <w:p w14:paraId="6F8FC9D7" w14:textId="77777777" w:rsidR="00B801E4" w:rsidRDefault="00B801E4" w:rsidP="0049747C">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815" w:type="dxa"/>
            <w:tcBorders>
              <w:top w:val="single" w:sz="4" w:space="0" w:color="979991"/>
              <w:left w:val="single" w:sz="4" w:space="0" w:color="979991"/>
              <w:bottom w:val="single" w:sz="4" w:space="0" w:color="979991"/>
              <w:right w:val="single" w:sz="4" w:space="0" w:color="979991"/>
            </w:tcBorders>
            <w:shd w:val="clear" w:color="auto" w:fill="BDD6EE"/>
            <w:vAlign w:val="center"/>
            <w:hideMark/>
          </w:tcPr>
          <w:p w14:paraId="7A3F2ED8" w14:textId="77777777" w:rsidR="00B801E4" w:rsidRDefault="00B801E4" w:rsidP="0049747C">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B801E4" w14:paraId="727C8D05" w14:textId="77777777" w:rsidTr="0049747C">
        <w:trPr>
          <w:trHeight w:val="341"/>
        </w:trPr>
        <w:tc>
          <w:tcPr>
            <w:tcW w:w="1010" w:type="dxa"/>
            <w:tcBorders>
              <w:top w:val="single" w:sz="4" w:space="0" w:color="979991"/>
              <w:left w:val="single" w:sz="4" w:space="0" w:color="979991"/>
              <w:bottom w:val="single" w:sz="4" w:space="0" w:color="979991"/>
              <w:right w:val="nil"/>
            </w:tcBorders>
            <w:shd w:val="clear" w:color="auto" w:fill="F0F4FA"/>
            <w:vAlign w:val="center"/>
            <w:hideMark/>
          </w:tcPr>
          <w:p w14:paraId="279FEDD2" w14:textId="77777777" w:rsidR="00B801E4" w:rsidRDefault="00B801E4" w:rsidP="0049747C">
            <w:pPr>
              <w:bidi w:val="0"/>
              <w:jc w:val="center"/>
              <w:rPr>
                <w:rFonts w:ascii="Calibri" w:hAnsi="Calibri" w:cs="Calibri"/>
                <w:color w:val="000000"/>
                <w:sz w:val="16"/>
                <w:szCs w:val="16"/>
                <w:rtl/>
              </w:rPr>
            </w:pPr>
            <w:r>
              <w:rPr>
                <w:rFonts w:ascii="Calibri" w:hAnsi="Calibri" w:cs="Calibri"/>
                <w:color w:val="000000"/>
                <w:sz w:val="16"/>
                <w:szCs w:val="16"/>
              </w:rPr>
              <w:t>181103</w:t>
            </w:r>
          </w:p>
        </w:tc>
        <w:tc>
          <w:tcPr>
            <w:tcW w:w="1258" w:type="dxa"/>
            <w:tcBorders>
              <w:top w:val="nil"/>
              <w:left w:val="single" w:sz="4" w:space="0" w:color="979991"/>
              <w:bottom w:val="single" w:sz="4" w:space="0" w:color="979991"/>
              <w:right w:val="nil"/>
            </w:tcBorders>
            <w:shd w:val="clear" w:color="auto" w:fill="FFFFFF"/>
            <w:vAlign w:val="center"/>
            <w:hideMark/>
          </w:tcPr>
          <w:p w14:paraId="3D7362A9" w14:textId="77777777" w:rsidR="00B801E4" w:rsidRDefault="00B801E4" w:rsidP="0049747C">
            <w:pPr>
              <w:bidi w:val="0"/>
              <w:jc w:val="center"/>
              <w:rPr>
                <w:rFonts w:ascii="Calibri" w:hAnsi="Calibri" w:cs="Calibri"/>
                <w:color w:val="000000"/>
                <w:sz w:val="16"/>
                <w:szCs w:val="16"/>
                <w:rtl/>
              </w:rPr>
            </w:pPr>
            <w:r>
              <w:rPr>
                <w:rFonts w:ascii="Calibri" w:hAnsi="Calibri" w:cs="Calibri"/>
                <w:color w:val="000000"/>
                <w:sz w:val="16"/>
                <w:szCs w:val="16"/>
              </w:rPr>
              <w:t>50,000</w:t>
            </w:r>
          </w:p>
        </w:tc>
        <w:tc>
          <w:tcPr>
            <w:tcW w:w="868" w:type="dxa"/>
            <w:tcBorders>
              <w:top w:val="nil"/>
              <w:left w:val="single" w:sz="4" w:space="0" w:color="979991"/>
              <w:bottom w:val="single" w:sz="4" w:space="0" w:color="979991"/>
              <w:right w:val="nil"/>
            </w:tcBorders>
            <w:shd w:val="clear" w:color="auto" w:fill="FFFFFF"/>
            <w:vAlign w:val="center"/>
            <w:hideMark/>
          </w:tcPr>
          <w:p w14:paraId="0E9CD147" w14:textId="77777777" w:rsidR="00B801E4" w:rsidRDefault="00B801E4" w:rsidP="0049747C">
            <w:pPr>
              <w:bidi w:val="0"/>
              <w:jc w:val="center"/>
              <w:rPr>
                <w:rFonts w:ascii="Calibri" w:hAnsi="Calibri" w:cs="Calibri"/>
                <w:color w:val="000000"/>
                <w:sz w:val="16"/>
                <w:szCs w:val="16"/>
              </w:rPr>
            </w:pPr>
            <w:r>
              <w:rPr>
                <w:rFonts w:ascii="Calibri" w:hAnsi="Calibri" w:cs="Calibri"/>
                <w:color w:val="000000"/>
                <w:sz w:val="16"/>
                <w:szCs w:val="16"/>
              </w:rPr>
              <w:t>5,387,242</w:t>
            </w:r>
          </w:p>
        </w:tc>
        <w:tc>
          <w:tcPr>
            <w:tcW w:w="1010" w:type="dxa"/>
            <w:tcBorders>
              <w:top w:val="nil"/>
              <w:left w:val="single" w:sz="4" w:space="0" w:color="979991"/>
              <w:bottom w:val="single" w:sz="4" w:space="0" w:color="979991"/>
              <w:right w:val="nil"/>
            </w:tcBorders>
            <w:shd w:val="clear" w:color="auto" w:fill="FFFFFF"/>
            <w:vAlign w:val="center"/>
            <w:hideMark/>
          </w:tcPr>
          <w:p w14:paraId="31154924" w14:textId="77777777" w:rsidR="00B801E4" w:rsidRDefault="00B801E4" w:rsidP="0049747C">
            <w:pPr>
              <w:bidi w:val="0"/>
              <w:jc w:val="center"/>
              <w:rPr>
                <w:rFonts w:ascii="Calibri" w:hAnsi="Calibri" w:cs="Calibri"/>
                <w:color w:val="000000"/>
                <w:sz w:val="16"/>
                <w:szCs w:val="16"/>
              </w:rPr>
            </w:pPr>
            <w:r>
              <w:rPr>
                <w:rFonts w:ascii="Calibri" w:hAnsi="Calibri" w:cs="Calibri"/>
                <w:color w:val="000000"/>
                <w:sz w:val="16"/>
                <w:szCs w:val="16"/>
              </w:rPr>
              <w:t>6,358,207</w:t>
            </w:r>
          </w:p>
        </w:tc>
        <w:tc>
          <w:tcPr>
            <w:tcW w:w="868" w:type="dxa"/>
            <w:tcBorders>
              <w:top w:val="nil"/>
              <w:left w:val="single" w:sz="4" w:space="0" w:color="979991"/>
              <w:bottom w:val="single" w:sz="4" w:space="0" w:color="979991"/>
              <w:right w:val="nil"/>
            </w:tcBorders>
            <w:shd w:val="clear" w:color="auto" w:fill="FFFFFF"/>
            <w:vAlign w:val="center"/>
            <w:hideMark/>
          </w:tcPr>
          <w:p w14:paraId="18A3B456" w14:textId="77777777" w:rsidR="00B801E4" w:rsidRDefault="00B801E4" w:rsidP="0049747C">
            <w:pPr>
              <w:bidi w:val="0"/>
              <w:jc w:val="center"/>
              <w:rPr>
                <w:rFonts w:ascii="Calibri" w:hAnsi="Calibri" w:cs="Calibri"/>
                <w:color w:val="000000"/>
                <w:sz w:val="16"/>
                <w:szCs w:val="16"/>
              </w:rPr>
            </w:pPr>
            <w:r>
              <w:rPr>
                <w:rFonts w:ascii="Calibri" w:hAnsi="Calibri" w:cs="Calibri"/>
                <w:color w:val="000000"/>
                <w:sz w:val="16"/>
                <w:szCs w:val="16"/>
              </w:rPr>
              <w:t>5,234,652</w:t>
            </w:r>
          </w:p>
        </w:tc>
        <w:tc>
          <w:tcPr>
            <w:tcW w:w="1010" w:type="dxa"/>
            <w:tcBorders>
              <w:top w:val="nil"/>
              <w:left w:val="single" w:sz="4" w:space="0" w:color="979991"/>
              <w:bottom w:val="single" w:sz="4" w:space="0" w:color="979991"/>
              <w:right w:val="nil"/>
            </w:tcBorders>
            <w:shd w:val="clear" w:color="auto" w:fill="FFFFFF"/>
            <w:vAlign w:val="center"/>
            <w:hideMark/>
          </w:tcPr>
          <w:p w14:paraId="5B49FAF1" w14:textId="77777777" w:rsidR="00B801E4" w:rsidRDefault="00B801E4" w:rsidP="0049747C">
            <w:pPr>
              <w:bidi w:val="0"/>
              <w:jc w:val="center"/>
              <w:rPr>
                <w:rFonts w:ascii="Calibri" w:hAnsi="Calibri" w:cs="Calibri"/>
                <w:color w:val="000000"/>
                <w:sz w:val="16"/>
                <w:szCs w:val="16"/>
              </w:rPr>
            </w:pPr>
            <w:r>
              <w:rPr>
                <w:rFonts w:ascii="Calibri" w:hAnsi="Calibri" w:cs="Calibri"/>
                <w:color w:val="000000"/>
                <w:sz w:val="16"/>
                <w:szCs w:val="16"/>
              </w:rPr>
              <w:t>5,972,439</w:t>
            </w:r>
          </w:p>
        </w:tc>
        <w:tc>
          <w:tcPr>
            <w:tcW w:w="868" w:type="dxa"/>
            <w:tcBorders>
              <w:top w:val="nil"/>
              <w:left w:val="single" w:sz="4" w:space="0" w:color="979991"/>
              <w:bottom w:val="single" w:sz="4" w:space="0" w:color="979991"/>
              <w:right w:val="nil"/>
            </w:tcBorders>
            <w:shd w:val="clear" w:color="auto" w:fill="FFFFFF"/>
            <w:vAlign w:val="center"/>
            <w:hideMark/>
          </w:tcPr>
          <w:p w14:paraId="402CD621" w14:textId="77777777" w:rsidR="00B801E4" w:rsidRDefault="00B801E4" w:rsidP="0049747C">
            <w:pPr>
              <w:bidi w:val="0"/>
              <w:jc w:val="center"/>
              <w:rPr>
                <w:rFonts w:ascii="Calibri" w:hAnsi="Calibri" w:cs="Calibri"/>
                <w:color w:val="000000"/>
                <w:sz w:val="16"/>
                <w:szCs w:val="16"/>
              </w:rPr>
            </w:pPr>
            <w:r>
              <w:rPr>
                <w:rFonts w:ascii="Calibri" w:hAnsi="Calibri" w:cs="Calibri"/>
                <w:color w:val="000000"/>
                <w:sz w:val="16"/>
                <w:szCs w:val="16"/>
              </w:rPr>
              <w:t>5,146,496</w:t>
            </w:r>
          </w:p>
        </w:tc>
        <w:tc>
          <w:tcPr>
            <w:tcW w:w="1010" w:type="dxa"/>
            <w:tcBorders>
              <w:top w:val="nil"/>
              <w:left w:val="single" w:sz="4" w:space="0" w:color="979991"/>
              <w:bottom w:val="single" w:sz="4" w:space="0" w:color="979991"/>
              <w:right w:val="nil"/>
            </w:tcBorders>
            <w:shd w:val="clear" w:color="auto" w:fill="FFFFFF"/>
            <w:vAlign w:val="center"/>
            <w:hideMark/>
          </w:tcPr>
          <w:p w14:paraId="131F7D05" w14:textId="77777777" w:rsidR="00B801E4" w:rsidRDefault="00B801E4" w:rsidP="0049747C">
            <w:pPr>
              <w:bidi w:val="0"/>
              <w:jc w:val="center"/>
              <w:rPr>
                <w:rFonts w:ascii="Calibri" w:hAnsi="Calibri" w:cs="Calibri"/>
                <w:color w:val="000000"/>
                <w:sz w:val="16"/>
                <w:szCs w:val="16"/>
              </w:rPr>
            </w:pPr>
            <w:r>
              <w:rPr>
                <w:rFonts w:ascii="Calibri" w:hAnsi="Calibri" w:cs="Calibri"/>
                <w:color w:val="000000"/>
                <w:sz w:val="16"/>
                <w:szCs w:val="16"/>
              </w:rPr>
              <w:t>5,890,915</w:t>
            </w:r>
          </w:p>
        </w:tc>
        <w:tc>
          <w:tcPr>
            <w:tcW w:w="815" w:type="dxa"/>
            <w:tcBorders>
              <w:top w:val="nil"/>
              <w:left w:val="single" w:sz="4" w:space="0" w:color="979991"/>
              <w:bottom w:val="single" w:sz="4" w:space="0" w:color="979991"/>
              <w:right w:val="single" w:sz="4" w:space="0" w:color="979991"/>
            </w:tcBorders>
            <w:shd w:val="clear" w:color="auto" w:fill="FFFFFF"/>
            <w:vAlign w:val="center"/>
            <w:hideMark/>
          </w:tcPr>
          <w:p w14:paraId="3A0BD1CE" w14:textId="77777777" w:rsidR="00B801E4" w:rsidRDefault="00B801E4" w:rsidP="0049747C">
            <w:pPr>
              <w:bidi w:val="0"/>
              <w:jc w:val="center"/>
              <w:rPr>
                <w:rFonts w:ascii="Calibri" w:hAnsi="Calibri" w:cs="Calibri"/>
                <w:color w:val="000000"/>
                <w:sz w:val="16"/>
                <w:szCs w:val="16"/>
              </w:rPr>
            </w:pPr>
            <w:r>
              <w:rPr>
                <w:rFonts w:ascii="Calibri" w:hAnsi="Calibri" w:cs="Calibri"/>
                <w:color w:val="000000"/>
                <w:sz w:val="16"/>
                <w:szCs w:val="16"/>
              </w:rPr>
              <w:t>4,847,657</w:t>
            </w:r>
          </w:p>
        </w:tc>
      </w:tr>
    </w:tbl>
    <w:p w14:paraId="2F3AFA12" w14:textId="77777777" w:rsidR="00B801E4" w:rsidRDefault="00B801E4" w:rsidP="00B801E4">
      <w:pPr>
        <w:rPr>
          <w:rFonts w:eastAsia="Calibri" w:cs="FrankRuehl"/>
          <w:sz w:val="26"/>
          <w:szCs w:val="26"/>
        </w:rPr>
      </w:pPr>
    </w:p>
    <w:p w14:paraId="10040051" w14:textId="77777777" w:rsidR="00436E4E" w:rsidRPr="002E1D22" w:rsidRDefault="00436E4E">
      <w:pPr>
        <w:rPr>
          <w:rFonts w:cs="FrankRuehl"/>
          <w:sz w:val="26"/>
          <w:szCs w:val="26"/>
          <w:rtl/>
        </w:rPr>
      </w:pPr>
    </w:p>
    <w:sectPr w:rsidR="00436E4E" w:rsidRPr="002E1D22" w:rsidSect="004374A5">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BF1C7" w14:textId="77777777" w:rsidR="00E07ECA" w:rsidRDefault="00E07ECA" w:rsidP="004374A5">
      <w:r>
        <w:separator/>
      </w:r>
    </w:p>
  </w:endnote>
  <w:endnote w:type="continuationSeparator" w:id="0">
    <w:p w14:paraId="5B7B7193" w14:textId="77777777" w:rsidR="00E07ECA" w:rsidRDefault="00E07ECA"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2060"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18219"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2F60B"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A822A" w14:textId="77777777" w:rsidR="00E07ECA" w:rsidRDefault="00E07ECA" w:rsidP="004374A5">
      <w:r>
        <w:separator/>
      </w:r>
    </w:p>
  </w:footnote>
  <w:footnote w:type="continuationSeparator" w:id="0">
    <w:p w14:paraId="472BB36C" w14:textId="77777777" w:rsidR="00E07ECA" w:rsidRDefault="00E07ECA"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9CA8"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F9C06" w14:textId="77777777" w:rsidR="004374A5" w:rsidRDefault="00E07ECA">
    <w:pPr>
      <w:pStyle w:val="a4"/>
    </w:pPr>
    <w:r>
      <w:rPr>
        <w:noProof/>
      </w:rPr>
      <w:pict w14:anchorId="6EE09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794B"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473B6D"/>
    <w:rsid w:val="004F38FC"/>
    <w:rsid w:val="005C339D"/>
    <w:rsid w:val="006C44A4"/>
    <w:rsid w:val="007847C9"/>
    <w:rsid w:val="007C275A"/>
    <w:rsid w:val="00805E49"/>
    <w:rsid w:val="009D21DD"/>
    <w:rsid w:val="00AC2EE6"/>
    <w:rsid w:val="00B0145B"/>
    <w:rsid w:val="00B42666"/>
    <w:rsid w:val="00B61EA5"/>
    <w:rsid w:val="00B801E4"/>
    <w:rsid w:val="00BB3BA1"/>
    <w:rsid w:val="00C13197"/>
    <w:rsid w:val="00E07ECA"/>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099FAAA"/>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 w:type="character" w:styleId="Hyperlink">
    <w:name w:val="Hyperlink"/>
    <w:uiPriority w:val="99"/>
    <w:semiHidden/>
    <w:unhideWhenUsed/>
    <w:rsid w:val="00B801E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7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il/he/pages/dec3940-2026"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320</Words>
  <Characters>1602</Characters>
  <Application>Microsoft Office Word</Application>
  <DocSecurity>0</DocSecurity>
  <Lines>13</Lines>
  <Paragraphs>3</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7</cp:revision>
  <cp:lastPrinted>1899-12-31T22:00:00Z</cp:lastPrinted>
  <dcterms:created xsi:type="dcterms:W3CDTF">2026-05-19T11:58:00Z</dcterms:created>
  <dcterms:modified xsi:type="dcterms:W3CDTF">2026-05-19T12:06:00Z</dcterms:modified>
</cp:coreProperties>
</file>