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E6003" w14:textId="77777777" w:rsidR="0051496B" w:rsidRDefault="0051496B">
      <w:pPr>
        <w:pStyle w:val="a7"/>
        <w:rPr>
          <w:rtl/>
        </w:rPr>
      </w:pPr>
      <w:r>
        <w:rPr>
          <w:rtl/>
        </w:rPr>
        <w:t>מדינת ישראל</w:t>
      </w:r>
    </w:p>
    <w:p w14:paraId="45963446" w14:textId="77777777" w:rsidR="0051496B" w:rsidRDefault="0051496B">
      <w:pPr>
        <w:pStyle w:val="a7"/>
        <w:rPr>
          <w:rtl/>
        </w:rPr>
      </w:pPr>
      <w:r>
        <w:rPr>
          <w:rtl/>
        </w:rPr>
        <w:t>האוצר - אגף התקציבים</w:t>
      </w:r>
    </w:p>
    <w:p w14:paraId="2E602B76" w14:textId="77777777" w:rsidR="0051496B" w:rsidRDefault="0051496B">
      <w:pPr>
        <w:rPr>
          <w:rtl/>
        </w:rPr>
      </w:pPr>
    </w:p>
    <w:p w14:paraId="3A701307" w14:textId="77777777" w:rsidR="0051496B" w:rsidRDefault="0051496B">
      <w:pPr>
        <w:rPr>
          <w:rtl/>
        </w:rPr>
      </w:pPr>
    </w:p>
    <w:p w14:paraId="7896C01E" w14:textId="77777777" w:rsidR="0051496B" w:rsidRPr="000A3FA0" w:rsidRDefault="0051496B">
      <w:pPr>
        <w:tabs>
          <w:tab w:val="left" w:pos="6300"/>
        </w:tabs>
        <w:rPr>
          <w:rFonts w:cs="FrankRuehl"/>
          <w:sz w:val="26"/>
          <w:szCs w:val="26"/>
          <w:rtl/>
        </w:rPr>
      </w:pPr>
      <w:r>
        <w:rPr>
          <w:rtl/>
        </w:rPr>
        <w:tab/>
      </w:r>
      <w:bookmarkStart w:id="0" w:name="TAKZIV8"/>
      <w:bookmarkEnd w:id="0"/>
    </w:p>
    <w:p w14:paraId="4A55312A"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414BF23F"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19993A7F" w14:textId="3888B1AB"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3935D4">
        <w:rPr>
          <w:rFonts w:cs="FrankRuehl"/>
          <w:sz w:val="26"/>
          <w:szCs w:val="26"/>
          <w:rtl/>
        </w:rPr>
        <w:t>002</w:t>
      </w:r>
      <w:bookmarkEnd w:id="2"/>
      <w:r w:rsidRPr="000A3FA0">
        <w:rPr>
          <w:rFonts w:cs="FrankRuehl"/>
          <w:sz w:val="26"/>
          <w:szCs w:val="26"/>
          <w:rtl/>
        </w:rPr>
        <w:t xml:space="preserve"> - </w:t>
      </w:r>
      <w:bookmarkStart w:id="3" w:name="TAKZIV3"/>
      <w:r w:rsidR="003935D4">
        <w:rPr>
          <w:rFonts w:cs="FrankRuehl"/>
          <w:sz w:val="26"/>
          <w:szCs w:val="26"/>
          <w:rtl/>
        </w:rPr>
        <w:t>18</w:t>
      </w:r>
      <w:bookmarkEnd w:id="3"/>
    </w:p>
    <w:p w14:paraId="2665EB4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F001E7F"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329EB2D9" w14:textId="77777777" w:rsidR="0051496B" w:rsidRPr="000A3FA0" w:rsidRDefault="0051496B">
      <w:pPr>
        <w:rPr>
          <w:rFonts w:cs="FrankRuehl"/>
          <w:sz w:val="26"/>
          <w:szCs w:val="26"/>
          <w:rtl/>
        </w:rPr>
      </w:pPr>
      <w:r w:rsidRPr="000A3FA0">
        <w:rPr>
          <w:rFonts w:cs="FrankRuehl"/>
          <w:sz w:val="26"/>
          <w:szCs w:val="26"/>
          <w:rtl/>
        </w:rPr>
        <w:t>לכבוד,</w:t>
      </w:r>
    </w:p>
    <w:p w14:paraId="0D3FF7F7" w14:textId="77777777" w:rsidR="0051496B" w:rsidRPr="000A3FA0" w:rsidRDefault="0051496B">
      <w:pPr>
        <w:rPr>
          <w:rFonts w:cs="FrankRuehl"/>
          <w:sz w:val="26"/>
          <w:szCs w:val="26"/>
          <w:rtl/>
        </w:rPr>
      </w:pPr>
      <w:r w:rsidRPr="000A3FA0">
        <w:rPr>
          <w:rFonts w:cs="FrankRuehl"/>
          <w:sz w:val="26"/>
          <w:szCs w:val="26"/>
          <w:rtl/>
        </w:rPr>
        <w:t>יו"ר ועדת הכספים</w:t>
      </w:r>
    </w:p>
    <w:p w14:paraId="6A187CFE" w14:textId="77777777" w:rsidR="0051496B" w:rsidRPr="000A3FA0" w:rsidRDefault="0051496B">
      <w:pPr>
        <w:rPr>
          <w:rFonts w:cs="FrankRuehl"/>
          <w:sz w:val="26"/>
          <w:szCs w:val="26"/>
          <w:rtl/>
        </w:rPr>
      </w:pPr>
      <w:r w:rsidRPr="000A3FA0">
        <w:rPr>
          <w:rFonts w:cs="FrankRuehl"/>
          <w:sz w:val="26"/>
          <w:szCs w:val="26"/>
          <w:rtl/>
        </w:rPr>
        <w:t>הכנסת</w:t>
      </w:r>
    </w:p>
    <w:p w14:paraId="48801A4D" w14:textId="77777777" w:rsidR="0051496B" w:rsidRPr="000A3FA0" w:rsidRDefault="0051496B">
      <w:pPr>
        <w:rPr>
          <w:rFonts w:cs="FrankRuehl"/>
          <w:sz w:val="26"/>
          <w:szCs w:val="26"/>
          <w:rtl/>
        </w:rPr>
      </w:pPr>
    </w:p>
    <w:p w14:paraId="757DE9BD" w14:textId="77777777" w:rsidR="0051496B" w:rsidRPr="000A3FA0" w:rsidRDefault="0051496B">
      <w:pPr>
        <w:rPr>
          <w:rFonts w:cs="FrankRuehl"/>
          <w:sz w:val="26"/>
          <w:szCs w:val="26"/>
          <w:rtl/>
        </w:rPr>
      </w:pPr>
      <w:r w:rsidRPr="000A3FA0">
        <w:rPr>
          <w:rFonts w:cs="FrankRuehl"/>
          <w:sz w:val="26"/>
          <w:szCs w:val="26"/>
          <w:rtl/>
        </w:rPr>
        <w:t>א.נ.,</w:t>
      </w:r>
    </w:p>
    <w:p w14:paraId="7A7CFBD5" w14:textId="77777777" w:rsidR="0051496B" w:rsidRPr="000A3FA0" w:rsidRDefault="0051496B">
      <w:pPr>
        <w:rPr>
          <w:rFonts w:cs="FrankRuehl"/>
          <w:sz w:val="26"/>
          <w:szCs w:val="26"/>
          <w:rtl/>
        </w:rPr>
      </w:pPr>
    </w:p>
    <w:p w14:paraId="27D6041B" w14:textId="5672EF06"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3935D4">
        <w:rPr>
          <w:rFonts w:cs="FrankRuehl"/>
          <w:sz w:val="26"/>
          <w:rtl/>
        </w:rPr>
        <w:t>2026</w:t>
      </w:r>
      <w:bookmarkEnd w:id="5"/>
      <w:r w:rsidRPr="000A3FA0">
        <w:rPr>
          <w:rFonts w:cs="FrankRuehl"/>
          <w:sz w:val="26"/>
          <w:rtl/>
        </w:rPr>
        <w:t xml:space="preserve">     </w:t>
      </w:r>
    </w:p>
    <w:p w14:paraId="58683EAC" w14:textId="77777777" w:rsidR="0051496B" w:rsidRPr="000A3FA0" w:rsidRDefault="0051496B" w:rsidP="00A6761F">
      <w:pPr>
        <w:jc w:val="both"/>
        <w:rPr>
          <w:rFonts w:cs="FrankRuehl"/>
          <w:sz w:val="26"/>
          <w:szCs w:val="26"/>
          <w:rtl/>
        </w:rPr>
      </w:pPr>
    </w:p>
    <w:p w14:paraId="57C79592" w14:textId="695ABB0A" w:rsidR="0051496B" w:rsidRDefault="0051496B" w:rsidP="007F339A">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3935D4">
        <w:rPr>
          <w:rFonts w:cs="FrankRuehl"/>
          <w:sz w:val="26"/>
          <w:szCs w:val="26"/>
          <w:rtl/>
        </w:rPr>
        <w:t>970,877</w:t>
      </w:r>
      <w:bookmarkEnd w:id="6"/>
      <w:r w:rsidRPr="000A3FA0">
        <w:rPr>
          <w:rFonts w:cs="FrankRuehl"/>
          <w:sz w:val="26"/>
          <w:szCs w:val="26"/>
          <w:rtl/>
        </w:rPr>
        <w:t xml:space="preserve"> אלפי שקלים חדשים מסעיף </w:t>
      </w:r>
      <w:bookmarkStart w:id="7" w:name="TAKZIV3_1"/>
      <w:r w:rsidR="003935D4">
        <w:rPr>
          <w:rFonts w:cs="FrankRuehl"/>
          <w:sz w:val="26"/>
          <w:szCs w:val="26"/>
          <w:rtl/>
        </w:rPr>
        <w:t>18</w:t>
      </w:r>
      <w:bookmarkEnd w:id="7"/>
      <w:r w:rsidRPr="000A3FA0">
        <w:rPr>
          <w:rFonts w:cs="FrankRuehl"/>
          <w:sz w:val="26"/>
          <w:szCs w:val="26"/>
          <w:rtl/>
        </w:rPr>
        <w:t xml:space="preserve"> - </w:t>
      </w:r>
      <w:bookmarkStart w:id="8" w:name="TAKZIV6_2"/>
      <w:r w:rsidR="003935D4">
        <w:rPr>
          <w:rFonts w:cs="FrankRuehl"/>
          <w:sz w:val="26"/>
          <w:szCs w:val="26"/>
          <w:rtl/>
        </w:rPr>
        <w:t>הרשויות המקומיות</w:t>
      </w:r>
      <w:bookmarkEnd w:id="8"/>
      <w:r w:rsidRPr="000A3FA0">
        <w:rPr>
          <w:rFonts w:cs="FrankRuehl"/>
          <w:sz w:val="26"/>
          <w:szCs w:val="26"/>
          <w:rtl/>
        </w:rPr>
        <w:t xml:space="preserve"> משנת הכספים </w:t>
      </w:r>
      <w:bookmarkStart w:id="9" w:name="TAKZIV2_1"/>
      <w:r w:rsidR="003935D4">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3935D4">
        <w:rPr>
          <w:rFonts w:cs="FrankRuehl"/>
          <w:sz w:val="26"/>
          <w:szCs w:val="26"/>
          <w:rtl/>
        </w:rPr>
        <w:t>2026</w:t>
      </w:r>
      <w:bookmarkEnd w:id="10"/>
      <w:r w:rsidRPr="000A3FA0">
        <w:rPr>
          <w:rFonts w:cs="FrankRuehl"/>
          <w:sz w:val="26"/>
          <w:szCs w:val="26"/>
          <w:rtl/>
        </w:rPr>
        <w:t>, בהתאם לסעיף 13 (א) לחוק יסודות התקציב התשמ"ה - 1985,</w:t>
      </w:r>
      <w:r w:rsidR="007F339A">
        <w:rPr>
          <w:rFonts w:cs="FrankRuehl" w:hint="cs"/>
          <w:sz w:val="26"/>
          <w:szCs w:val="26"/>
          <w:rtl/>
        </w:rPr>
        <w:t xml:space="preserve"> </w:t>
      </w:r>
      <w:r w:rsidRPr="000A3FA0">
        <w:rPr>
          <w:rFonts w:cs="FrankRuehl"/>
          <w:sz w:val="26"/>
          <w:szCs w:val="26"/>
          <w:rtl/>
        </w:rPr>
        <w:t>כמפורט בתדפיס המצורף בזה.</w:t>
      </w:r>
    </w:p>
    <w:p w14:paraId="29443A01" w14:textId="754C605D" w:rsidR="007F339A" w:rsidRDefault="007F339A" w:rsidP="007F339A">
      <w:pPr>
        <w:jc w:val="both"/>
        <w:rPr>
          <w:rFonts w:cs="FrankRuehl"/>
          <w:sz w:val="26"/>
          <w:szCs w:val="26"/>
          <w:rtl/>
        </w:rPr>
      </w:pPr>
    </w:p>
    <w:p w14:paraId="76EED7E3" w14:textId="77777777" w:rsidR="007F339A" w:rsidRPr="007F339A" w:rsidRDefault="007F339A" w:rsidP="007F339A">
      <w:pPr>
        <w:contextualSpacing/>
        <w:jc w:val="both"/>
        <w:rPr>
          <w:rFonts w:ascii="FrankRuehl" w:hAnsi="FrankRuehl" w:cs="FrankRuehl"/>
          <w:b/>
          <w:bCs/>
          <w:sz w:val="26"/>
          <w:szCs w:val="26"/>
          <w:lang w:eastAsia="en-US"/>
        </w:rPr>
      </w:pPr>
      <w:r w:rsidRPr="007F339A">
        <w:rPr>
          <w:rFonts w:ascii="FrankRuehl" w:hAnsi="FrankRuehl" w:cs="FrankRuehl"/>
          <w:b/>
          <w:bCs/>
          <w:sz w:val="26"/>
          <w:szCs w:val="26"/>
          <w:rtl/>
        </w:rPr>
        <w:t xml:space="preserve">הבקשה דנה בסעיף תקציבי: </w:t>
      </w:r>
      <w:r w:rsidRPr="007F339A">
        <w:rPr>
          <w:rFonts w:ascii="FrankRuehl" w:hAnsi="FrankRuehl" w:cs="FrankRuehl"/>
          <w:sz w:val="26"/>
          <w:szCs w:val="26"/>
          <w:rtl/>
        </w:rPr>
        <w:t>18 - הרשויות המקומיות</w:t>
      </w:r>
    </w:p>
    <w:p w14:paraId="43DD0BF6" w14:textId="77777777" w:rsidR="007F339A" w:rsidRPr="007F339A" w:rsidRDefault="007F339A" w:rsidP="007F339A">
      <w:pPr>
        <w:contextualSpacing/>
        <w:jc w:val="both"/>
        <w:rPr>
          <w:rFonts w:ascii="FrankRuehl" w:hAnsi="FrankRuehl" w:cs="FrankRuehl"/>
          <w:sz w:val="26"/>
          <w:szCs w:val="26"/>
        </w:rPr>
      </w:pPr>
    </w:p>
    <w:p w14:paraId="1220B6CF"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עיקרי הפנייה:</w:t>
      </w:r>
    </w:p>
    <w:p w14:paraId="0C11DFE5" w14:textId="77777777" w:rsidR="007F339A" w:rsidRPr="007F339A" w:rsidRDefault="007F339A" w:rsidP="007F339A">
      <w:pPr>
        <w:contextualSpacing/>
        <w:jc w:val="both"/>
        <w:rPr>
          <w:rFonts w:ascii="FrankRuehl" w:hAnsi="FrankRuehl" w:cs="FrankRuehl"/>
          <w:sz w:val="26"/>
          <w:szCs w:val="26"/>
        </w:rPr>
      </w:pPr>
      <w:r w:rsidRPr="007F339A">
        <w:rPr>
          <w:rFonts w:ascii="FrankRuehl" w:hAnsi="FrankRuehl" w:cs="FrankRuehl"/>
          <w:sz w:val="26"/>
          <w:szCs w:val="26"/>
          <w:rtl/>
        </w:rPr>
        <w:t>הפניה התקציבית נועדה להעברת עודפים משנת התקציב 2025 לשימוש בשנת התקציב 2026 בסך של 970,877 אלפי ש"ח, בהתאם לפירוט המובא מטה.</w:t>
      </w:r>
    </w:p>
    <w:p w14:paraId="24C70C9D" w14:textId="77777777" w:rsidR="007F339A" w:rsidRPr="007F339A" w:rsidRDefault="007F339A" w:rsidP="007F339A">
      <w:pPr>
        <w:contextualSpacing/>
        <w:jc w:val="both"/>
        <w:rPr>
          <w:rFonts w:ascii="FrankRuehl" w:hAnsi="FrankRuehl" w:cs="FrankRuehl"/>
          <w:b/>
          <w:bCs/>
          <w:sz w:val="26"/>
          <w:szCs w:val="26"/>
          <w:rtl/>
        </w:rPr>
      </w:pPr>
    </w:p>
    <w:p w14:paraId="033BB443"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עיקרי הפנייה התקציבית בחלוקה לתכניות מובאים להלן:</w:t>
      </w:r>
    </w:p>
    <w:p w14:paraId="247F1DEC"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תכנית 181102: מענקים אזוריים – 123,473 אלפי ש"ח</w:t>
      </w:r>
    </w:p>
    <w:p w14:paraId="3BABA753" w14:textId="77777777" w:rsidR="007F339A" w:rsidRPr="007F339A" w:rsidRDefault="007F339A" w:rsidP="007F339A">
      <w:pPr>
        <w:contextualSpacing/>
        <w:jc w:val="both"/>
        <w:rPr>
          <w:rFonts w:ascii="FrankRuehl" w:hAnsi="FrankRuehl" w:cs="FrankRuehl"/>
          <w:sz w:val="26"/>
          <w:szCs w:val="26"/>
        </w:rPr>
      </w:pPr>
      <w:r w:rsidRPr="007F339A">
        <w:rPr>
          <w:rFonts w:ascii="FrankRuehl" w:hAnsi="FrankRuehl" w:cs="FrankRuehl"/>
          <w:b/>
          <w:bCs/>
          <w:sz w:val="26"/>
          <w:szCs w:val="26"/>
          <w:rtl/>
        </w:rPr>
        <w:t>תיאור התכנית</w:t>
      </w:r>
      <w:r w:rsidRPr="007F339A">
        <w:rPr>
          <w:rFonts w:ascii="FrankRuehl" w:hAnsi="FrankRuehl" w:cs="FrankRuehl"/>
          <w:sz w:val="26"/>
          <w:szCs w:val="26"/>
          <w:rtl/>
        </w:rPr>
        <w:t>: בתכנית זו מתוקצבים מענקים לרשויות המקומיות המוקצים על פי חלוקה אזורית, בהתאם להחלטות ממשלה. בעיקר לרשויות מקומיות בעוטף עזה, לרשויות מקומיות ביהודה ושומרון ובמחוז צפון.</w:t>
      </w:r>
    </w:p>
    <w:p w14:paraId="433EFBA9"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b/>
          <w:bCs/>
          <w:sz w:val="26"/>
          <w:szCs w:val="26"/>
          <w:rtl/>
        </w:rPr>
        <w:t>סיבות מרכזיות בגינן נוצרו עודפים בתכנית:</w:t>
      </w:r>
    </w:p>
    <w:p w14:paraId="62495A6F"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sz w:val="26"/>
          <w:szCs w:val="26"/>
          <w:rtl/>
        </w:rPr>
        <w:t>העודפים המחויבים נוצרו כתוצאה מפרויקטי פיתוח אזוריים בהם קצב הביצוע נמוך מהמתוכנן, ולכן נוצר עודף שמועבר לשנת הכספים העוקבת וכן עבור מענקים שוטפים שיועדו לרשויות המקומיות וטרם בוצע התשלום בגינן.</w:t>
      </w:r>
    </w:p>
    <w:p w14:paraId="331F3E93" w14:textId="77777777" w:rsidR="007F339A" w:rsidRPr="007F339A" w:rsidRDefault="007F339A" w:rsidP="007F339A">
      <w:pPr>
        <w:contextualSpacing/>
        <w:jc w:val="both"/>
        <w:rPr>
          <w:rFonts w:ascii="FrankRuehl" w:hAnsi="FrankRuehl" w:cs="FrankRuehl"/>
          <w:sz w:val="26"/>
          <w:szCs w:val="26"/>
          <w:rtl/>
        </w:rPr>
      </w:pPr>
    </w:p>
    <w:p w14:paraId="50B0569B"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sz w:val="26"/>
          <w:szCs w:val="26"/>
          <w:rtl/>
        </w:rPr>
        <w:t xml:space="preserve">בתכנית זו קיימת חריגה מהתקציב המאושר בסך של 67,641 אלש"ח. החריגה האמורה התפתחה בשל עיתוי אישור חוק התקציב לשנת 2026, שכן במהלך התקופה שבה התנהלה הממשלה על פי התכנית המפורטת לשנת 2026 ההוצאה בתכנית כוסתה במלואה על ידי הגדלת תקציב התכנית כנגד עודפי תקציב משנת 2025.  </w:t>
      </w:r>
    </w:p>
    <w:p w14:paraId="17F763E9" w14:textId="77777777" w:rsidR="007F339A" w:rsidRPr="007F339A" w:rsidRDefault="007F339A" w:rsidP="007F339A">
      <w:pPr>
        <w:contextualSpacing/>
        <w:jc w:val="both"/>
        <w:rPr>
          <w:rFonts w:ascii="FrankRuehl" w:hAnsi="FrankRuehl" w:cs="FrankRuehl"/>
          <w:b/>
          <w:bCs/>
          <w:sz w:val="26"/>
          <w:szCs w:val="26"/>
          <w:rtl/>
        </w:rPr>
      </w:pPr>
    </w:p>
    <w:p w14:paraId="08C08ED4"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תכנית 181103: מענקים שוטפים –832,032 אלפי ש"ח</w:t>
      </w:r>
    </w:p>
    <w:p w14:paraId="5E3422CC" w14:textId="49AEE5A8" w:rsidR="007F339A" w:rsidRDefault="007F339A" w:rsidP="007F339A">
      <w:pPr>
        <w:contextualSpacing/>
        <w:jc w:val="both"/>
        <w:rPr>
          <w:rFonts w:ascii="FrankRuehl" w:hAnsi="FrankRuehl" w:cs="FrankRuehl"/>
          <w:sz w:val="26"/>
          <w:szCs w:val="26"/>
          <w:rtl/>
        </w:rPr>
      </w:pPr>
      <w:r w:rsidRPr="007F339A">
        <w:rPr>
          <w:rFonts w:ascii="FrankRuehl" w:hAnsi="FrankRuehl" w:cs="FrankRuehl"/>
          <w:b/>
          <w:bCs/>
          <w:sz w:val="26"/>
          <w:szCs w:val="26"/>
          <w:rtl/>
        </w:rPr>
        <w:t>תיאור התכנית</w:t>
      </w:r>
      <w:r w:rsidRPr="007F339A">
        <w:rPr>
          <w:rFonts w:ascii="FrankRuehl" w:hAnsi="FrankRuehl" w:cs="FrankRuehl"/>
          <w:sz w:val="26"/>
          <w:szCs w:val="26"/>
          <w:rtl/>
        </w:rPr>
        <w:t>: בתכנית זו מתוקצבים מענקים ותקציבי סיוע לרשויות מקומיות ישירות עבור תקציבן השוטף. המענק העיקרי במסגרת תכנית זו הינו מענק האיזון לרשויות המקומיות ומענק הבירה לעיריית ירושלים, ועיקר הסיוע התקציבי לרשויות המקומיות בתכנית זו הינו במסגרת תכניות ההבראה. כמו כן, במסגרת תכנית זו מתוקצבים רואי החשבון אשר עורכים את הדוחות הכספיים והביקורות ברשויות המקומיות.</w:t>
      </w:r>
    </w:p>
    <w:p w14:paraId="55AD31CD" w14:textId="705C6228" w:rsidR="007F339A" w:rsidRDefault="007F339A" w:rsidP="007F339A">
      <w:pPr>
        <w:contextualSpacing/>
        <w:jc w:val="both"/>
        <w:rPr>
          <w:rFonts w:ascii="FrankRuehl" w:hAnsi="FrankRuehl" w:cs="FrankRuehl"/>
          <w:sz w:val="26"/>
          <w:szCs w:val="26"/>
          <w:rtl/>
        </w:rPr>
      </w:pPr>
    </w:p>
    <w:p w14:paraId="232E8CD2" w14:textId="4BDD2A88" w:rsidR="007F339A" w:rsidRDefault="007F339A" w:rsidP="007F339A">
      <w:pPr>
        <w:contextualSpacing/>
        <w:jc w:val="both"/>
        <w:rPr>
          <w:rFonts w:ascii="FrankRuehl" w:hAnsi="FrankRuehl" w:cs="FrankRuehl"/>
          <w:sz w:val="26"/>
          <w:szCs w:val="26"/>
          <w:rtl/>
        </w:rPr>
      </w:pPr>
    </w:p>
    <w:p w14:paraId="7EB57FDD" w14:textId="77777777" w:rsidR="007F339A" w:rsidRPr="007F339A" w:rsidRDefault="007F339A" w:rsidP="007F339A">
      <w:pPr>
        <w:contextualSpacing/>
        <w:jc w:val="both"/>
        <w:rPr>
          <w:rFonts w:ascii="FrankRuehl" w:hAnsi="FrankRuehl" w:cs="FrankRuehl"/>
          <w:sz w:val="26"/>
          <w:szCs w:val="26"/>
          <w:rtl/>
        </w:rPr>
      </w:pPr>
    </w:p>
    <w:p w14:paraId="1127C667" w14:textId="77777777" w:rsidR="007F339A" w:rsidRPr="007F339A" w:rsidRDefault="007F339A" w:rsidP="007F339A">
      <w:pPr>
        <w:contextualSpacing/>
        <w:jc w:val="both"/>
        <w:rPr>
          <w:rFonts w:ascii="FrankRuehl" w:hAnsi="FrankRuehl" w:cs="FrankRuehl"/>
          <w:b/>
          <w:bCs/>
          <w:sz w:val="26"/>
          <w:szCs w:val="26"/>
          <w:rtl/>
        </w:rPr>
      </w:pPr>
      <w:r w:rsidRPr="007F339A">
        <w:rPr>
          <w:rFonts w:ascii="FrankRuehl" w:hAnsi="FrankRuehl" w:cs="FrankRuehl"/>
          <w:b/>
          <w:bCs/>
          <w:sz w:val="26"/>
          <w:szCs w:val="26"/>
          <w:rtl/>
        </w:rPr>
        <w:lastRenderedPageBreak/>
        <w:t>סיבות מרכזיות בגינן נוצרו עודפים בתכנית:</w:t>
      </w:r>
    </w:p>
    <w:p w14:paraId="3DF30C2C" w14:textId="77777777" w:rsidR="007F339A" w:rsidRPr="007F339A" w:rsidRDefault="007F339A" w:rsidP="007F339A">
      <w:pPr>
        <w:numPr>
          <w:ilvl w:val="1"/>
          <w:numId w:val="1"/>
        </w:numPr>
        <w:contextualSpacing/>
        <w:jc w:val="both"/>
        <w:rPr>
          <w:rFonts w:ascii="FrankRuehl" w:hAnsi="FrankRuehl" w:cs="FrankRuehl"/>
          <w:sz w:val="26"/>
          <w:szCs w:val="26"/>
          <w:rtl/>
        </w:rPr>
      </w:pPr>
      <w:r w:rsidRPr="007F339A">
        <w:rPr>
          <w:rFonts w:ascii="FrankRuehl" w:hAnsi="FrankRuehl" w:cs="FrankRuehl"/>
          <w:sz w:val="26"/>
          <w:szCs w:val="26"/>
          <w:rtl/>
        </w:rPr>
        <w:t>מענקים שוטפים, לרבות מענק איזון, שטרם בוצעו התשלומים בגינם. חלקם עקב תוספת למענק האיזון ולמענקים אחרים וחלקם בשל תלות בעמידה ביעדי גביית הארנונה שהוגדרו במענק האיזון, דבר אשר נמדד בשנה העוקבת.</w:t>
      </w:r>
    </w:p>
    <w:p w14:paraId="3026DB03" w14:textId="77777777" w:rsidR="007F339A" w:rsidRPr="007F339A" w:rsidRDefault="007F339A" w:rsidP="007F339A">
      <w:pPr>
        <w:numPr>
          <w:ilvl w:val="1"/>
          <w:numId w:val="1"/>
        </w:numPr>
        <w:contextualSpacing/>
        <w:jc w:val="both"/>
        <w:rPr>
          <w:rFonts w:ascii="FrankRuehl" w:hAnsi="FrankRuehl" w:cs="FrankRuehl"/>
          <w:sz w:val="26"/>
          <w:szCs w:val="26"/>
        </w:rPr>
      </w:pPr>
      <w:r w:rsidRPr="007F339A">
        <w:rPr>
          <w:rFonts w:ascii="FrankRuehl" w:hAnsi="FrankRuehl" w:cs="FrankRuehl"/>
          <w:sz w:val="26"/>
          <w:szCs w:val="26"/>
          <w:rtl/>
        </w:rPr>
        <w:t>תכניות הבראה – רשויות הנמצאות בתכניות הבראה מתוקצבות בכפוף לעמידה ביעדי התכניות. התכניות פרוסות לפי אבני דרך והמענקים ניתנים בהתאם לעמידה בהם, אך לעיתים ישנם עיכובים ועל כן מועברים עודפים להקצאה לרשויות בשנה העוקבת.</w:t>
      </w:r>
    </w:p>
    <w:p w14:paraId="5DACD290" w14:textId="77777777" w:rsidR="007F339A" w:rsidRPr="007F339A" w:rsidRDefault="007F339A" w:rsidP="007F339A">
      <w:pPr>
        <w:numPr>
          <w:ilvl w:val="1"/>
          <w:numId w:val="1"/>
        </w:numPr>
        <w:contextualSpacing/>
        <w:jc w:val="both"/>
        <w:rPr>
          <w:rFonts w:ascii="FrankRuehl" w:hAnsi="FrankRuehl" w:cs="FrankRuehl"/>
          <w:sz w:val="26"/>
          <w:szCs w:val="26"/>
          <w:rtl/>
        </w:rPr>
      </w:pPr>
      <w:r w:rsidRPr="007F339A">
        <w:rPr>
          <w:rFonts w:ascii="FrankRuehl" w:hAnsi="FrankRuehl" w:cs="FrankRuehl"/>
          <w:sz w:val="26"/>
          <w:szCs w:val="26"/>
          <w:rtl/>
        </w:rPr>
        <w:t>רואי חשבון מבקרים – התשלום לרואי החשבון אשר מבקרים את הדו"חות הכספיים של הרשויות המקומיות מתבצע עם הגשת הדו"ח. הזמנות העבודה הוקמו בשנת 2025 והגשת הדו"חות מתבצעת בשנה העוקבת.</w:t>
      </w:r>
    </w:p>
    <w:p w14:paraId="4A16BB4C" w14:textId="77777777" w:rsidR="007F339A" w:rsidRPr="007F339A" w:rsidRDefault="007F339A" w:rsidP="007F339A">
      <w:pPr>
        <w:contextualSpacing/>
        <w:jc w:val="both"/>
        <w:rPr>
          <w:rFonts w:ascii="FrankRuehl" w:hAnsi="FrankRuehl" w:cs="FrankRuehl"/>
          <w:b/>
          <w:bCs/>
          <w:sz w:val="26"/>
          <w:szCs w:val="26"/>
        </w:rPr>
      </w:pPr>
    </w:p>
    <w:p w14:paraId="651C3C68"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 xml:space="preserve">תכנית 181104: מענקי פיתוח </w:t>
      </w:r>
      <w:r w:rsidRPr="007F339A">
        <w:rPr>
          <w:rFonts w:ascii="FrankRuehl" w:hAnsi="FrankRuehl" w:cs="FrankRuehl"/>
          <w:b/>
          <w:bCs/>
          <w:sz w:val="26"/>
          <w:szCs w:val="26"/>
        </w:rPr>
        <w:t>–</w:t>
      </w:r>
      <w:r w:rsidRPr="007F339A">
        <w:rPr>
          <w:rFonts w:ascii="FrankRuehl" w:hAnsi="FrankRuehl" w:cs="FrankRuehl"/>
          <w:b/>
          <w:bCs/>
          <w:sz w:val="26"/>
          <w:szCs w:val="26"/>
          <w:rtl/>
        </w:rPr>
        <w:t>13,668  אלפי ש"ח</w:t>
      </w:r>
    </w:p>
    <w:p w14:paraId="07464DE8" w14:textId="77777777" w:rsidR="007F339A" w:rsidRPr="007F339A" w:rsidRDefault="007F339A" w:rsidP="007F339A">
      <w:pPr>
        <w:contextualSpacing/>
        <w:jc w:val="both"/>
        <w:rPr>
          <w:rFonts w:ascii="FrankRuehl" w:hAnsi="FrankRuehl" w:cs="FrankRuehl"/>
          <w:sz w:val="26"/>
          <w:szCs w:val="26"/>
        </w:rPr>
      </w:pPr>
      <w:r w:rsidRPr="007F339A">
        <w:rPr>
          <w:rFonts w:ascii="FrankRuehl" w:hAnsi="FrankRuehl" w:cs="FrankRuehl"/>
          <w:b/>
          <w:bCs/>
          <w:sz w:val="26"/>
          <w:szCs w:val="26"/>
          <w:rtl/>
        </w:rPr>
        <w:t>תיאור התכנית</w:t>
      </w:r>
      <w:r w:rsidRPr="007F339A">
        <w:rPr>
          <w:rFonts w:ascii="FrankRuehl" w:hAnsi="FrankRuehl" w:cs="FrankRuehl"/>
          <w:sz w:val="26"/>
          <w:szCs w:val="26"/>
          <w:rtl/>
        </w:rPr>
        <w:t>: בתכנית זו מתוקצבים כלל המענקים והתקציבים המועברים לרשויות המקומיות בגין פרויקטי פיתוח. עיקר מענקי הפיתוח הינם מענקי הפיתוח לרשויות מקומיות התלויות במענק האיזון, מענקים מתוקף החלטות ממשלה ומענקים עבור פרויקטים לפיתוח כלכלי.</w:t>
      </w:r>
    </w:p>
    <w:p w14:paraId="2F2774E1"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b/>
          <w:bCs/>
          <w:sz w:val="26"/>
          <w:szCs w:val="26"/>
          <w:rtl/>
        </w:rPr>
        <w:t>סיבות מרכזיות בגינן נוצרו עודפים בתכנית</w:t>
      </w:r>
      <w:r w:rsidRPr="007F339A">
        <w:rPr>
          <w:rFonts w:ascii="FrankRuehl" w:hAnsi="FrankRuehl" w:cs="FrankRuehl"/>
          <w:sz w:val="26"/>
          <w:szCs w:val="26"/>
          <w:rtl/>
        </w:rPr>
        <w:t>:</w:t>
      </w:r>
    </w:p>
    <w:p w14:paraId="17BBAD0A"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sz w:val="26"/>
          <w:szCs w:val="26"/>
          <w:rtl/>
        </w:rPr>
        <w:t>במסגרת תכנית זאת מתוקצבים פרויקטי פיתוח רב שנתיים המתבצעים על-ידי הרשויות המקומיות עבור שיפור והרחבת השירותים ברשות. פרויקטי פיתוח מסוג זה הם פרויקטים חוצי שנה, ובמקרים בהם קצב הביצוע של הפרויקטים האמורים נמוך מהמתוכנן, נוצר עודף שמועבר לשנת הכספים העוקבת.</w:t>
      </w:r>
    </w:p>
    <w:p w14:paraId="15EA0F2F" w14:textId="77777777" w:rsidR="007F339A" w:rsidRPr="007F339A" w:rsidRDefault="007F339A" w:rsidP="007F339A">
      <w:pPr>
        <w:contextualSpacing/>
        <w:jc w:val="both"/>
        <w:rPr>
          <w:rFonts w:ascii="FrankRuehl" w:hAnsi="FrankRuehl" w:cs="FrankRuehl"/>
          <w:b/>
          <w:bCs/>
          <w:sz w:val="26"/>
          <w:szCs w:val="26"/>
          <w:rtl/>
        </w:rPr>
      </w:pPr>
    </w:p>
    <w:p w14:paraId="4F553A8A" w14:textId="77777777" w:rsidR="007F339A" w:rsidRPr="007F339A" w:rsidRDefault="007F339A" w:rsidP="007F339A">
      <w:pPr>
        <w:contextualSpacing/>
        <w:jc w:val="both"/>
        <w:rPr>
          <w:rFonts w:ascii="FrankRuehl" w:hAnsi="FrankRuehl" w:cs="FrankRuehl"/>
          <w:b/>
          <w:bCs/>
          <w:sz w:val="26"/>
          <w:szCs w:val="26"/>
        </w:rPr>
      </w:pPr>
      <w:r w:rsidRPr="007F339A">
        <w:rPr>
          <w:rFonts w:ascii="FrankRuehl" w:hAnsi="FrankRuehl" w:cs="FrankRuehl"/>
          <w:b/>
          <w:bCs/>
          <w:sz w:val="26"/>
          <w:szCs w:val="26"/>
          <w:rtl/>
        </w:rPr>
        <w:t>תכנית 181105: איגוד ערים כינרת – 1,704 אלפי ש"ח</w:t>
      </w:r>
    </w:p>
    <w:p w14:paraId="13B3B061"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b/>
          <w:bCs/>
          <w:sz w:val="26"/>
          <w:szCs w:val="26"/>
          <w:rtl/>
        </w:rPr>
        <w:t>תיאור התכנית</w:t>
      </w:r>
      <w:r w:rsidRPr="007F339A">
        <w:rPr>
          <w:rFonts w:ascii="FrankRuehl" w:hAnsi="FrankRuehl" w:cs="FrankRuehl"/>
          <w:sz w:val="26"/>
          <w:szCs w:val="26"/>
          <w:rtl/>
        </w:rPr>
        <w:t>: בתכנית זו מתוקצב איגוד ערים כינרת, עבור המענק השוטף לחופי הרחצה ומענקי פיתוח לחופים חדשים ולחופים קיימים.</w:t>
      </w:r>
    </w:p>
    <w:p w14:paraId="6F823075" w14:textId="77777777" w:rsidR="007F339A" w:rsidRPr="007F339A" w:rsidRDefault="007F339A" w:rsidP="007F339A">
      <w:pPr>
        <w:contextualSpacing/>
        <w:jc w:val="both"/>
        <w:rPr>
          <w:rFonts w:ascii="FrankRuehl" w:hAnsi="FrankRuehl" w:cs="FrankRuehl"/>
          <w:b/>
          <w:bCs/>
          <w:sz w:val="26"/>
          <w:szCs w:val="26"/>
          <w:rtl/>
        </w:rPr>
      </w:pPr>
      <w:r w:rsidRPr="007F339A">
        <w:rPr>
          <w:rFonts w:ascii="FrankRuehl" w:hAnsi="FrankRuehl" w:cs="FrankRuehl"/>
          <w:b/>
          <w:bCs/>
          <w:sz w:val="26"/>
          <w:szCs w:val="26"/>
          <w:rtl/>
        </w:rPr>
        <w:t>סיבות מרכזיות בגינן נוצרו העודפים:</w:t>
      </w:r>
    </w:p>
    <w:p w14:paraId="7089F3AF" w14:textId="77777777" w:rsidR="007F339A" w:rsidRPr="007F339A" w:rsidRDefault="007F339A" w:rsidP="007F339A">
      <w:pPr>
        <w:contextualSpacing/>
        <w:jc w:val="both"/>
        <w:rPr>
          <w:rFonts w:ascii="FrankRuehl" w:hAnsi="FrankRuehl" w:cs="FrankRuehl"/>
          <w:sz w:val="26"/>
          <w:szCs w:val="26"/>
          <w:rtl/>
        </w:rPr>
      </w:pPr>
      <w:r w:rsidRPr="007F339A">
        <w:rPr>
          <w:rFonts w:ascii="FrankRuehl" w:hAnsi="FrankRuehl" w:cs="FrankRuehl"/>
          <w:sz w:val="26"/>
          <w:szCs w:val="26"/>
          <w:rtl/>
        </w:rPr>
        <w:t>במסגרת תכנית זו מתוקצבים פרויקטי פיתוח לחופי הכנרת. במקרים בהם קצב הביצוע של הפרויקטים האמורים נמוך מהמתוכנן, נוצר עודף המועבר לשנת הכספים העוקבת.</w:t>
      </w:r>
    </w:p>
    <w:p w14:paraId="4A63BD63" w14:textId="77777777" w:rsidR="007F339A" w:rsidRPr="007F339A" w:rsidRDefault="007F339A" w:rsidP="007F339A">
      <w:pPr>
        <w:jc w:val="both"/>
        <w:rPr>
          <w:rFonts w:ascii="FrankRuehl" w:hAnsi="FrankRuehl" w:cs="FrankRuehl"/>
          <w:b/>
          <w:bCs/>
          <w:sz w:val="26"/>
          <w:szCs w:val="26"/>
          <w:rtl/>
        </w:rPr>
      </w:pPr>
    </w:p>
    <w:p w14:paraId="6F65617E" w14:textId="77777777" w:rsidR="007F339A" w:rsidRPr="007F339A" w:rsidRDefault="007F339A" w:rsidP="007F339A">
      <w:pPr>
        <w:jc w:val="both"/>
        <w:rPr>
          <w:rFonts w:ascii="FrankRuehl" w:hAnsi="FrankRuehl" w:cs="FrankRuehl"/>
          <w:sz w:val="26"/>
          <w:szCs w:val="26"/>
          <w:rtl/>
        </w:rPr>
      </w:pPr>
      <w:r w:rsidRPr="007F339A">
        <w:rPr>
          <w:rFonts w:ascii="FrankRuehl" w:hAnsi="FrankRuehl" w:cs="FrankRuehl"/>
          <w:b/>
          <w:bCs/>
          <w:sz w:val="26"/>
          <w:szCs w:val="26"/>
          <w:rtl/>
        </w:rPr>
        <w:t>השפעה על כח אדם:</w:t>
      </w:r>
      <w:r w:rsidRPr="007F339A">
        <w:rPr>
          <w:rFonts w:ascii="FrankRuehl" w:hAnsi="FrankRuehl" w:cs="FrankRuehl"/>
          <w:sz w:val="26"/>
          <w:szCs w:val="26"/>
          <w:rtl/>
        </w:rPr>
        <w:t xml:space="preserve"> אין</w:t>
      </w:r>
    </w:p>
    <w:p w14:paraId="0F286C63" w14:textId="77777777" w:rsidR="007332A2" w:rsidRPr="007F339A" w:rsidRDefault="007332A2" w:rsidP="007F339A">
      <w:pPr>
        <w:jc w:val="both"/>
        <w:rPr>
          <w:rFonts w:ascii="FrankRuehl" w:hAnsi="FrankRuehl" w:cs="FrankRuehl"/>
          <w:sz w:val="26"/>
          <w:szCs w:val="26"/>
          <w:rtl/>
        </w:rPr>
      </w:pPr>
    </w:p>
    <w:p w14:paraId="1CD2C55E" w14:textId="77777777" w:rsidR="0051496B" w:rsidRPr="007F339A" w:rsidRDefault="0051496B" w:rsidP="007F339A">
      <w:pPr>
        <w:jc w:val="both"/>
        <w:rPr>
          <w:rFonts w:ascii="FrankRuehl" w:hAnsi="FrankRuehl" w:cs="FrankRuehl"/>
          <w:sz w:val="26"/>
          <w:szCs w:val="26"/>
          <w:rtl/>
        </w:rPr>
      </w:pPr>
      <w:r w:rsidRPr="007F339A">
        <w:rPr>
          <w:rFonts w:ascii="FrankRuehl" w:hAnsi="FrankRuehl" w:cs="FrankRuehl"/>
          <w:sz w:val="26"/>
          <w:szCs w:val="26"/>
          <w:rtl/>
        </w:rPr>
        <w:t>האישור ייכנס לתקפו, אם לא יעוכב ע"י ועדת הכספים של הכנסת, לאחר 21 יום מתאריך מכתב זה.</w:t>
      </w:r>
    </w:p>
    <w:p w14:paraId="5CEA71DA" w14:textId="77777777" w:rsidR="0051496B" w:rsidRPr="000A3FA0" w:rsidRDefault="0051496B" w:rsidP="00A6761F">
      <w:pPr>
        <w:jc w:val="both"/>
        <w:rPr>
          <w:rFonts w:cs="FrankRuehl"/>
          <w:sz w:val="26"/>
          <w:szCs w:val="26"/>
          <w:rtl/>
        </w:rPr>
      </w:pPr>
    </w:p>
    <w:p w14:paraId="291E95B5" w14:textId="77777777" w:rsidR="0051496B" w:rsidRPr="000A3FA0" w:rsidRDefault="0051496B" w:rsidP="00A6761F">
      <w:pPr>
        <w:jc w:val="both"/>
        <w:rPr>
          <w:rFonts w:cs="FrankRuehl"/>
          <w:sz w:val="26"/>
          <w:szCs w:val="26"/>
          <w:rtl/>
        </w:rPr>
      </w:pPr>
    </w:p>
    <w:p w14:paraId="15620E9B"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DD71F95" w14:textId="77777777" w:rsidR="0051496B" w:rsidRDefault="0051496B">
      <w:pPr>
        <w:tabs>
          <w:tab w:val="center" w:pos="6867"/>
        </w:tabs>
        <w:rPr>
          <w:rFonts w:cs="FrankRuehl"/>
          <w:sz w:val="26"/>
          <w:szCs w:val="26"/>
          <w:rtl/>
        </w:rPr>
      </w:pPr>
    </w:p>
    <w:p w14:paraId="70E377B5"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61746033" w14:textId="77777777" w:rsidR="0051496B" w:rsidRPr="000A3FA0" w:rsidRDefault="0051496B">
      <w:pPr>
        <w:tabs>
          <w:tab w:val="center" w:pos="6867"/>
        </w:tabs>
        <w:rPr>
          <w:rFonts w:cs="FrankRuehl"/>
          <w:sz w:val="26"/>
          <w:szCs w:val="26"/>
          <w:rtl/>
        </w:rPr>
      </w:pPr>
    </w:p>
    <w:p w14:paraId="489B71B3"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0E65AC75"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6D95C278" w14:textId="77777777" w:rsidR="0051496B" w:rsidRPr="000A3FA0" w:rsidRDefault="0051496B">
      <w:pPr>
        <w:rPr>
          <w:rFonts w:cs="FrankRuehl"/>
          <w:sz w:val="26"/>
          <w:szCs w:val="26"/>
          <w:rtl/>
        </w:rPr>
      </w:pPr>
    </w:p>
    <w:p w14:paraId="255257C0" w14:textId="77777777" w:rsidR="0051496B" w:rsidRPr="000A3FA0" w:rsidRDefault="0051496B">
      <w:pPr>
        <w:rPr>
          <w:rFonts w:cs="FrankRuehl"/>
          <w:sz w:val="26"/>
          <w:szCs w:val="26"/>
          <w:rtl/>
        </w:rPr>
      </w:pPr>
      <w:r w:rsidRPr="000A3FA0">
        <w:rPr>
          <w:rFonts w:cs="FrankRuehl"/>
          <w:sz w:val="26"/>
          <w:szCs w:val="26"/>
          <w:rtl/>
        </w:rPr>
        <w:t>העתק:</w:t>
      </w:r>
    </w:p>
    <w:p w14:paraId="62FD38CA" w14:textId="77777777" w:rsidR="0051496B" w:rsidRPr="000A3FA0" w:rsidRDefault="0051496B">
      <w:pPr>
        <w:rPr>
          <w:rFonts w:cs="FrankRuehl"/>
          <w:sz w:val="26"/>
          <w:szCs w:val="26"/>
          <w:rtl/>
        </w:rPr>
      </w:pPr>
      <w:r w:rsidRPr="000A3FA0">
        <w:rPr>
          <w:rFonts w:cs="FrankRuehl"/>
          <w:sz w:val="26"/>
          <w:szCs w:val="26"/>
          <w:rtl/>
        </w:rPr>
        <w:t>החשב הכללי</w:t>
      </w:r>
    </w:p>
    <w:p w14:paraId="277887A2" w14:textId="77777777" w:rsidR="0051496B" w:rsidRPr="000A3FA0" w:rsidRDefault="0051496B">
      <w:pPr>
        <w:rPr>
          <w:rFonts w:cs="FrankRuehl"/>
          <w:sz w:val="26"/>
          <w:szCs w:val="26"/>
          <w:rtl/>
        </w:rPr>
      </w:pPr>
      <w:r w:rsidRPr="000A3FA0">
        <w:rPr>
          <w:rFonts w:cs="FrankRuehl"/>
          <w:sz w:val="26"/>
          <w:szCs w:val="26"/>
          <w:rtl/>
        </w:rPr>
        <w:t>מבקר המדינה (2)</w:t>
      </w:r>
    </w:p>
    <w:p w14:paraId="55F81B0E" w14:textId="229972A5" w:rsidR="0051496B" w:rsidRPr="000A3FA0" w:rsidRDefault="003935D4">
      <w:pPr>
        <w:rPr>
          <w:rFonts w:cs="FrankRuehl"/>
          <w:sz w:val="26"/>
          <w:szCs w:val="26"/>
          <w:rtl/>
        </w:rPr>
      </w:pPr>
      <w:bookmarkStart w:id="12" w:name="TAKZIV22"/>
      <w:r>
        <w:rPr>
          <w:rFonts w:cs="FrankRuehl"/>
          <w:sz w:val="26"/>
          <w:szCs w:val="26"/>
          <w:rtl/>
        </w:rPr>
        <w:t>חשב משרד הפנים</w:t>
      </w:r>
      <w:bookmarkEnd w:id="12"/>
      <w:r w:rsidR="0051496B" w:rsidRPr="000A3FA0">
        <w:rPr>
          <w:rFonts w:cs="FrankRuehl"/>
          <w:sz w:val="26"/>
          <w:szCs w:val="26"/>
          <w:rtl/>
        </w:rPr>
        <w:t xml:space="preserve"> </w:t>
      </w:r>
    </w:p>
    <w:p w14:paraId="2A32D3AF" w14:textId="6F14ADC8"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3935D4">
        <w:rPr>
          <w:rFonts w:cs="FrankRuehl"/>
          <w:sz w:val="26"/>
          <w:szCs w:val="26"/>
          <w:rtl/>
        </w:rPr>
        <w:t>הרשויות המקומיות</w:t>
      </w:r>
      <w:bookmarkEnd w:id="13"/>
    </w:p>
    <w:p w14:paraId="7AEFB41E" w14:textId="075BC87F"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3935D4">
        <w:rPr>
          <w:rFonts w:cs="FrankRuehl"/>
          <w:sz w:val="26"/>
          <w:szCs w:val="26"/>
          <w:rtl/>
        </w:rPr>
        <w:t>הרשויות המקומיות</w:t>
      </w:r>
      <w:bookmarkEnd w:id="14"/>
    </w:p>
    <w:p w14:paraId="58DDD10B" w14:textId="77777777" w:rsidR="0051496B" w:rsidRPr="000A3FA0" w:rsidRDefault="0051496B">
      <w:pPr>
        <w:rPr>
          <w:rFonts w:cs="FrankRuehl"/>
          <w:sz w:val="26"/>
          <w:szCs w:val="26"/>
          <w:rtl/>
        </w:rPr>
      </w:pPr>
      <w:bookmarkStart w:id="15" w:name="TAKZIV23"/>
      <w:bookmarkEnd w:id="15"/>
    </w:p>
    <w:p w14:paraId="50A96D6F" w14:textId="77777777" w:rsidR="0051496B" w:rsidRPr="000A3FA0" w:rsidRDefault="0051496B">
      <w:pPr>
        <w:rPr>
          <w:rFonts w:cs="FrankRuehl"/>
          <w:sz w:val="26"/>
          <w:szCs w:val="26"/>
          <w:rtl/>
        </w:rPr>
      </w:pPr>
    </w:p>
    <w:p w14:paraId="0ED81E62" w14:textId="713BD9CA" w:rsidR="0051496B" w:rsidRDefault="0051496B">
      <w:pPr>
        <w:rPr>
          <w:rFonts w:cs="FrankRuehl"/>
          <w:sz w:val="26"/>
          <w:szCs w:val="26"/>
          <w:rtl/>
        </w:rPr>
      </w:pPr>
      <w:bookmarkStart w:id="16" w:name="TAKZIV25"/>
      <w:bookmarkEnd w:id="16"/>
    </w:p>
    <w:p w14:paraId="201F0515" w14:textId="6112C347" w:rsidR="00314D5E" w:rsidRDefault="00314D5E">
      <w:pPr>
        <w:rPr>
          <w:rFonts w:cs="FrankRuehl"/>
          <w:sz w:val="26"/>
          <w:szCs w:val="26"/>
          <w:rtl/>
        </w:rPr>
      </w:pPr>
    </w:p>
    <w:p w14:paraId="27DA7407" w14:textId="02A20657" w:rsidR="00314D5E" w:rsidRDefault="00314D5E">
      <w:pPr>
        <w:rPr>
          <w:rFonts w:cs="FrankRuehl"/>
          <w:sz w:val="26"/>
          <w:szCs w:val="26"/>
          <w:rtl/>
        </w:rPr>
      </w:pPr>
    </w:p>
    <w:p w14:paraId="1CD9EA42" w14:textId="6EFCB7B9" w:rsidR="00314D5E" w:rsidRDefault="00314D5E">
      <w:pPr>
        <w:rPr>
          <w:rFonts w:cs="FrankRuehl"/>
          <w:sz w:val="26"/>
          <w:szCs w:val="26"/>
          <w:rtl/>
        </w:rPr>
      </w:pPr>
    </w:p>
    <w:p w14:paraId="367D492A" w14:textId="5B3E172A" w:rsidR="00314D5E" w:rsidRPr="00314D5E" w:rsidRDefault="00314D5E" w:rsidP="00314D5E">
      <w:pPr>
        <w:jc w:val="center"/>
        <w:rPr>
          <w:rFonts w:cs="FrankRuehl"/>
          <w:b/>
          <w:bCs/>
          <w:sz w:val="26"/>
          <w:szCs w:val="26"/>
          <w:u w:val="single"/>
          <w:rtl/>
        </w:rPr>
      </w:pPr>
      <w:r w:rsidRPr="00314D5E">
        <w:rPr>
          <w:rFonts w:cs="FrankRuehl" w:hint="cs"/>
          <w:b/>
          <w:bCs/>
          <w:sz w:val="26"/>
          <w:szCs w:val="26"/>
          <w:u w:val="single"/>
          <w:rtl/>
        </w:rPr>
        <w:lastRenderedPageBreak/>
        <w:t>נספח לדברי ההסבר</w:t>
      </w:r>
    </w:p>
    <w:p w14:paraId="780B9CCB" w14:textId="708AFF38" w:rsidR="00314D5E" w:rsidRPr="00314D5E" w:rsidRDefault="00314D5E" w:rsidP="00314D5E">
      <w:pPr>
        <w:jc w:val="center"/>
        <w:rPr>
          <w:rFonts w:cs="FrankRuehl"/>
          <w:b/>
          <w:bCs/>
          <w:sz w:val="26"/>
          <w:szCs w:val="26"/>
          <w:u w:val="single"/>
          <w:rtl/>
        </w:rPr>
      </w:pPr>
    </w:p>
    <w:p w14:paraId="1F6E01B4" w14:textId="63FC7D6B" w:rsidR="00314D5E" w:rsidRPr="00314D5E" w:rsidRDefault="00314D5E" w:rsidP="00314D5E">
      <w:pPr>
        <w:jc w:val="center"/>
        <w:rPr>
          <w:rFonts w:cs="FrankRuehl"/>
          <w:b/>
          <w:bCs/>
          <w:sz w:val="26"/>
          <w:szCs w:val="26"/>
          <w:rtl/>
        </w:rPr>
      </w:pPr>
      <w:r w:rsidRPr="00314D5E">
        <w:rPr>
          <w:rFonts w:cs="FrankRuehl"/>
          <w:b/>
          <w:bCs/>
          <w:sz w:val="26"/>
          <w:szCs w:val="26"/>
          <w:rtl/>
        </w:rPr>
        <w:t>היסטוריה תקציבית של הפנייה</w:t>
      </w:r>
    </w:p>
    <w:p w14:paraId="584D6B4A" w14:textId="2D19DF75" w:rsidR="00314D5E" w:rsidRDefault="00314D5E">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314D5E" w:rsidRPr="00314D5E" w14:paraId="28BD97DA" w14:textId="77777777" w:rsidTr="00314D5E">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62CA4661" w14:textId="77777777" w:rsidR="00314D5E" w:rsidRPr="00314D5E" w:rsidRDefault="00314D5E" w:rsidP="00314D5E">
            <w:pPr>
              <w:overflowPunct/>
              <w:autoSpaceDE/>
              <w:autoSpaceDN/>
              <w:adjustRightInd/>
              <w:jc w:val="center"/>
              <w:textAlignment w:val="auto"/>
              <w:rPr>
                <w:rFonts w:ascii="Calibri" w:hAnsi="Calibri" w:cs="Calibri"/>
                <w:b/>
                <w:bCs/>
                <w:color w:val="000000"/>
                <w:sz w:val="16"/>
                <w:szCs w:val="16"/>
                <w:lang w:eastAsia="en-US"/>
              </w:rPr>
            </w:pPr>
            <w:r w:rsidRPr="00314D5E">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04FAF0ED" w14:textId="77777777" w:rsidR="00314D5E" w:rsidRPr="00314D5E" w:rsidRDefault="00314D5E" w:rsidP="00314D5E">
            <w:pPr>
              <w:overflowPunct/>
              <w:autoSpaceDE/>
              <w:autoSpaceDN/>
              <w:adjustRightInd/>
              <w:jc w:val="center"/>
              <w:textAlignment w:val="auto"/>
              <w:rPr>
                <w:rFonts w:ascii="Calibri" w:hAnsi="Calibri" w:cs="Calibri"/>
                <w:b/>
                <w:bCs/>
                <w:color w:val="000000"/>
                <w:sz w:val="16"/>
                <w:szCs w:val="16"/>
                <w:rtl/>
                <w:lang w:eastAsia="en-US"/>
              </w:rPr>
            </w:pPr>
            <w:r w:rsidRPr="00314D5E">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9F966FA" w14:textId="77777777" w:rsidR="00314D5E" w:rsidRPr="00314D5E" w:rsidRDefault="00314D5E" w:rsidP="00314D5E">
            <w:pPr>
              <w:overflowPunct/>
              <w:autoSpaceDE/>
              <w:autoSpaceDN/>
              <w:adjustRightInd/>
              <w:jc w:val="center"/>
              <w:textAlignment w:val="auto"/>
              <w:rPr>
                <w:rFonts w:ascii="Calibri" w:hAnsi="Calibri" w:cs="Calibri"/>
                <w:b/>
                <w:bCs/>
                <w:color w:val="000000"/>
                <w:sz w:val="16"/>
                <w:szCs w:val="16"/>
                <w:rtl/>
                <w:lang w:eastAsia="en-US"/>
              </w:rPr>
            </w:pPr>
            <w:r w:rsidRPr="00314D5E">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FF0451B" w14:textId="77777777" w:rsidR="00314D5E" w:rsidRPr="00314D5E" w:rsidRDefault="00314D5E" w:rsidP="00314D5E">
            <w:pPr>
              <w:overflowPunct/>
              <w:autoSpaceDE/>
              <w:autoSpaceDN/>
              <w:adjustRightInd/>
              <w:jc w:val="center"/>
              <w:textAlignment w:val="auto"/>
              <w:rPr>
                <w:rFonts w:ascii="Calibri" w:hAnsi="Calibri" w:cs="Calibri"/>
                <w:b/>
                <w:bCs/>
                <w:color w:val="000000"/>
                <w:sz w:val="16"/>
                <w:szCs w:val="16"/>
                <w:rtl/>
                <w:lang w:eastAsia="en-US"/>
              </w:rPr>
            </w:pPr>
            <w:r w:rsidRPr="00314D5E">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F98172B" w14:textId="77777777" w:rsidR="00314D5E" w:rsidRPr="00314D5E" w:rsidRDefault="00314D5E" w:rsidP="00314D5E">
            <w:pPr>
              <w:overflowPunct/>
              <w:autoSpaceDE/>
              <w:autoSpaceDN/>
              <w:adjustRightInd/>
              <w:jc w:val="center"/>
              <w:textAlignment w:val="auto"/>
              <w:rPr>
                <w:rFonts w:ascii="Calibri" w:hAnsi="Calibri" w:cs="Calibri"/>
                <w:b/>
                <w:bCs/>
                <w:color w:val="000000"/>
                <w:sz w:val="16"/>
                <w:szCs w:val="16"/>
                <w:rtl/>
                <w:lang w:eastAsia="en-US"/>
              </w:rPr>
            </w:pPr>
            <w:r w:rsidRPr="00314D5E">
              <w:rPr>
                <w:rFonts w:ascii="Calibri" w:hAnsi="Calibri" w:cs="Calibri"/>
                <w:b/>
                <w:bCs/>
                <w:color w:val="000000"/>
                <w:sz w:val="16"/>
                <w:szCs w:val="16"/>
                <w:rtl/>
                <w:lang w:eastAsia="en-US"/>
              </w:rPr>
              <w:t>סך עודף שהועבר ב-2023</w:t>
            </w:r>
          </w:p>
        </w:tc>
      </w:tr>
      <w:tr w:rsidR="00314D5E" w:rsidRPr="00314D5E" w14:paraId="0017CBA7" w14:textId="77777777" w:rsidTr="00314D5E">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C7747C3"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rtl/>
                <w:lang w:eastAsia="en-US"/>
              </w:rPr>
            </w:pPr>
            <w:r w:rsidRPr="00314D5E">
              <w:rPr>
                <w:rFonts w:ascii="Calibri" w:hAnsi="Calibri" w:cs="Calibri"/>
                <w:color w:val="000000"/>
                <w:sz w:val="16"/>
                <w:szCs w:val="16"/>
                <w:lang w:eastAsia="en-US"/>
              </w:rPr>
              <w:t>181102</w:t>
            </w:r>
          </w:p>
        </w:tc>
        <w:tc>
          <w:tcPr>
            <w:tcW w:w="1111" w:type="pct"/>
            <w:tcBorders>
              <w:top w:val="nil"/>
              <w:left w:val="single" w:sz="4" w:space="0" w:color="979991"/>
              <w:bottom w:val="single" w:sz="4" w:space="0" w:color="979991"/>
              <w:right w:val="nil"/>
            </w:tcBorders>
            <w:shd w:val="clear" w:color="000000" w:fill="FFFFFF"/>
            <w:vAlign w:val="center"/>
            <w:hideMark/>
          </w:tcPr>
          <w:p w14:paraId="5708B4D8"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123,473</w:t>
            </w:r>
          </w:p>
        </w:tc>
        <w:tc>
          <w:tcPr>
            <w:tcW w:w="968" w:type="pct"/>
            <w:tcBorders>
              <w:top w:val="nil"/>
              <w:left w:val="single" w:sz="4" w:space="0" w:color="979991"/>
              <w:bottom w:val="single" w:sz="4" w:space="0" w:color="979991"/>
              <w:right w:val="nil"/>
            </w:tcBorders>
            <w:shd w:val="clear" w:color="000000" w:fill="FFFFFF"/>
            <w:vAlign w:val="center"/>
            <w:hideMark/>
          </w:tcPr>
          <w:p w14:paraId="040E945F"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257,548</w:t>
            </w:r>
          </w:p>
        </w:tc>
        <w:tc>
          <w:tcPr>
            <w:tcW w:w="968" w:type="pct"/>
            <w:tcBorders>
              <w:top w:val="nil"/>
              <w:left w:val="single" w:sz="4" w:space="0" w:color="979991"/>
              <w:bottom w:val="single" w:sz="4" w:space="0" w:color="979991"/>
              <w:right w:val="nil"/>
            </w:tcBorders>
            <w:shd w:val="clear" w:color="000000" w:fill="FFFFFF"/>
            <w:vAlign w:val="center"/>
            <w:hideMark/>
          </w:tcPr>
          <w:p w14:paraId="3E5EA214"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12,694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F7CC17E"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19,269</w:t>
            </w:r>
          </w:p>
        </w:tc>
      </w:tr>
      <w:tr w:rsidR="00314D5E" w:rsidRPr="00314D5E" w14:paraId="5EF2E9D5" w14:textId="77777777" w:rsidTr="00314D5E">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BEC8715"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181103</w:t>
            </w:r>
          </w:p>
        </w:tc>
        <w:tc>
          <w:tcPr>
            <w:tcW w:w="1111" w:type="pct"/>
            <w:tcBorders>
              <w:top w:val="nil"/>
              <w:left w:val="single" w:sz="4" w:space="0" w:color="979991"/>
              <w:bottom w:val="single" w:sz="4" w:space="0" w:color="979991"/>
              <w:right w:val="nil"/>
            </w:tcBorders>
            <w:shd w:val="clear" w:color="000000" w:fill="FFFFFF"/>
            <w:vAlign w:val="center"/>
            <w:hideMark/>
          </w:tcPr>
          <w:p w14:paraId="2C06FA10"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832,032</w:t>
            </w:r>
          </w:p>
        </w:tc>
        <w:tc>
          <w:tcPr>
            <w:tcW w:w="968" w:type="pct"/>
            <w:tcBorders>
              <w:top w:val="nil"/>
              <w:left w:val="single" w:sz="4" w:space="0" w:color="979991"/>
              <w:bottom w:val="single" w:sz="4" w:space="0" w:color="979991"/>
              <w:right w:val="nil"/>
            </w:tcBorders>
            <w:shd w:val="clear" w:color="000000" w:fill="FFFFFF"/>
            <w:vAlign w:val="center"/>
            <w:hideMark/>
          </w:tcPr>
          <w:p w14:paraId="22B3F93A"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951,539</w:t>
            </w:r>
          </w:p>
        </w:tc>
        <w:tc>
          <w:tcPr>
            <w:tcW w:w="968" w:type="pct"/>
            <w:tcBorders>
              <w:top w:val="nil"/>
              <w:left w:val="single" w:sz="4" w:space="0" w:color="979991"/>
              <w:bottom w:val="single" w:sz="4" w:space="0" w:color="979991"/>
              <w:right w:val="nil"/>
            </w:tcBorders>
            <w:shd w:val="clear" w:color="000000" w:fill="FFFFFF"/>
            <w:vAlign w:val="center"/>
            <w:hideMark/>
          </w:tcPr>
          <w:p w14:paraId="6D6CEF7F"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550,742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72CDBA4"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311,353</w:t>
            </w:r>
          </w:p>
        </w:tc>
      </w:tr>
      <w:tr w:rsidR="00314D5E" w:rsidRPr="00314D5E" w14:paraId="0A217865" w14:textId="77777777" w:rsidTr="00314D5E">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801869E"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181104</w:t>
            </w:r>
          </w:p>
        </w:tc>
        <w:tc>
          <w:tcPr>
            <w:tcW w:w="1111" w:type="pct"/>
            <w:tcBorders>
              <w:top w:val="nil"/>
              <w:left w:val="single" w:sz="4" w:space="0" w:color="979991"/>
              <w:bottom w:val="single" w:sz="4" w:space="0" w:color="979991"/>
              <w:right w:val="nil"/>
            </w:tcBorders>
            <w:shd w:val="clear" w:color="000000" w:fill="FFFFFF"/>
            <w:vAlign w:val="center"/>
            <w:hideMark/>
          </w:tcPr>
          <w:p w14:paraId="5D962700"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13,668</w:t>
            </w:r>
          </w:p>
        </w:tc>
        <w:tc>
          <w:tcPr>
            <w:tcW w:w="968" w:type="pct"/>
            <w:tcBorders>
              <w:top w:val="nil"/>
              <w:left w:val="single" w:sz="4" w:space="0" w:color="979991"/>
              <w:bottom w:val="single" w:sz="4" w:space="0" w:color="979991"/>
              <w:right w:val="nil"/>
            </w:tcBorders>
            <w:shd w:val="clear" w:color="000000" w:fill="FFFFFF"/>
            <w:vAlign w:val="center"/>
            <w:hideMark/>
          </w:tcPr>
          <w:p w14:paraId="64630F67"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11,832</w:t>
            </w:r>
          </w:p>
        </w:tc>
        <w:tc>
          <w:tcPr>
            <w:tcW w:w="968" w:type="pct"/>
            <w:tcBorders>
              <w:top w:val="nil"/>
              <w:left w:val="single" w:sz="4" w:space="0" w:color="979991"/>
              <w:bottom w:val="single" w:sz="4" w:space="0" w:color="979991"/>
              <w:right w:val="nil"/>
            </w:tcBorders>
            <w:shd w:val="clear" w:color="000000" w:fill="FFFFFF"/>
            <w:vAlign w:val="center"/>
            <w:hideMark/>
          </w:tcPr>
          <w:p w14:paraId="4752CB8B"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8,555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E576744"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85,944</w:t>
            </w:r>
          </w:p>
        </w:tc>
      </w:tr>
      <w:tr w:rsidR="00314D5E" w:rsidRPr="00314D5E" w14:paraId="72E3F8B0" w14:textId="77777777" w:rsidTr="00314D5E">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1146241"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181105</w:t>
            </w:r>
          </w:p>
        </w:tc>
        <w:tc>
          <w:tcPr>
            <w:tcW w:w="1111" w:type="pct"/>
            <w:tcBorders>
              <w:top w:val="nil"/>
              <w:left w:val="single" w:sz="4" w:space="0" w:color="979991"/>
              <w:bottom w:val="single" w:sz="4" w:space="0" w:color="979991"/>
              <w:right w:val="nil"/>
            </w:tcBorders>
            <w:shd w:val="clear" w:color="000000" w:fill="FFFFFF"/>
            <w:vAlign w:val="center"/>
            <w:hideMark/>
          </w:tcPr>
          <w:p w14:paraId="460A2DDB"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1,704</w:t>
            </w:r>
          </w:p>
        </w:tc>
        <w:tc>
          <w:tcPr>
            <w:tcW w:w="968" w:type="pct"/>
            <w:tcBorders>
              <w:top w:val="nil"/>
              <w:left w:val="single" w:sz="4" w:space="0" w:color="979991"/>
              <w:bottom w:val="single" w:sz="4" w:space="0" w:color="979991"/>
              <w:right w:val="nil"/>
            </w:tcBorders>
            <w:shd w:val="clear" w:color="000000" w:fill="FFFFFF"/>
            <w:vAlign w:val="center"/>
            <w:hideMark/>
          </w:tcPr>
          <w:p w14:paraId="0F8E0706"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1,151</w:t>
            </w:r>
          </w:p>
        </w:tc>
        <w:tc>
          <w:tcPr>
            <w:tcW w:w="968" w:type="pct"/>
            <w:tcBorders>
              <w:top w:val="nil"/>
              <w:left w:val="single" w:sz="4" w:space="0" w:color="979991"/>
              <w:bottom w:val="single" w:sz="4" w:space="0" w:color="979991"/>
              <w:right w:val="nil"/>
            </w:tcBorders>
            <w:shd w:val="clear" w:color="000000" w:fill="FFFFFF"/>
            <w:vAlign w:val="center"/>
            <w:hideMark/>
          </w:tcPr>
          <w:p w14:paraId="56B02A33"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4,852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F4FC922"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5,940</w:t>
            </w:r>
          </w:p>
        </w:tc>
      </w:tr>
      <w:tr w:rsidR="00314D5E" w:rsidRPr="00314D5E" w14:paraId="40468DBB" w14:textId="77777777" w:rsidTr="00314D5E">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EC861E3"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181201</w:t>
            </w:r>
          </w:p>
        </w:tc>
        <w:tc>
          <w:tcPr>
            <w:tcW w:w="1111" w:type="pct"/>
            <w:tcBorders>
              <w:top w:val="nil"/>
              <w:left w:val="single" w:sz="4" w:space="0" w:color="979991"/>
              <w:bottom w:val="single" w:sz="4" w:space="0" w:color="979991"/>
              <w:right w:val="nil"/>
            </w:tcBorders>
            <w:shd w:val="clear" w:color="000000" w:fill="FFFFFF"/>
            <w:vAlign w:val="center"/>
            <w:hideMark/>
          </w:tcPr>
          <w:p w14:paraId="5860154F"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791E5B5A"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CA37BDE"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6D3A3FA" w14:textId="77777777" w:rsidR="00314D5E" w:rsidRPr="00314D5E" w:rsidRDefault="00314D5E" w:rsidP="00314D5E">
            <w:pPr>
              <w:overflowPunct/>
              <w:autoSpaceDE/>
              <w:autoSpaceDN/>
              <w:bidi w:val="0"/>
              <w:adjustRightInd/>
              <w:jc w:val="center"/>
              <w:textAlignment w:val="auto"/>
              <w:rPr>
                <w:rFonts w:ascii="Calibri" w:hAnsi="Calibri" w:cs="Calibri"/>
                <w:color w:val="000000"/>
                <w:sz w:val="16"/>
                <w:szCs w:val="16"/>
                <w:lang w:eastAsia="en-US"/>
              </w:rPr>
            </w:pPr>
            <w:r w:rsidRPr="00314D5E">
              <w:rPr>
                <w:rFonts w:ascii="Calibri" w:hAnsi="Calibri" w:cs="Calibri"/>
                <w:color w:val="000000"/>
                <w:sz w:val="16"/>
                <w:szCs w:val="16"/>
                <w:lang w:eastAsia="en-US"/>
              </w:rPr>
              <w:t>0</w:t>
            </w:r>
          </w:p>
        </w:tc>
      </w:tr>
    </w:tbl>
    <w:p w14:paraId="549E62B8" w14:textId="77777777" w:rsidR="00314D5E" w:rsidRPr="000A3FA0" w:rsidRDefault="00314D5E">
      <w:pPr>
        <w:rPr>
          <w:rFonts w:cs="FrankRuehl"/>
          <w:sz w:val="26"/>
          <w:szCs w:val="26"/>
          <w:rtl/>
        </w:rPr>
      </w:pPr>
    </w:p>
    <w:sectPr w:rsidR="00314D5E"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69A07" w14:textId="77777777" w:rsidR="005111E3" w:rsidRDefault="005111E3" w:rsidP="00A32326">
      <w:r>
        <w:separator/>
      </w:r>
    </w:p>
  </w:endnote>
  <w:endnote w:type="continuationSeparator" w:id="0">
    <w:p w14:paraId="7F8707F1" w14:textId="77777777" w:rsidR="005111E3" w:rsidRDefault="005111E3"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3222A"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6CE9A"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84CDF"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2B7D" w14:textId="77777777" w:rsidR="005111E3" w:rsidRDefault="005111E3" w:rsidP="00A32326">
      <w:r>
        <w:separator/>
      </w:r>
    </w:p>
  </w:footnote>
  <w:footnote w:type="continuationSeparator" w:id="0">
    <w:p w14:paraId="59A1E873" w14:textId="77777777" w:rsidR="005111E3" w:rsidRDefault="005111E3"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8766"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7B2C1" w14:textId="77777777" w:rsidR="00A32326" w:rsidRPr="00CB5FFD" w:rsidRDefault="005111E3" w:rsidP="00A32326">
    <w:pPr>
      <w:pStyle w:val="a4"/>
      <w:jc w:val="right"/>
      <w:rPr>
        <w:color w:val="4F81BD"/>
        <w:rtl/>
        <w:cs/>
      </w:rPr>
    </w:pPr>
    <w:r>
      <w:rPr>
        <w:noProof/>
        <w:rtl/>
      </w:rPr>
      <w:pict w14:anchorId="4D12B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C217006" w14:textId="77777777" w:rsidR="00A32326" w:rsidRPr="00CB5FFD" w:rsidRDefault="00A32326" w:rsidP="00A32326">
    <w:pPr>
      <w:pStyle w:val="a4"/>
      <w:jc w:val="right"/>
      <w:rPr>
        <w:color w:val="4F81BD"/>
        <w:rtl/>
        <w:cs/>
      </w:rPr>
    </w:pPr>
  </w:p>
  <w:p w14:paraId="59D3952F" w14:textId="77777777" w:rsidR="00A32326" w:rsidRDefault="00A32326" w:rsidP="00A32326">
    <w:pPr>
      <w:pStyle w:val="a4"/>
    </w:pPr>
  </w:p>
  <w:p w14:paraId="250F016B"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B2D5"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15A76"/>
    <w:multiLevelType w:val="multilevel"/>
    <w:tmpl w:val="91F85C4A"/>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314D5E"/>
    <w:rsid w:val="003935D4"/>
    <w:rsid w:val="00411078"/>
    <w:rsid w:val="00507569"/>
    <w:rsid w:val="005111E3"/>
    <w:rsid w:val="0051496B"/>
    <w:rsid w:val="00596B46"/>
    <w:rsid w:val="00732181"/>
    <w:rsid w:val="007332A2"/>
    <w:rsid w:val="007F339A"/>
    <w:rsid w:val="0096594F"/>
    <w:rsid w:val="009E3253"/>
    <w:rsid w:val="00A14A9C"/>
    <w:rsid w:val="00A32326"/>
    <w:rsid w:val="00A51CFB"/>
    <w:rsid w:val="00A6761F"/>
    <w:rsid w:val="00AC0FB8"/>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AB498B0"/>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094410">
      <w:bodyDiv w:val="1"/>
      <w:marLeft w:val="0"/>
      <w:marRight w:val="0"/>
      <w:marTop w:val="0"/>
      <w:marBottom w:val="0"/>
      <w:divBdr>
        <w:top w:val="none" w:sz="0" w:space="0" w:color="auto"/>
        <w:left w:val="none" w:sz="0" w:space="0" w:color="auto"/>
        <w:bottom w:val="none" w:sz="0" w:space="0" w:color="auto"/>
        <w:right w:val="none" w:sz="0" w:space="0" w:color="auto"/>
      </w:divBdr>
    </w:div>
    <w:div w:id="17507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651</Words>
  <Characters>3258</Characters>
  <Application>Microsoft Office Word</Application>
  <DocSecurity>0</DocSecurity>
  <Lines>27</Lines>
  <Paragraphs>7</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2026-04-28T12:16:00Z</dcterms:created>
  <dcterms:modified xsi:type="dcterms:W3CDTF">2026-04-29T04:21:00Z</dcterms:modified>
</cp:coreProperties>
</file>