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D831A" w14:textId="77777777" w:rsidR="0051496B" w:rsidRDefault="0051496B">
      <w:pPr>
        <w:pStyle w:val="a7"/>
        <w:rPr>
          <w:rtl/>
        </w:rPr>
      </w:pPr>
      <w:r>
        <w:rPr>
          <w:rtl/>
        </w:rPr>
        <w:t>מדינת ישראל</w:t>
      </w:r>
    </w:p>
    <w:p w14:paraId="028B32FF" w14:textId="77777777" w:rsidR="0051496B" w:rsidRDefault="0051496B">
      <w:pPr>
        <w:pStyle w:val="a7"/>
        <w:rPr>
          <w:rtl/>
        </w:rPr>
      </w:pPr>
      <w:r>
        <w:rPr>
          <w:rtl/>
        </w:rPr>
        <w:t>האוצר - אגף התקציבים</w:t>
      </w:r>
    </w:p>
    <w:p w14:paraId="31301D1B" w14:textId="77777777" w:rsidR="0051496B" w:rsidRDefault="0051496B">
      <w:pPr>
        <w:rPr>
          <w:rtl/>
        </w:rPr>
      </w:pPr>
    </w:p>
    <w:p w14:paraId="1DD95EB1" w14:textId="77777777" w:rsidR="0051496B" w:rsidRDefault="0051496B">
      <w:pPr>
        <w:rPr>
          <w:rtl/>
        </w:rPr>
      </w:pPr>
    </w:p>
    <w:p w14:paraId="37127A87" w14:textId="77777777" w:rsidR="0051496B" w:rsidRPr="000A3FA0" w:rsidRDefault="0051496B">
      <w:pPr>
        <w:tabs>
          <w:tab w:val="left" w:pos="6300"/>
        </w:tabs>
        <w:rPr>
          <w:rFonts w:cs="FrankRuehl"/>
          <w:sz w:val="26"/>
          <w:szCs w:val="26"/>
          <w:rtl/>
        </w:rPr>
      </w:pPr>
      <w:r>
        <w:rPr>
          <w:rtl/>
        </w:rPr>
        <w:tab/>
      </w:r>
      <w:bookmarkStart w:id="0" w:name="TAKZIV8"/>
      <w:bookmarkEnd w:id="0"/>
    </w:p>
    <w:p w14:paraId="5AF358CB"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44A25616"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22CD6AE0" w14:textId="754088F4"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8B2978">
        <w:rPr>
          <w:rFonts w:cs="FrankRuehl"/>
          <w:sz w:val="26"/>
          <w:szCs w:val="26"/>
          <w:rtl/>
        </w:rPr>
        <w:t>001</w:t>
      </w:r>
      <w:bookmarkEnd w:id="2"/>
      <w:r w:rsidRPr="000A3FA0">
        <w:rPr>
          <w:rFonts w:cs="FrankRuehl"/>
          <w:sz w:val="26"/>
          <w:szCs w:val="26"/>
          <w:rtl/>
        </w:rPr>
        <w:t xml:space="preserve"> - </w:t>
      </w:r>
      <w:bookmarkStart w:id="3" w:name="TAKZIV3"/>
      <w:r w:rsidR="008B2978">
        <w:rPr>
          <w:rFonts w:cs="FrankRuehl"/>
          <w:sz w:val="26"/>
          <w:szCs w:val="26"/>
          <w:rtl/>
        </w:rPr>
        <w:t>16</w:t>
      </w:r>
      <w:bookmarkEnd w:id="3"/>
    </w:p>
    <w:p w14:paraId="3D89E7E5"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6E9211D5"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74C309D1" w14:textId="77777777" w:rsidR="0051496B" w:rsidRPr="000A3FA0" w:rsidRDefault="0051496B">
      <w:pPr>
        <w:rPr>
          <w:rFonts w:cs="FrankRuehl"/>
          <w:sz w:val="26"/>
          <w:szCs w:val="26"/>
          <w:rtl/>
        </w:rPr>
      </w:pPr>
      <w:r w:rsidRPr="000A3FA0">
        <w:rPr>
          <w:rFonts w:cs="FrankRuehl"/>
          <w:sz w:val="26"/>
          <w:szCs w:val="26"/>
          <w:rtl/>
        </w:rPr>
        <w:t>לכבוד,</w:t>
      </w:r>
    </w:p>
    <w:p w14:paraId="795C976D" w14:textId="77777777" w:rsidR="0051496B" w:rsidRPr="000A3FA0" w:rsidRDefault="0051496B">
      <w:pPr>
        <w:rPr>
          <w:rFonts w:cs="FrankRuehl"/>
          <w:sz w:val="26"/>
          <w:szCs w:val="26"/>
          <w:rtl/>
        </w:rPr>
      </w:pPr>
      <w:r w:rsidRPr="000A3FA0">
        <w:rPr>
          <w:rFonts w:cs="FrankRuehl"/>
          <w:sz w:val="26"/>
          <w:szCs w:val="26"/>
          <w:rtl/>
        </w:rPr>
        <w:t>יו"ר ועדת הכספים</w:t>
      </w:r>
    </w:p>
    <w:p w14:paraId="702A1E37" w14:textId="77777777" w:rsidR="0051496B" w:rsidRPr="000A3FA0" w:rsidRDefault="0051496B">
      <w:pPr>
        <w:rPr>
          <w:rFonts w:cs="FrankRuehl"/>
          <w:sz w:val="26"/>
          <w:szCs w:val="26"/>
          <w:rtl/>
        </w:rPr>
      </w:pPr>
      <w:r w:rsidRPr="000A3FA0">
        <w:rPr>
          <w:rFonts w:cs="FrankRuehl"/>
          <w:sz w:val="26"/>
          <w:szCs w:val="26"/>
          <w:rtl/>
        </w:rPr>
        <w:t>הכנסת</w:t>
      </w:r>
    </w:p>
    <w:p w14:paraId="1AD61A4B" w14:textId="77777777" w:rsidR="0051496B" w:rsidRPr="000A3FA0" w:rsidRDefault="0051496B">
      <w:pPr>
        <w:rPr>
          <w:rFonts w:cs="FrankRuehl"/>
          <w:sz w:val="26"/>
          <w:szCs w:val="26"/>
          <w:rtl/>
        </w:rPr>
      </w:pPr>
    </w:p>
    <w:p w14:paraId="22BB81E5" w14:textId="77777777" w:rsidR="0051496B" w:rsidRPr="000A3FA0" w:rsidRDefault="0051496B">
      <w:pPr>
        <w:rPr>
          <w:rFonts w:cs="FrankRuehl"/>
          <w:sz w:val="26"/>
          <w:szCs w:val="26"/>
          <w:rtl/>
        </w:rPr>
      </w:pPr>
      <w:r w:rsidRPr="000A3FA0">
        <w:rPr>
          <w:rFonts w:cs="FrankRuehl"/>
          <w:sz w:val="26"/>
          <w:szCs w:val="26"/>
          <w:rtl/>
        </w:rPr>
        <w:t>א.נ.,</w:t>
      </w:r>
    </w:p>
    <w:p w14:paraId="0E72EF15" w14:textId="77777777" w:rsidR="0051496B" w:rsidRPr="000A3FA0" w:rsidRDefault="0051496B">
      <w:pPr>
        <w:rPr>
          <w:rFonts w:cs="FrankRuehl"/>
          <w:sz w:val="26"/>
          <w:szCs w:val="26"/>
          <w:rtl/>
        </w:rPr>
      </w:pPr>
    </w:p>
    <w:p w14:paraId="6A4AB7A4" w14:textId="032BD4A1"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8B2978">
        <w:rPr>
          <w:rFonts w:cs="FrankRuehl"/>
          <w:sz w:val="26"/>
          <w:rtl/>
        </w:rPr>
        <w:t>2026</w:t>
      </w:r>
      <w:bookmarkEnd w:id="5"/>
      <w:r w:rsidRPr="000A3FA0">
        <w:rPr>
          <w:rFonts w:cs="FrankRuehl"/>
          <w:sz w:val="26"/>
          <w:rtl/>
        </w:rPr>
        <w:t xml:space="preserve">     </w:t>
      </w:r>
    </w:p>
    <w:p w14:paraId="4F740590" w14:textId="77777777" w:rsidR="0051496B" w:rsidRPr="000A3FA0" w:rsidRDefault="0051496B" w:rsidP="00A6761F">
      <w:pPr>
        <w:jc w:val="both"/>
        <w:rPr>
          <w:rFonts w:cs="FrankRuehl"/>
          <w:sz w:val="26"/>
          <w:szCs w:val="26"/>
          <w:rtl/>
        </w:rPr>
      </w:pPr>
    </w:p>
    <w:p w14:paraId="5A40EF5A" w14:textId="2C5E9822" w:rsidR="0051496B" w:rsidRPr="000A3FA0" w:rsidRDefault="0051496B" w:rsidP="0007792B">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8B2978">
        <w:rPr>
          <w:rFonts w:cs="FrankRuehl"/>
          <w:sz w:val="26"/>
          <w:szCs w:val="26"/>
          <w:rtl/>
        </w:rPr>
        <w:t>166,797</w:t>
      </w:r>
      <w:bookmarkEnd w:id="6"/>
      <w:r w:rsidRPr="000A3FA0">
        <w:rPr>
          <w:rFonts w:cs="FrankRuehl"/>
          <w:sz w:val="26"/>
          <w:szCs w:val="26"/>
          <w:rtl/>
        </w:rPr>
        <w:t xml:space="preserve"> אלפי שקלים חדשים מסעיף </w:t>
      </w:r>
      <w:bookmarkStart w:id="7" w:name="TAKZIV3_1"/>
      <w:r w:rsidR="008B2978">
        <w:rPr>
          <w:rFonts w:cs="FrankRuehl"/>
          <w:sz w:val="26"/>
          <w:szCs w:val="26"/>
          <w:rtl/>
        </w:rPr>
        <w:t>16</w:t>
      </w:r>
      <w:bookmarkEnd w:id="7"/>
      <w:r w:rsidRPr="000A3FA0">
        <w:rPr>
          <w:rFonts w:cs="FrankRuehl"/>
          <w:sz w:val="26"/>
          <w:szCs w:val="26"/>
          <w:rtl/>
        </w:rPr>
        <w:t xml:space="preserve"> - </w:t>
      </w:r>
      <w:bookmarkStart w:id="8" w:name="TAKZIV6_2"/>
      <w:r w:rsidR="008B2978">
        <w:rPr>
          <w:rFonts w:cs="FrankRuehl"/>
          <w:sz w:val="26"/>
          <w:szCs w:val="26"/>
          <w:rtl/>
        </w:rPr>
        <w:t>הוצאות חירום אזרחיות</w:t>
      </w:r>
      <w:bookmarkEnd w:id="8"/>
      <w:r w:rsidRPr="000A3FA0">
        <w:rPr>
          <w:rFonts w:cs="FrankRuehl"/>
          <w:sz w:val="26"/>
          <w:szCs w:val="26"/>
          <w:rtl/>
        </w:rPr>
        <w:t xml:space="preserve"> משנת הכספים </w:t>
      </w:r>
      <w:bookmarkStart w:id="9" w:name="TAKZIV2_1"/>
      <w:r w:rsidR="008B2978">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8B2978">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07792B">
        <w:rPr>
          <w:rFonts w:cs="FrankRuehl" w:hint="cs"/>
          <w:sz w:val="26"/>
          <w:szCs w:val="26"/>
          <w:rtl/>
        </w:rPr>
        <w:t xml:space="preserve"> </w:t>
      </w:r>
      <w:r w:rsidRPr="000A3FA0">
        <w:rPr>
          <w:rFonts w:cs="FrankRuehl"/>
          <w:sz w:val="26"/>
          <w:szCs w:val="26"/>
          <w:rtl/>
        </w:rPr>
        <w:t>כמפורט בתדפיס המצורף בזה.</w:t>
      </w:r>
    </w:p>
    <w:p w14:paraId="082B3C92" w14:textId="44E72C96" w:rsidR="0051496B" w:rsidRDefault="0051496B" w:rsidP="0007792B">
      <w:pPr>
        <w:jc w:val="both"/>
        <w:rPr>
          <w:rFonts w:cs="FrankRuehl"/>
          <w:sz w:val="26"/>
          <w:szCs w:val="26"/>
          <w:rtl/>
        </w:rPr>
      </w:pPr>
    </w:p>
    <w:p w14:paraId="5FC26F7B" w14:textId="77777777" w:rsidR="0007792B" w:rsidRDefault="0007792B" w:rsidP="0007792B">
      <w:pPr>
        <w:jc w:val="both"/>
        <w:rPr>
          <w:rFonts w:ascii="FrankRuehl" w:hAnsi="FrankRuehl" w:cs="FrankRuehl"/>
          <w:b/>
          <w:bCs/>
          <w:color w:val="000000"/>
          <w:sz w:val="26"/>
          <w:szCs w:val="26"/>
          <w:lang w:eastAsia="en-US"/>
        </w:rPr>
      </w:pPr>
      <w:r>
        <w:rPr>
          <w:rFonts w:ascii="FrankRuehl" w:hAnsi="FrankRuehl" w:cs="FrankRuehl"/>
          <w:b/>
          <w:bCs/>
          <w:color w:val="000000"/>
          <w:sz w:val="26"/>
          <w:szCs w:val="26"/>
          <w:rtl/>
        </w:rPr>
        <w:t xml:space="preserve">הבקשה דנה בסעיף תקציבי:  </w:t>
      </w:r>
      <w:r>
        <w:rPr>
          <w:rFonts w:ascii="FrankRuehl" w:hAnsi="FrankRuehl" w:cs="FrankRuehl"/>
          <w:color w:val="000000"/>
          <w:sz w:val="26"/>
          <w:szCs w:val="26"/>
          <w:rtl/>
        </w:rPr>
        <w:t>16 - הוצאות חירום אזרחיות</w:t>
      </w:r>
    </w:p>
    <w:p w14:paraId="413BAC15" w14:textId="77777777" w:rsidR="0007792B" w:rsidRDefault="0007792B" w:rsidP="0007792B">
      <w:pPr>
        <w:jc w:val="both"/>
        <w:rPr>
          <w:rFonts w:ascii="FrankRuehl" w:hAnsi="FrankRuehl" w:cs="FrankRuehl"/>
          <w:b/>
          <w:bCs/>
          <w:color w:val="000000"/>
          <w:sz w:val="26"/>
          <w:szCs w:val="26"/>
        </w:rPr>
      </w:pPr>
    </w:p>
    <w:p w14:paraId="294578C6" w14:textId="77777777" w:rsidR="0007792B" w:rsidRDefault="0007792B" w:rsidP="0007792B">
      <w:pPr>
        <w:jc w:val="both"/>
        <w:rPr>
          <w:rFonts w:ascii="FrankRuehl" w:hAnsi="FrankRuehl" w:cs="FrankRuehl"/>
          <w:b/>
          <w:bCs/>
          <w:color w:val="000000"/>
          <w:sz w:val="26"/>
          <w:szCs w:val="26"/>
        </w:rPr>
      </w:pPr>
      <w:r>
        <w:rPr>
          <w:rFonts w:ascii="FrankRuehl" w:hAnsi="FrankRuehl" w:cs="FrankRuehl"/>
          <w:b/>
          <w:bCs/>
          <w:color w:val="000000"/>
          <w:sz w:val="26"/>
          <w:szCs w:val="26"/>
          <w:rtl/>
        </w:rPr>
        <w:t>עיקרי הפנייה:</w:t>
      </w:r>
    </w:p>
    <w:p w14:paraId="693700EB" w14:textId="77777777" w:rsidR="0007792B" w:rsidRDefault="0007792B" w:rsidP="0007792B">
      <w:pPr>
        <w:jc w:val="both"/>
        <w:rPr>
          <w:rFonts w:ascii="FrankRuehl" w:hAnsi="FrankRuehl" w:cs="FrankRuehl"/>
          <w:color w:val="000000"/>
          <w:sz w:val="26"/>
          <w:szCs w:val="26"/>
        </w:rPr>
      </w:pPr>
      <w:r>
        <w:rPr>
          <w:rFonts w:ascii="FrankRuehl" w:hAnsi="FrankRuehl" w:cs="FrankRuehl"/>
          <w:color w:val="000000"/>
          <w:sz w:val="26"/>
          <w:szCs w:val="26"/>
          <w:rtl/>
        </w:rPr>
        <w:t xml:space="preserve">הפנייה התקציבית נועדה להעברת עודפים משנת התקציב 2025 לשימוש בשנת התקציב 2026 בסך של </w:t>
      </w:r>
      <w:r>
        <w:rPr>
          <w:rFonts w:cs="FrankRuehl"/>
          <w:sz w:val="26"/>
          <w:szCs w:val="26"/>
          <w:rtl/>
        </w:rPr>
        <w:t xml:space="preserve">166,797 </w:t>
      </w:r>
      <w:r>
        <w:rPr>
          <w:rFonts w:ascii="FrankRuehl" w:hAnsi="FrankRuehl" w:cs="FrankRuehl"/>
          <w:color w:val="000000"/>
          <w:sz w:val="26"/>
          <w:szCs w:val="26"/>
          <w:rtl/>
        </w:rPr>
        <w:t>אלפי ש"ח בהוצאה לתוכניות התקציב הבאות, שעיקרן כפי שמפורט להלן:</w:t>
      </w:r>
    </w:p>
    <w:p w14:paraId="7E2B3206" w14:textId="77777777" w:rsidR="0007792B" w:rsidRDefault="0007792B" w:rsidP="0007792B">
      <w:pPr>
        <w:jc w:val="both"/>
        <w:rPr>
          <w:rFonts w:ascii="FrankRuehl" w:hAnsi="FrankRuehl" w:cs="FrankRuehl"/>
          <w:color w:val="000000"/>
          <w:sz w:val="26"/>
          <w:szCs w:val="26"/>
          <w:rtl/>
        </w:rPr>
      </w:pPr>
    </w:p>
    <w:p w14:paraId="5A2B1DA5" w14:textId="77777777" w:rsidR="0007792B" w:rsidRDefault="0007792B" w:rsidP="0007792B">
      <w:pPr>
        <w:jc w:val="both"/>
        <w:rPr>
          <w:rFonts w:ascii="FrankRuehl" w:hAnsi="FrankRuehl" w:cs="FrankRuehl"/>
          <w:b/>
          <w:bCs/>
          <w:color w:val="000000"/>
          <w:sz w:val="26"/>
          <w:szCs w:val="26"/>
        </w:rPr>
      </w:pPr>
      <w:r>
        <w:rPr>
          <w:rFonts w:ascii="FrankRuehl" w:hAnsi="FrankRuehl" w:cs="FrankRuehl"/>
          <w:b/>
          <w:bCs/>
          <w:color w:val="000000"/>
          <w:sz w:val="26"/>
          <w:szCs w:val="26"/>
          <w:rtl/>
        </w:rPr>
        <w:t>תכנית 161303: מענה לאיום בלתי קונבנציונאלי גילוי וזיהוי – 1,754 אלפי ש"ח</w:t>
      </w:r>
    </w:p>
    <w:p w14:paraId="431D1A62" w14:textId="77777777" w:rsidR="0007792B" w:rsidRDefault="0007792B" w:rsidP="0007792B">
      <w:pPr>
        <w:jc w:val="both"/>
        <w:rPr>
          <w:rFonts w:ascii="FrankRuehl" w:hAnsi="FrankRuehl" w:cs="FrankRuehl"/>
          <w:color w:val="000000"/>
          <w:sz w:val="26"/>
          <w:szCs w:val="26"/>
          <w:rtl/>
        </w:rPr>
      </w:pPr>
      <w:r>
        <w:rPr>
          <w:rFonts w:ascii="FrankRuehl" w:hAnsi="FrankRuehl" w:cs="FrankRuehl"/>
          <w:b/>
          <w:bCs/>
          <w:color w:val="000000"/>
          <w:sz w:val="26"/>
          <w:szCs w:val="26"/>
          <w:rtl/>
        </w:rPr>
        <w:t xml:space="preserve">תיאור </w:t>
      </w:r>
      <w:proofErr w:type="spellStart"/>
      <w:r>
        <w:rPr>
          <w:rFonts w:ascii="FrankRuehl" w:hAnsi="FrankRuehl" w:cs="FrankRuehl"/>
          <w:b/>
          <w:bCs/>
          <w:color w:val="000000"/>
          <w:sz w:val="26"/>
          <w:szCs w:val="26"/>
          <w:rtl/>
        </w:rPr>
        <w:t>התכנית</w:t>
      </w:r>
      <w:proofErr w:type="spellEnd"/>
      <w:r>
        <w:rPr>
          <w:rFonts w:ascii="FrankRuehl" w:hAnsi="FrankRuehl" w:cs="FrankRuehl"/>
          <w:b/>
          <w:bCs/>
          <w:color w:val="000000"/>
          <w:sz w:val="26"/>
          <w:szCs w:val="26"/>
          <w:rtl/>
        </w:rPr>
        <w:t xml:space="preserve">: </w:t>
      </w:r>
      <w:proofErr w:type="spellStart"/>
      <w:r>
        <w:rPr>
          <w:rFonts w:ascii="FrankRuehl" w:eastAsia="FrankRuehl" w:hAnsi="FrankRuehl" w:cs="FrankRuehl"/>
          <w:color w:val="000000"/>
          <w:sz w:val="26"/>
          <w:szCs w:val="26"/>
          <w:rtl/>
        </w:rPr>
        <w:t>בתכנית</w:t>
      </w:r>
      <w:proofErr w:type="spellEnd"/>
      <w:r>
        <w:rPr>
          <w:rFonts w:ascii="FrankRuehl" w:eastAsia="FrankRuehl" w:hAnsi="FrankRuehl" w:cs="FrankRuehl"/>
          <w:color w:val="000000"/>
          <w:sz w:val="26"/>
          <w:szCs w:val="26"/>
          <w:rtl/>
        </w:rPr>
        <w:t xml:space="preserve"> זו מתוקצבת הפעילות להכנת עורף מדינת ישראל</w:t>
      </w:r>
      <w:r>
        <w:rPr>
          <w:rFonts w:ascii="FrankRuehl" w:eastAsia="FrankRuehl" w:hAnsi="FrankRuehl" w:cs="Times New Roman" w:hint="cs"/>
          <w:color w:val="000000"/>
          <w:sz w:val="26"/>
          <w:szCs w:val="26"/>
          <w:rtl/>
        </w:rPr>
        <w:t xml:space="preserve"> </w:t>
      </w:r>
      <w:r>
        <w:rPr>
          <w:rFonts w:ascii="FrankRuehl" w:eastAsia="FrankRuehl" w:hAnsi="FrankRuehl" w:cs="FrankRuehl"/>
          <w:color w:val="000000"/>
          <w:sz w:val="26"/>
          <w:szCs w:val="26"/>
          <w:rtl/>
        </w:rPr>
        <w:t>להתמודדות עם איומים בלתי קונבנציונליים. פעילות זו כוללת רכש של תרופות שיסייעו</w:t>
      </w:r>
      <w:r>
        <w:rPr>
          <w:rFonts w:ascii="FrankRuehl" w:eastAsia="FrankRuehl" w:hAnsi="FrankRuehl" w:cs="Times New Roman" w:hint="cs"/>
          <w:color w:val="000000"/>
          <w:sz w:val="26"/>
          <w:szCs w:val="26"/>
          <w:rtl/>
        </w:rPr>
        <w:t xml:space="preserve"> </w:t>
      </w:r>
      <w:r>
        <w:rPr>
          <w:rFonts w:ascii="FrankRuehl" w:eastAsia="FrankRuehl" w:hAnsi="FrankRuehl" w:cs="FrankRuehl"/>
          <w:color w:val="000000"/>
          <w:sz w:val="26"/>
          <w:szCs w:val="26"/>
          <w:rtl/>
        </w:rPr>
        <w:t>במתן מענה רפואי לאוכלוסייה בעת מתקפה בלתי קונבנציונאלית וכן לאחסנתן. בנוסף,</w:t>
      </w:r>
      <w:r>
        <w:rPr>
          <w:rFonts w:ascii="FrankRuehl" w:eastAsia="FrankRuehl" w:hAnsi="FrankRuehl" w:cs="Times New Roman" w:hint="cs"/>
          <w:color w:val="000000"/>
          <w:sz w:val="26"/>
          <w:szCs w:val="26"/>
          <w:rtl/>
        </w:rPr>
        <w:t xml:space="preserve"> </w:t>
      </w:r>
      <w:r>
        <w:rPr>
          <w:rFonts w:ascii="FrankRuehl" w:eastAsia="FrankRuehl" w:hAnsi="FrankRuehl" w:cs="FrankRuehl"/>
          <w:color w:val="000000"/>
          <w:sz w:val="26"/>
          <w:szCs w:val="26"/>
          <w:rtl/>
        </w:rPr>
        <w:t>מתבצע רכש ציוד למגיבים ראשונים הכולל אמצעי גילוי וזיהוי חומרי אב</w:t>
      </w:r>
      <w:r>
        <w:rPr>
          <w:rFonts w:ascii="FrankRuehl" w:eastAsia="FrankRuehl" w:hAnsi="FrankRuehl" w:cs="Times New Roman" w:hint="cs"/>
          <w:color w:val="000000"/>
          <w:sz w:val="26"/>
          <w:szCs w:val="26"/>
          <w:rtl/>
        </w:rPr>
        <w:t>"</w:t>
      </w:r>
      <w:r>
        <w:rPr>
          <w:rFonts w:ascii="FrankRuehl" w:eastAsia="FrankRuehl" w:hAnsi="FrankRuehl" w:cs="FrankRuehl"/>
          <w:color w:val="000000"/>
          <w:sz w:val="26"/>
          <w:szCs w:val="26"/>
          <w:rtl/>
        </w:rPr>
        <w:t>כ</w:t>
      </w:r>
      <w:r>
        <w:rPr>
          <w:rFonts w:ascii="FrankRuehl" w:eastAsia="FrankRuehl" w:hAnsi="FrankRuehl" w:cs="Times New Roman" w:hint="cs"/>
          <w:color w:val="000000"/>
          <w:sz w:val="26"/>
          <w:szCs w:val="26"/>
          <w:rtl/>
        </w:rPr>
        <w:t xml:space="preserve"> </w:t>
      </w:r>
      <w:r>
        <w:rPr>
          <w:rFonts w:ascii="FrankRuehl" w:eastAsia="FrankRuehl" w:hAnsi="FrankRuehl" w:cs="FrankRuehl"/>
          <w:color w:val="000000"/>
          <w:sz w:val="26"/>
          <w:szCs w:val="26"/>
          <w:rtl/>
        </w:rPr>
        <w:t>וציוד למיגון מותאם, וכן שימור קווי הייצור של</w:t>
      </w:r>
      <w:r>
        <w:rPr>
          <w:rFonts w:ascii="FrankRuehl" w:eastAsia="FrankRuehl" w:hAnsi="FrankRuehl" w:cs="Times New Roman" w:hint="cs"/>
          <w:color w:val="000000"/>
          <w:sz w:val="26"/>
          <w:szCs w:val="26"/>
          <w:rtl/>
        </w:rPr>
        <w:t xml:space="preserve"> </w:t>
      </w:r>
      <w:r>
        <w:rPr>
          <w:rFonts w:ascii="FrankRuehl" w:eastAsia="FrankRuehl" w:hAnsi="FrankRuehl" w:cs="FrankRuehl"/>
          <w:color w:val="000000"/>
          <w:sz w:val="26"/>
          <w:szCs w:val="26"/>
          <w:rtl/>
        </w:rPr>
        <w:t>ערכות ומסכות המגן בארץ.</w:t>
      </w:r>
    </w:p>
    <w:p w14:paraId="4E89FA77"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 xml:space="preserve">סיבות מרכזיות בגינן נוצרו עודפים </w:t>
      </w:r>
      <w:proofErr w:type="spellStart"/>
      <w:r>
        <w:rPr>
          <w:rFonts w:ascii="FrankRuehl" w:hAnsi="FrankRuehl" w:cs="FrankRuehl"/>
          <w:b/>
          <w:bCs/>
          <w:color w:val="000000"/>
          <w:sz w:val="26"/>
          <w:szCs w:val="26"/>
          <w:rtl/>
        </w:rPr>
        <w:t>בתכנית</w:t>
      </w:r>
      <w:proofErr w:type="spellEnd"/>
      <w:r>
        <w:rPr>
          <w:rFonts w:ascii="FrankRuehl" w:hAnsi="FrankRuehl" w:cs="FrankRuehl"/>
          <w:b/>
          <w:bCs/>
          <w:color w:val="000000"/>
          <w:sz w:val="26"/>
          <w:szCs w:val="26"/>
          <w:rtl/>
        </w:rPr>
        <w:t>:</w:t>
      </w:r>
    </w:p>
    <w:p w14:paraId="1E5A9168" w14:textId="77777777" w:rsidR="0007792B" w:rsidRDefault="0007792B" w:rsidP="0007792B">
      <w:pPr>
        <w:jc w:val="both"/>
        <w:rPr>
          <w:rFonts w:ascii="FrankRuehl" w:hAnsi="FrankRuehl" w:cs="FrankRuehl"/>
          <w:color w:val="000000"/>
          <w:sz w:val="26"/>
          <w:szCs w:val="26"/>
        </w:rPr>
      </w:pPr>
      <w:r>
        <w:rPr>
          <w:rFonts w:ascii="FrankRuehl" w:hAnsi="FrankRuehl" w:cs="FrankRuehl"/>
          <w:color w:val="000000"/>
          <w:sz w:val="26"/>
          <w:szCs w:val="26"/>
          <w:rtl/>
        </w:rPr>
        <w:t>העודפים מיועדים לכיסוי התחייבויות לתשלום בגין חוזה ערכות המגן, פיתוח והצטיידות בציוד מיגון למגיבים ראשונים, תרופות ותרכיבים, רציפות תפעולית לאחזקת תשתיות מחשוב לרישום וניהול מלאי ערכות המגן. יצוין כי ההתקשרויות הן חוצות שנת תקציב.</w:t>
      </w:r>
    </w:p>
    <w:p w14:paraId="13890505" w14:textId="77777777" w:rsidR="0007792B" w:rsidRDefault="0007792B" w:rsidP="0007792B">
      <w:pPr>
        <w:jc w:val="both"/>
        <w:rPr>
          <w:rFonts w:ascii="FrankRuehl" w:hAnsi="FrankRuehl" w:cs="FrankRuehl"/>
          <w:b/>
          <w:bCs/>
          <w:color w:val="000000"/>
          <w:sz w:val="26"/>
          <w:szCs w:val="26"/>
          <w:rtl/>
        </w:rPr>
      </w:pPr>
    </w:p>
    <w:p w14:paraId="0A925A2D"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תכנית 161602: הקמה ואחזקת מרכיבי ביטחון והתגוננות אזרחית –</w:t>
      </w:r>
      <w:r>
        <w:rPr>
          <w:rtl/>
        </w:rPr>
        <w:t xml:space="preserve"> </w:t>
      </w:r>
      <w:r>
        <w:rPr>
          <w:rFonts w:ascii="FrankRuehl" w:hAnsi="FrankRuehl" w:cs="FrankRuehl"/>
          <w:b/>
          <w:bCs/>
          <w:color w:val="000000"/>
          <w:sz w:val="26"/>
          <w:szCs w:val="26"/>
          <w:rtl/>
        </w:rPr>
        <w:t>116,714 אלפי ש"ח</w:t>
      </w:r>
    </w:p>
    <w:p w14:paraId="2B9A1D28" w14:textId="77777777" w:rsidR="0007792B" w:rsidRDefault="0007792B" w:rsidP="0007792B">
      <w:pPr>
        <w:jc w:val="both"/>
        <w:rPr>
          <w:rFonts w:ascii="FrankRuehl" w:hAnsi="FrankRuehl" w:cs="FrankRuehl"/>
          <w:color w:val="000000"/>
          <w:sz w:val="26"/>
          <w:szCs w:val="26"/>
          <w:rtl/>
        </w:rPr>
      </w:pPr>
      <w:r>
        <w:rPr>
          <w:rFonts w:ascii="FrankRuehl" w:hAnsi="FrankRuehl" w:cs="FrankRuehl"/>
          <w:b/>
          <w:bCs/>
          <w:color w:val="000000"/>
          <w:sz w:val="26"/>
          <w:szCs w:val="26"/>
          <w:rtl/>
        </w:rPr>
        <w:t xml:space="preserve">תיאור </w:t>
      </w:r>
      <w:proofErr w:type="spellStart"/>
      <w:r>
        <w:rPr>
          <w:rFonts w:ascii="FrankRuehl" w:hAnsi="FrankRuehl" w:cs="FrankRuehl"/>
          <w:b/>
          <w:bCs/>
          <w:color w:val="000000"/>
          <w:sz w:val="26"/>
          <w:szCs w:val="26"/>
          <w:rtl/>
        </w:rPr>
        <w:t>התכנית</w:t>
      </w:r>
      <w:proofErr w:type="spellEnd"/>
      <w:r>
        <w:rPr>
          <w:rFonts w:ascii="FrankRuehl" w:hAnsi="FrankRuehl" w:cs="FrankRuehl"/>
          <w:b/>
          <w:bCs/>
          <w:color w:val="000000"/>
          <w:sz w:val="26"/>
          <w:szCs w:val="26"/>
          <w:rtl/>
        </w:rPr>
        <w:t xml:space="preserve">: </w:t>
      </w:r>
      <w:proofErr w:type="spellStart"/>
      <w:r>
        <w:rPr>
          <w:rFonts w:ascii="FrankRuehl" w:hAnsi="FrankRuehl" w:cs="FrankRuehl"/>
          <w:color w:val="000000"/>
          <w:sz w:val="26"/>
          <w:szCs w:val="26"/>
          <w:rtl/>
        </w:rPr>
        <w:t>בתכנית</w:t>
      </w:r>
      <w:proofErr w:type="spellEnd"/>
      <w:r>
        <w:rPr>
          <w:rFonts w:ascii="FrankRuehl" w:hAnsi="FrankRuehl" w:cs="FrankRuehl"/>
          <w:color w:val="000000"/>
          <w:sz w:val="26"/>
          <w:szCs w:val="26"/>
          <w:rtl/>
        </w:rPr>
        <w:t xml:space="preserve"> זו מתוקצבות פעולות ההקמה והאחזקה של מרכיבי ביטחון ביישובים והפעילות לשיפור התגוננות אזרחית. בתחום מרכיבי הביטחון, פיקוד העורף מבצע עבודות הקמה ותחזוקה של מרכיבי ביטחון ביישובים, הכוללים סלילה של דרכי עפר למילוט, הקמת גדרות והאחזקה ושיקום של אמצעי צילום, אמצעי גילוי טכנולוגיים, אמצעי קשר, רכבי ביטחון ואמצעים לכיתות הכוננות, וזאת בהתאם </w:t>
      </w:r>
      <w:proofErr w:type="spellStart"/>
      <w:r>
        <w:rPr>
          <w:rFonts w:ascii="FrankRuehl" w:hAnsi="FrankRuehl" w:cs="FrankRuehl"/>
          <w:color w:val="000000"/>
          <w:sz w:val="26"/>
          <w:szCs w:val="26"/>
          <w:rtl/>
        </w:rPr>
        <w:t>לתכנית</w:t>
      </w:r>
      <w:proofErr w:type="spellEnd"/>
      <w:r>
        <w:rPr>
          <w:rFonts w:ascii="FrankRuehl" w:hAnsi="FrankRuehl" w:cs="FrankRuehl"/>
          <w:color w:val="000000"/>
          <w:sz w:val="26"/>
          <w:szCs w:val="26"/>
          <w:rtl/>
        </w:rPr>
        <w:t xml:space="preserve"> העבודה של פיקוד העורף והיחידה להתיישבות. </w:t>
      </w:r>
    </w:p>
    <w:p w14:paraId="525D52D5" w14:textId="77777777" w:rsidR="0007792B" w:rsidRDefault="0007792B" w:rsidP="0007792B">
      <w:pPr>
        <w:jc w:val="both"/>
        <w:rPr>
          <w:rFonts w:ascii="Calibri" w:hAnsi="Calibri" w:cs="FrankRuehl"/>
          <w:color w:val="000000"/>
          <w:sz w:val="26"/>
          <w:szCs w:val="26"/>
          <w:rtl/>
        </w:rPr>
      </w:pPr>
      <w:r>
        <w:rPr>
          <w:rFonts w:ascii="FrankRuehl" w:hAnsi="FrankRuehl" w:cs="FrankRuehl"/>
          <w:color w:val="000000"/>
          <w:sz w:val="26"/>
          <w:szCs w:val="26"/>
          <w:rtl/>
        </w:rPr>
        <w:t>בתחום ההתגוננות האזרחית פיקוד העורף פועל בשלושה תחומים עיקריים: התרעה וצפירה - אחזקה והוספת צופרים, שדרוג ותחזוקת מערכות צפירה ומערכות להפצת התרעה באמצעים נוספים (סלולר, אינטרנט, רדיו ועוד); מיגון שיקום ושיפוץ מקלטים ורכש אמצעי מיגון והפעלת מערך הרגולציה בתחום המיגון; מערך אוכלוסייה - אימוני חירום לרשויות מקומיות והסברה לאוכלוסייה לשעת חירום</w:t>
      </w:r>
      <w:r>
        <w:rPr>
          <w:rFonts w:ascii="FrankRuehl" w:hAnsi="FrankRuehl" w:cs="FrankRuehl"/>
          <w:color w:val="000000"/>
          <w:sz w:val="26"/>
          <w:szCs w:val="26"/>
        </w:rPr>
        <w:t>.</w:t>
      </w:r>
    </w:p>
    <w:p w14:paraId="613FA445"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 xml:space="preserve">סיבות מרכזיות בגינן נוצרו עודפים </w:t>
      </w:r>
      <w:proofErr w:type="spellStart"/>
      <w:r>
        <w:rPr>
          <w:rFonts w:ascii="FrankRuehl" w:hAnsi="FrankRuehl" w:cs="FrankRuehl"/>
          <w:b/>
          <w:bCs/>
          <w:color w:val="000000"/>
          <w:sz w:val="26"/>
          <w:szCs w:val="26"/>
          <w:rtl/>
        </w:rPr>
        <w:t>בתכנית</w:t>
      </w:r>
      <w:proofErr w:type="spellEnd"/>
      <w:r>
        <w:rPr>
          <w:rFonts w:ascii="FrankRuehl" w:hAnsi="FrankRuehl" w:cs="FrankRuehl"/>
          <w:b/>
          <w:bCs/>
          <w:color w:val="000000"/>
          <w:sz w:val="26"/>
          <w:szCs w:val="26"/>
          <w:rtl/>
        </w:rPr>
        <w:t>:</w:t>
      </w:r>
    </w:p>
    <w:p w14:paraId="618DE4AC" w14:textId="77777777" w:rsidR="0007792B" w:rsidRDefault="0007792B" w:rsidP="0007792B">
      <w:pPr>
        <w:jc w:val="both"/>
        <w:rPr>
          <w:rFonts w:ascii="FrankRuehl" w:hAnsi="FrankRuehl" w:cs="FrankRuehl"/>
          <w:color w:val="000000"/>
          <w:sz w:val="26"/>
          <w:szCs w:val="26"/>
          <w:rtl/>
        </w:rPr>
      </w:pPr>
      <w:r>
        <w:rPr>
          <w:rFonts w:ascii="FrankRuehl" w:hAnsi="FrankRuehl" w:cs="FrankRuehl"/>
          <w:color w:val="000000"/>
          <w:sz w:val="26"/>
          <w:szCs w:val="26"/>
          <w:rtl/>
        </w:rPr>
        <w:t xml:space="preserve">העודפים מיועדים לכיסוי התחייבויות לתשלום בגין אחזקת מערכות התרעה </w:t>
      </w:r>
      <w:proofErr w:type="spellStart"/>
      <w:r>
        <w:rPr>
          <w:rFonts w:ascii="FrankRuehl" w:hAnsi="FrankRuehl" w:cs="FrankRuehl"/>
          <w:color w:val="000000"/>
          <w:sz w:val="26"/>
          <w:szCs w:val="26"/>
          <w:rtl/>
        </w:rPr>
        <w:t>ושו"ב</w:t>
      </w:r>
      <w:proofErr w:type="spellEnd"/>
      <w:r>
        <w:rPr>
          <w:rFonts w:ascii="FrankRuehl" w:hAnsi="FrankRuehl" w:cs="FrankRuehl"/>
          <w:color w:val="000000"/>
          <w:sz w:val="26"/>
          <w:szCs w:val="26"/>
          <w:rtl/>
        </w:rPr>
        <w:t>, מנהלת האימונים של פיקוד העורף, שיקום מקלטים, שיקום והקמה של מרכיבי ביטחון, העתקת מרכיבי ביטחון בהרחבות יישובים ואחזקת מרכיבי ביטחון. יצוין כי התקשרויות הן חוצות שנת תקציב.</w:t>
      </w:r>
    </w:p>
    <w:p w14:paraId="2E3AD0AC"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lastRenderedPageBreak/>
        <w:t>תכנית 161603: מיגון – 14,019 אלפי ש"ח</w:t>
      </w:r>
    </w:p>
    <w:p w14:paraId="21642A1B"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 xml:space="preserve">תיאור </w:t>
      </w:r>
      <w:proofErr w:type="spellStart"/>
      <w:r>
        <w:rPr>
          <w:rFonts w:ascii="FrankRuehl" w:hAnsi="FrankRuehl" w:cs="FrankRuehl"/>
          <w:b/>
          <w:bCs/>
          <w:color w:val="000000"/>
          <w:sz w:val="26"/>
          <w:szCs w:val="26"/>
          <w:rtl/>
        </w:rPr>
        <w:t>התכנית</w:t>
      </w:r>
      <w:proofErr w:type="spellEnd"/>
      <w:r>
        <w:rPr>
          <w:rFonts w:ascii="FrankRuehl" w:hAnsi="FrankRuehl" w:cs="FrankRuehl"/>
          <w:b/>
          <w:bCs/>
          <w:color w:val="000000"/>
          <w:sz w:val="26"/>
          <w:szCs w:val="26"/>
          <w:rtl/>
        </w:rPr>
        <w:t xml:space="preserve">: </w:t>
      </w:r>
      <w:r>
        <w:rPr>
          <w:rFonts w:cs="FrankRuehl"/>
          <w:color w:val="000000"/>
          <w:sz w:val="26"/>
          <w:szCs w:val="26"/>
          <w:rtl/>
        </w:rPr>
        <w:t>התוכנית מיועדת לתקצוב פרויקטים בתחומי המיגון המבוצעים למול תקציבים ייעודיים תוספתיים: מיגון הניוד ביהודה ושומרון - מיגון רכבי הסעות לתלמידים, תחבורה ציבורית ורכבי רכזי ביטחון שוטף ממוגנים ומיגון תשתיות לאומיות - פרויקטים למיגון מתקנים אסטרטגיים ותשתיות לאומיות אשר מטרתם לשפר את הרציפות התפקודית של משק האנרגיה בשעת חירום. הפרויקטים מבוצעים על בסיס הכנסות מחברת החשמל וחברת נתיבי גז טבעי לישראל בע"מ.</w:t>
      </w:r>
    </w:p>
    <w:p w14:paraId="1AB01C90"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 xml:space="preserve">סיבות מרכזיות בגינן נוצרו עודפים </w:t>
      </w:r>
      <w:proofErr w:type="spellStart"/>
      <w:r>
        <w:rPr>
          <w:rFonts w:ascii="FrankRuehl" w:hAnsi="FrankRuehl" w:cs="FrankRuehl"/>
          <w:b/>
          <w:bCs/>
          <w:color w:val="000000"/>
          <w:sz w:val="26"/>
          <w:szCs w:val="26"/>
          <w:rtl/>
        </w:rPr>
        <w:t>בתכנית</w:t>
      </w:r>
      <w:proofErr w:type="spellEnd"/>
      <w:r>
        <w:rPr>
          <w:rFonts w:ascii="FrankRuehl" w:hAnsi="FrankRuehl" w:cs="FrankRuehl"/>
          <w:b/>
          <w:bCs/>
          <w:color w:val="000000"/>
          <w:sz w:val="26"/>
          <w:szCs w:val="26"/>
          <w:rtl/>
        </w:rPr>
        <w:t>:</w:t>
      </w:r>
    </w:p>
    <w:p w14:paraId="7144701D" w14:textId="77777777" w:rsidR="0007792B" w:rsidRDefault="0007792B" w:rsidP="0007792B">
      <w:pPr>
        <w:jc w:val="both"/>
        <w:rPr>
          <w:rFonts w:ascii="FrankRuehl" w:hAnsi="FrankRuehl" w:cs="FrankRuehl"/>
          <w:color w:val="000000"/>
          <w:sz w:val="26"/>
          <w:szCs w:val="26"/>
          <w:rtl/>
        </w:rPr>
      </w:pPr>
      <w:proofErr w:type="spellStart"/>
      <w:r>
        <w:rPr>
          <w:rFonts w:ascii="FrankRuehl" w:hAnsi="FrankRuehl" w:cs="FrankRuehl"/>
          <w:color w:val="000000"/>
          <w:sz w:val="26"/>
          <w:szCs w:val="26"/>
          <w:rtl/>
        </w:rPr>
        <w:t>בתכנית</w:t>
      </w:r>
      <w:proofErr w:type="spellEnd"/>
      <w:r>
        <w:rPr>
          <w:rFonts w:ascii="FrankRuehl" w:hAnsi="FrankRuehl" w:cs="FrankRuehl"/>
          <w:color w:val="000000"/>
          <w:sz w:val="26"/>
          <w:szCs w:val="26"/>
          <w:rtl/>
        </w:rPr>
        <w:t xml:space="preserve"> זו נוצרו עודפים בתקציב </w:t>
      </w:r>
      <w:proofErr w:type="spellStart"/>
      <w:r>
        <w:rPr>
          <w:rFonts w:ascii="FrankRuehl" w:hAnsi="FrankRuehl" w:cs="FrankRuehl"/>
          <w:color w:val="000000"/>
          <w:sz w:val="26"/>
          <w:szCs w:val="26"/>
          <w:rtl/>
        </w:rPr>
        <w:t>פרויקטי</w:t>
      </w:r>
      <w:proofErr w:type="spellEnd"/>
      <w:r>
        <w:rPr>
          <w:rFonts w:ascii="FrankRuehl" w:hAnsi="FrankRuehl" w:cs="FrankRuehl"/>
          <w:color w:val="000000"/>
          <w:sz w:val="26"/>
          <w:szCs w:val="26"/>
          <w:rtl/>
        </w:rPr>
        <w:t xml:space="preserve"> מיגון הניוד ביהודה ושומרון בהתאם לקצב התשלומים בפרויקטים שהם חוצי שנת תקציב.</w:t>
      </w:r>
    </w:p>
    <w:p w14:paraId="698E0464" w14:textId="77777777" w:rsidR="0007792B" w:rsidRDefault="0007792B" w:rsidP="0007792B">
      <w:pPr>
        <w:jc w:val="both"/>
        <w:rPr>
          <w:rFonts w:ascii="FrankRuehl" w:hAnsi="FrankRuehl" w:cs="FrankRuehl"/>
          <w:b/>
          <w:bCs/>
          <w:color w:val="000000"/>
          <w:sz w:val="26"/>
          <w:szCs w:val="26"/>
          <w:rtl/>
        </w:rPr>
      </w:pPr>
    </w:p>
    <w:p w14:paraId="084B53E9"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תכנית 161605: מיגון העורף – 24,496 אלפי ש"ח</w:t>
      </w:r>
    </w:p>
    <w:p w14:paraId="4CDED47B" w14:textId="77777777" w:rsidR="0007792B" w:rsidRDefault="0007792B" w:rsidP="0007792B">
      <w:pPr>
        <w:jc w:val="both"/>
        <w:rPr>
          <w:rFonts w:ascii="Calibri" w:hAnsi="Calibri" w:cs="FrankRuehl"/>
          <w:color w:val="000000"/>
          <w:sz w:val="26"/>
          <w:szCs w:val="26"/>
          <w:rtl/>
        </w:rPr>
      </w:pPr>
      <w:r>
        <w:rPr>
          <w:rFonts w:ascii="FrankRuehl" w:hAnsi="FrankRuehl" w:cs="FrankRuehl"/>
          <w:b/>
          <w:bCs/>
          <w:color w:val="000000"/>
          <w:sz w:val="26"/>
          <w:szCs w:val="26"/>
          <w:rtl/>
        </w:rPr>
        <w:t xml:space="preserve">תיאור </w:t>
      </w:r>
      <w:proofErr w:type="spellStart"/>
      <w:r>
        <w:rPr>
          <w:rFonts w:ascii="FrankRuehl" w:hAnsi="FrankRuehl" w:cs="FrankRuehl"/>
          <w:b/>
          <w:bCs/>
          <w:color w:val="000000"/>
          <w:sz w:val="26"/>
          <w:szCs w:val="26"/>
          <w:rtl/>
        </w:rPr>
        <w:t>התכנית</w:t>
      </w:r>
      <w:proofErr w:type="spellEnd"/>
      <w:r>
        <w:rPr>
          <w:rFonts w:ascii="FrankRuehl" w:hAnsi="FrankRuehl" w:cs="FrankRuehl"/>
          <w:b/>
          <w:bCs/>
          <w:color w:val="000000"/>
          <w:sz w:val="26"/>
          <w:szCs w:val="26"/>
          <w:rtl/>
        </w:rPr>
        <w:t xml:space="preserve">: </w:t>
      </w:r>
      <w:r>
        <w:rPr>
          <w:rFonts w:ascii="FrankRuehl" w:hAnsi="FrankRuehl" w:cs="FrankRuehl"/>
          <w:color w:val="000000"/>
          <w:sz w:val="26"/>
          <w:szCs w:val="26"/>
          <w:rtl/>
        </w:rPr>
        <w:t xml:space="preserve">תכנית זו מיועדת </w:t>
      </w:r>
      <w:proofErr w:type="spellStart"/>
      <w:r>
        <w:rPr>
          <w:rFonts w:ascii="FrankRuehl" w:hAnsi="FrankRuehl" w:cs="FrankRuehl"/>
          <w:color w:val="000000"/>
          <w:sz w:val="26"/>
          <w:szCs w:val="26"/>
          <w:rtl/>
        </w:rPr>
        <w:t>לפרוייקט</w:t>
      </w:r>
      <w:proofErr w:type="spellEnd"/>
      <w:r>
        <w:rPr>
          <w:rFonts w:ascii="FrankRuehl" w:hAnsi="FrankRuehl" w:cs="FrankRuehl"/>
          <w:color w:val="000000"/>
          <w:sz w:val="26"/>
          <w:szCs w:val="26"/>
          <w:rtl/>
        </w:rPr>
        <w:t xml:space="preserve"> לאומי למיגון במסגרת תכנית מגן העורף. </w:t>
      </w:r>
      <w:proofErr w:type="spellStart"/>
      <w:r>
        <w:rPr>
          <w:rFonts w:ascii="FrankRuehl" w:hAnsi="FrankRuehl" w:cs="FrankRuehl"/>
          <w:color w:val="000000"/>
          <w:sz w:val="26"/>
          <w:szCs w:val="26"/>
          <w:rtl/>
        </w:rPr>
        <w:t>התכנית</w:t>
      </w:r>
      <w:proofErr w:type="spellEnd"/>
      <w:r>
        <w:rPr>
          <w:rFonts w:ascii="FrankRuehl" w:hAnsi="FrankRuehl" w:cs="FrankRuehl"/>
          <w:color w:val="000000"/>
          <w:sz w:val="26"/>
          <w:szCs w:val="26"/>
          <w:rtl/>
        </w:rPr>
        <w:t xml:space="preserve"> מיישמת את החלטת וועדת השרים לענייני ביטחון לאומי מספר ב/302 מיום 16 ביולי 2018, שעיקרה "מוכנות העורף האזרחי למצבי חירום", הכוללת מענה למיגון פרטי (ממ"דים, </w:t>
      </w:r>
      <w:proofErr w:type="spellStart"/>
      <w:r>
        <w:rPr>
          <w:rFonts w:ascii="FrankRuehl" w:hAnsi="FrankRuehl" w:cs="FrankRuehl"/>
          <w:color w:val="000000"/>
          <w:sz w:val="26"/>
          <w:szCs w:val="26"/>
          <w:rtl/>
        </w:rPr>
        <w:t>ממ"קים</w:t>
      </w:r>
      <w:proofErr w:type="spellEnd"/>
      <w:r>
        <w:rPr>
          <w:rFonts w:ascii="FrankRuehl" w:hAnsi="FrankRuehl" w:cs="FrankRuehl"/>
          <w:color w:val="000000"/>
          <w:sz w:val="26"/>
          <w:szCs w:val="26"/>
          <w:rtl/>
        </w:rPr>
        <w:t xml:space="preserve">) </w:t>
      </w:r>
      <w:proofErr w:type="spellStart"/>
      <w:r>
        <w:rPr>
          <w:rFonts w:ascii="FrankRuehl" w:hAnsi="FrankRuehl" w:cs="FrankRuehl"/>
          <w:color w:val="000000"/>
          <w:sz w:val="26"/>
          <w:szCs w:val="26"/>
          <w:rtl/>
        </w:rPr>
        <w:t>באיזור</w:t>
      </w:r>
      <w:proofErr w:type="spellEnd"/>
      <w:r>
        <w:rPr>
          <w:rFonts w:ascii="FrankRuehl" w:hAnsi="FrankRuehl" w:cs="FrankRuehl"/>
          <w:color w:val="000000"/>
          <w:sz w:val="26"/>
          <w:szCs w:val="26"/>
          <w:rtl/>
        </w:rPr>
        <w:t xml:space="preserve"> קו העימות בצפון הארץ וכן שיפוץ מקלטים פרטיים וציבוריים, מיגון מרחבי (</w:t>
      </w:r>
      <w:proofErr w:type="spellStart"/>
      <w:r>
        <w:rPr>
          <w:rFonts w:ascii="FrankRuehl" w:hAnsi="FrankRuehl" w:cs="FrankRuehl"/>
          <w:color w:val="000000"/>
          <w:sz w:val="26"/>
          <w:szCs w:val="26"/>
          <w:rtl/>
        </w:rPr>
        <w:t>מיגוניות</w:t>
      </w:r>
      <w:proofErr w:type="spellEnd"/>
      <w:r>
        <w:rPr>
          <w:rFonts w:ascii="FrankRuehl" w:hAnsi="FrankRuehl" w:cs="FrankRuehl"/>
          <w:color w:val="000000"/>
          <w:sz w:val="26"/>
          <w:szCs w:val="26"/>
          <w:rtl/>
        </w:rPr>
        <w:t>) ומיגון מוסדות בריאות, חינוך ורווחה, ביישובי הצפון והדרום</w:t>
      </w:r>
      <w:r>
        <w:rPr>
          <w:rFonts w:ascii="Calibri" w:hAnsi="Calibri" w:cs="FrankRuehl"/>
          <w:color w:val="000000"/>
          <w:sz w:val="26"/>
          <w:szCs w:val="26"/>
          <w:rtl/>
        </w:rPr>
        <w:t>.</w:t>
      </w:r>
    </w:p>
    <w:p w14:paraId="1B8A4D6D"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 xml:space="preserve">סיבות מרכזיות בגינן נוצרו עודפים </w:t>
      </w:r>
      <w:proofErr w:type="spellStart"/>
      <w:r>
        <w:rPr>
          <w:rFonts w:ascii="FrankRuehl" w:hAnsi="FrankRuehl" w:cs="FrankRuehl"/>
          <w:b/>
          <w:bCs/>
          <w:color w:val="000000"/>
          <w:sz w:val="26"/>
          <w:szCs w:val="26"/>
          <w:rtl/>
        </w:rPr>
        <w:t>בתכנית</w:t>
      </w:r>
      <w:proofErr w:type="spellEnd"/>
      <w:r>
        <w:rPr>
          <w:rFonts w:ascii="FrankRuehl" w:hAnsi="FrankRuehl" w:cs="FrankRuehl"/>
          <w:b/>
          <w:bCs/>
          <w:color w:val="000000"/>
          <w:sz w:val="26"/>
          <w:szCs w:val="26"/>
          <w:rtl/>
        </w:rPr>
        <w:t>:</w:t>
      </w:r>
    </w:p>
    <w:p w14:paraId="23C900CD" w14:textId="77777777" w:rsidR="0007792B" w:rsidRDefault="0007792B" w:rsidP="0007792B">
      <w:pPr>
        <w:jc w:val="both"/>
        <w:rPr>
          <w:rFonts w:ascii="FrankRuehl" w:hAnsi="FrankRuehl" w:cs="FrankRuehl"/>
          <w:color w:val="000000"/>
          <w:sz w:val="26"/>
          <w:szCs w:val="26"/>
          <w:rtl/>
        </w:rPr>
      </w:pPr>
      <w:proofErr w:type="spellStart"/>
      <w:r>
        <w:rPr>
          <w:rFonts w:ascii="FrankRuehl" w:hAnsi="FrankRuehl" w:cs="FrankRuehl"/>
          <w:color w:val="000000"/>
          <w:sz w:val="26"/>
          <w:szCs w:val="26"/>
          <w:rtl/>
        </w:rPr>
        <w:t>בתכניות</w:t>
      </w:r>
      <w:proofErr w:type="spellEnd"/>
      <w:r>
        <w:rPr>
          <w:rFonts w:ascii="FrankRuehl" w:hAnsi="FrankRuehl" w:cs="FrankRuehl"/>
          <w:color w:val="000000"/>
          <w:sz w:val="26"/>
          <w:szCs w:val="26"/>
          <w:rtl/>
        </w:rPr>
        <w:t xml:space="preserve"> למיגון הצפון התשלומים מתבצעים בהתאם לקצב התקדמות הפרויקטים שהם חוצי שנת תקציב.</w:t>
      </w:r>
    </w:p>
    <w:p w14:paraId="713086C5" w14:textId="77777777" w:rsidR="0007792B" w:rsidRDefault="0007792B" w:rsidP="0007792B">
      <w:pPr>
        <w:jc w:val="both"/>
        <w:rPr>
          <w:rFonts w:ascii="FrankRuehl" w:hAnsi="FrankRuehl" w:cs="FrankRuehl"/>
          <w:b/>
          <w:bCs/>
          <w:color w:val="000000"/>
          <w:sz w:val="26"/>
          <w:szCs w:val="26"/>
          <w:rtl/>
        </w:rPr>
      </w:pPr>
    </w:p>
    <w:p w14:paraId="6DAF2CA6" w14:textId="77777777" w:rsidR="0007792B" w:rsidRDefault="0007792B" w:rsidP="0007792B">
      <w:pPr>
        <w:jc w:val="both"/>
        <w:rPr>
          <w:rFonts w:ascii="FrankRuehl" w:hAnsi="FrankRuehl" w:cs="FrankRuehl"/>
          <w:b/>
          <w:bCs/>
          <w:color w:val="000000"/>
          <w:sz w:val="26"/>
          <w:szCs w:val="26"/>
          <w:rtl/>
        </w:rPr>
      </w:pPr>
      <w:r>
        <w:rPr>
          <w:rFonts w:ascii="FrankRuehl" w:hAnsi="FrankRuehl" w:cs="FrankRuehl"/>
          <w:b/>
          <w:bCs/>
          <w:color w:val="000000"/>
          <w:sz w:val="26"/>
          <w:szCs w:val="26"/>
          <w:rtl/>
        </w:rPr>
        <w:t xml:space="preserve">תכנית 161703: </w:t>
      </w:r>
      <w:proofErr w:type="spellStart"/>
      <w:r>
        <w:rPr>
          <w:rFonts w:ascii="FrankRuehl" w:hAnsi="FrankRuehl" w:cs="FrankRuehl"/>
          <w:b/>
          <w:bCs/>
          <w:color w:val="000000"/>
          <w:sz w:val="26"/>
          <w:szCs w:val="26"/>
          <w:rtl/>
        </w:rPr>
        <w:t>פרוייקטי</w:t>
      </w:r>
      <w:proofErr w:type="spellEnd"/>
      <w:r>
        <w:rPr>
          <w:rFonts w:ascii="FrankRuehl" w:hAnsi="FrankRuehl" w:cs="FrankRuehl"/>
          <w:b/>
          <w:bCs/>
          <w:color w:val="000000"/>
          <w:sz w:val="26"/>
          <w:szCs w:val="26"/>
          <w:rtl/>
        </w:rPr>
        <w:t xml:space="preserve"> רשות חירום לאומית – 9,814 אלפי ש"ח</w:t>
      </w:r>
    </w:p>
    <w:p w14:paraId="7450CA85" w14:textId="77777777" w:rsidR="0007792B" w:rsidRDefault="0007792B" w:rsidP="0007792B">
      <w:pPr>
        <w:jc w:val="both"/>
        <w:rPr>
          <w:rFonts w:ascii="FrankRuehl" w:hAnsi="FrankRuehl" w:cs="FrankRuehl"/>
          <w:color w:val="000000"/>
          <w:sz w:val="26"/>
          <w:szCs w:val="26"/>
        </w:rPr>
      </w:pPr>
      <w:r>
        <w:rPr>
          <w:rFonts w:ascii="FrankRuehl" w:hAnsi="FrankRuehl" w:cs="FrankRuehl"/>
          <w:b/>
          <w:bCs/>
          <w:color w:val="000000"/>
          <w:sz w:val="26"/>
          <w:szCs w:val="26"/>
          <w:rtl/>
        </w:rPr>
        <w:t xml:space="preserve">תיאור </w:t>
      </w:r>
      <w:proofErr w:type="spellStart"/>
      <w:r>
        <w:rPr>
          <w:rFonts w:ascii="FrankRuehl" w:hAnsi="FrankRuehl" w:cs="FrankRuehl"/>
          <w:b/>
          <w:bCs/>
          <w:color w:val="000000"/>
          <w:sz w:val="26"/>
          <w:szCs w:val="26"/>
          <w:rtl/>
        </w:rPr>
        <w:t>התכנית</w:t>
      </w:r>
      <w:proofErr w:type="spellEnd"/>
      <w:r>
        <w:rPr>
          <w:rFonts w:ascii="FrankRuehl" w:hAnsi="FrankRuehl" w:cs="FrankRuehl"/>
          <w:b/>
          <w:bCs/>
          <w:color w:val="000000"/>
          <w:sz w:val="26"/>
          <w:szCs w:val="26"/>
          <w:rtl/>
        </w:rPr>
        <w:t xml:space="preserve">: </w:t>
      </w:r>
      <w:proofErr w:type="spellStart"/>
      <w:r>
        <w:rPr>
          <w:rFonts w:ascii="FrankRuehl" w:hAnsi="FrankRuehl" w:cs="FrankRuehl"/>
          <w:color w:val="000000"/>
          <w:sz w:val="26"/>
          <w:szCs w:val="26"/>
          <w:rtl/>
        </w:rPr>
        <w:t>בתכנית</w:t>
      </w:r>
      <w:proofErr w:type="spellEnd"/>
      <w:r>
        <w:rPr>
          <w:rFonts w:ascii="FrankRuehl" w:hAnsi="FrankRuehl" w:cs="FrankRuehl"/>
          <w:color w:val="000000"/>
          <w:sz w:val="26"/>
          <w:szCs w:val="26"/>
          <w:rtl/>
        </w:rPr>
        <w:t xml:space="preserve"> זו מתוקצבת כלל הפעילות של רשות החירום הלאומית. הרשות פועלת להכשרות והיערכות משרדי הממשלה לחירום, כתיבת תפיסות לאומיות לחירום, הגדרת יעדי שירות למשרדי ממשלה לחירום, הצגת תמונת מצב לאומית לעורף ומימון הפעילות השוטפת של הוועדה הבין-משרדית לרעידות אדמה, וקידום המודעות לחירום בקרב האוכלוסייה</w:t>
      </w:r>
      <w:r>
        <w:rPr>
          <w:rFonts w:ascii="FrankRuehl" w:hAnsi="FrankRuehl" w:cs="FrankRuehl"/>
          <w:color w:val="000000"/>
          <w:sz w:val="26"/>
          <w:szCs w:val="26"/>
        </w:rPr>
        <w:t>.</w:t>
      </w:r>
    </w:p>
    <w:p w14:paraId="5A765803" w14:textId="77777777" w:rsidR="0007792B" w:rsidRDefault="0007792B" w:rsidP="0007792B">
      <w:pPr>
        <w:jc w:val="both"/>
        <w:rPr>
          <w:rFonts w:ascii="FrankRuehl" w:hAnsi="FrankRuehl" w:cs="FrankRuehl"/>
          <w:b/>
          <w:bCs/>
          <w:color w:val="000000"/>
          <w:sz w:val="26"/>
          <w:szCs w:val="26"/>
        </w:rPr>
      </w:pPr>
      <w:r>
        <w:rPr>
          <w:rFonts w:ascii="FrankRuehl" w:hAnsi="FrankRuehl" w:cs="FrankRuehl"/>
          <w:b/>
          <w:bCs/>
          <w:color w:val="000000"/>
          <w:sz w:val="26"/>
          <w:szCs w:val="26"/>
          <w:rtl/>
        </w:rPr>
        <w:t xml:space="preserve">סיבות מרכזיות בגינן נוצרו עודפים </w:t>
      </w:r>
      <w:proofErr w:type="spellStart"/>
      <w:r>
        <w:rPr>
          <w:rFonts w:ascii="FrankRuehl" w:hAnsi="FrankRuehl" w:cs="FrankRuehl"/>
          <w:b/>
          <w:bCs/>
          <w:color w:val="000000"/>
          <w:sz w:val="26"/>
          <w:szCs w:val="26"/>
          <w:rtl/>
        </w:rPr>
        <w:t>בתכנית</w:t>
      </w:r>
      <w:proofErr w:type="spellEnd"/>
      <w:r>
        <w:rPr>
          <w:rFonts w:ascii="FrankRuehl" w:hAnsi="FrankRuehl" w:cs="FrankRuehl"/>
          <w:b/>
          <w:bCs/>
          <w:color w:val="000000"/>
          <w:sz w:val="26"/>
          <w:szCs w:val="26"/>
          <w:rtl/>
        </w:rPr>
        <w:t>:</w:t>
      </w:r>
    </w:p>
    <w:p w14:paraId="091B4322" w14:textId="77777777" w:rsidR="0007792B" w:rsidRDefault="0007792B" w:rsidP="0007792B">
      <w:pPr>
        <w:jc w:val="both"/>
        <w:rPr>
          <w:rFonts w:ascii="FrankRuehl" w:hAnsi="FrankRuehl" w:cs="FrankRuehl"/>
          <w:color w:val="000000"/>
          <w:sz w:val="26"/>
          <w:szCs w:val="26"/>
          <w:rtl/>
        </w:rPr>
      </w:pPr>
      <w:proofErr w:type="spellStart"/>
      <w:r>
        <w:rPr>
          <w:rFonts w:ascii="FrankRuehl" w:hAnsi="FrankRuehl" w:cs="FrankRuehl"/>
          <w:color w:val="000000"/>
          <w:sz w:val="26"/>
          <w:szCs w:val="26"/>
          <w:rtl/>
        </w:rPr>
        <w:t>בתכנית</w:t>
      </w:r>
      <w:proofErr w:type="spellEnd"/>
      <w:r>
        <w:rPr>
          <w:rFonts w:ascii="FrankRuehl" w:hAnsi="FrankRuehl" w:cs="FrankRuehl"/>
          <w:color w:val="000000"/>
          <w:sz w:val="26"/>
          <w:szCs w:val="26"/>
          <w:rtl/>
        </w:rPr>
        <w:t xml:space="preserve"> זו נוצרו עודפים בהתאם לקצב התשלומים בפרויקטים שהם חוצי שנת תקציב.</w:t>
      </w:r>
    </w:p>
    <w:p w14:paraId="75EB333C" w14:textId="77777777" w:rsidR="0007792B" w:rsidRDefault="0007792B" w:rsidP="0007792B">
      <w:pPr>
        <w:jc w:val="both"/>
        <w:rPr>
          <w:rFonts w:cs="FrankRuehl"/>
          <w:sz w:val="26"/>
          <w:szCs w:val="26"/>
          <w:rtl/>
        </w:rPr>
      </w:pPr>
    </w:p>
    <w:p w14:paraId="37AF2F8F" w14:textId="77777777" w:rsidR="0007792B" w:rsidRDefault="0007792B" w:rsidP="0007792B">
      <w:pPr>
        <w:jc w:val="both"/>
        <w:rPr>
          <w:rFonts w:cs="FrankRuehl"/>
          <w:sz w:val="26"/>
          <w:szCs w:val="26"/>
          <w:rtl/>
        </w:rPr>
      </w:pPr>
    </w:p>
    <w:p w14:paraId="31765EAB" w14:textId="77777777" w:rsidR="0051496B" w:rsidRPr="000A3FA0" w:rsidRDefault="0051496B" w:rsidP="0007792B">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251AA6DB" w14:textId="77777777" w:rsidR="0051496B" w:rsidRPr="000A3FA0" w:rsidRDefault="0051496B" w:rsidP="00A6761F">
      <w:pPr>
        <w:jc w:val="both"/>
        <w:rPr>
          <w:rFonts w:cs="FrankRuehl"/>
          <w:sz w:val="26"/>
          <w:szCs w:val="26"/>
          <w:rtl/>
        </w:rPr>
      </w:pPr>
    </w:p>
    <w:p w14:paraId="0A7FE625" w14:textId="77777777" w:rsidR="0051496B" w:rsidRPr="000A3FA0" w:rsidRDefault="0051496B" w:rsidP="00A6761F">
      <w:pPr>
        <w:jc w:val="both"/>
        <w:rPr>
          <w:rFonts w:cs="FrankRuehl"/>
          <w:sz w:val="26"/>
          <w:szCs w:val="26"/>
          <w:rtl/>
        </w:rPr>
      </w:pPr>
    </w:p>
    <w:p w14:paraId="67ACD0F6"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BD95E0F" w14:textId="77777777" w:rsidR="0051496B" w:rsidRDefault="0051496B">
      <w:pPr>
        <w:tabs>
          <w:tab w:val="center" w:pos="6867"/>
        </w:tabs>
        <w:rPr>
          <w:rFonts w:cs="FrankRuehl"/>
          <w:sz w:val="26"/>
          <w:szCs w:val="26"/>
          <w:rtl/>
        </w:rPr>
      </w:pPr>
    </w:p>
    <w:p w14:paraId="0CFA467C"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786EBF36" w14:textId="77777777" w:rsidR="0051496B" w:rsidRPr="000A3FA0" w:rsidRDefault="0051496B">
      <w:pPr>
        <w:tabs>
          <w:tab w:val="center" w:pos="6867"/>
        </w:tabs>
        <w:rPr>
          <w:rFonts w:cs="FrankRuehl"/>
          <w:sz w:val="26"/>
          <w:szCs w:val="26"/>
          <w:rtl/>
        </w:rPr>
      </w:pPr>
    </w:p>
    <w:p w14:paraId="4BAA7559"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6564C58D"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65FB937A" w14:textId="77777777" w:rsidR="0051496B" w:rsidRPr="000A3FA0" w:rsidRDefault="0051496B">
      <w:pPr>
        <w:rPr>
          <w:rFonts w:cs="FrankRuehl"/>
          <w:sz w:val="26"/>
          <w:szCs w:val="26"/>
          <w:rtl/>
        </w:rPr>
      </w:pPr>
    </w:p>
    <w:p w14:paraId="7F55A6AD" w14:textId="77777777" w:rsidR="0051496B" w:rsidRPr="000A3FA0" w:rsidRDefault="0051496B">
      <w:pPr>
        <w:rPr>
          <w:rFonts w:cs="FrankRuehl"/>
          <w:sz w:val="26"/>
          <w:szCs w:val="26"/>
          <w:rtl/>
        </w:rPr>
      </w:pPr>
      <w:r w:rsidRPr="000A3FA0">
        <w:rPr>
          <w:rFonts w:cs="FrankRuehl"/>
          <w:sz w:val="26"/>
          <w:szCs w:val="26"/>
          <w:rtl/>
        </w:rPr>
        <w:t>העתק:</w:t>
      </w:r>
    </w:p>
    <w:p w14:paraId="13E8489D" w14:textId="77777777" w:rsidR="0051496B" w:rsidRPr="000A3FA0" w:rsidRDefault="0051496B">
      <w:pPr>
        <w:rPr>
          <w:rFonts w:cs="FrankRuehl"/>
          <w:sz w:val="26"/>
          <w:szCs w:val="26"/>
          <w:rtl/>
        </w:rPr>
      </w:pPr>
      <w:r w:rsidRPr="000A3FA0">
        <w:rPr>
          <w:rFonts w:cs="FrankRuehl"/>
          <w:sz w:val="26"/>
          <w:szCs w:val="26"/>
          <w:rtl/>
        </w:rPr>
        <w:t>החשב הכללי</w:t>
      </w:r>
    </w:p>
    <w:p w14:paraId="51367BFC" w14:textId="77777777" w:rsidR="0051496B" w:rsidRPr="000A3FA0" w:rsidRDefault="0051496B">
      <w:pPr>
        <w:rPr>
          <w:rFonts w:cs="FrankRuehl"/>
          <w:sz w:val="26"/>
          <w:szCs w:val="26"/>
          <w:rtl/>
        </w:rPr>
      </w:pPr>
      <w:r w:rsidRPr="000A3FA0">
        <w:rPr>
          <w:rFonts w:cs="FrankRuehl"/>
          <w:sz w:val="26"/>
          <w:szCs w:val="26"/>
          <w:rtl/>
        </w:rPr>
        <w:t>מבקר המדינה (2)</w:t>
      </w:r>
    </w:p>
    <w:p w14:paraId="323F614B" w14:textId="1F1090F5" w:rsidR="0051496B" w:rsidRPr="000A3FA0" w:rsidRDefault="008B2978">
      <w:pPr>
        <w:rPr>
          <w:rFonts w:cs="FrankRuehl"/>
          <w:sz w:val="26"/>
          <w:szCs w:val="26"/>
          <w:rtl/>
        </w:rPr>
      </w:pPr>
      <w:bookmarkStart w:id="12" w:name="TAKZIV22"/>
      <w:r>
        <w:rPr>
          <w:rFonts w:cs="FrankRuehl"/>
          <w:sz w:val="26"/>
          <w:szCs w:val="26"/>
          <w:rtl/>
        </w:rPr>
        <w:t>חשב החשב הכלל</w:t>
      </w:r>
      <w:bookmarkEnd w:id="12"/>
      <w:r w:rsidR="0007792B">
        <w:rPr>
          <w:rFonts w:cs="FrankRuehl" w:hint="cs"/>
          <w:sz w:val="26"/>
          <w:szCs w:val="26"/>
          <w:rtl/>
        </w:rPr>
        <w:t>י</w:t>
      </w:r>
    </w:p>
    <w:p w14:paraId="44843F8E" w14:textId="47D2F027"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8B2978">
        <w:rPr>
          <w:rFonts w:cs="FrankRuehl"/>
          <w:sz w:val="26"/>
          <w:szCs w:val="26"/>
          <w:rtl/>
        </w:rPr>
        <w:t>הוצאות חירום אזרחיות</w:t>
      </w:r>
      <w:bookmarkEnd w:id="13"/>
    </w:p>
    <w:p w14:paraId="2087051A" w14:textId="0253D739"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8B2978">
        <w:rPr>
          <w:rFonts w:cs="FrankRuehl"/>
          <w:sz w:val="26"/>
          <w:szCs w:val="26"/>
          <w:rtl/>
        </w:rPr>
        <w:t>הוצאות חירום אזרחיות</w:t>
      </w:r>
      <w:bookmarkEnd w:id="14"/>
    </w:p>
    <w:p w14:paraId="76DB7A1A" w14:textId="77777777" w:rsidR="0051496B" w:rsidRPr="000A3FA0" w:rsidRDefault="0051496B">
      <w:pPr>
        <w:rPr>
          <w:rFonts w:cs="FrankRuehl"/>
          <w:sz w:val="26"/>
          <w:szCs w:val="26"/>
          <w:rtl/>
        </w:rPr>
      </w:pPr>
      <w:bookmarkStart w:id="15" w:name="TAKZIV23"/>
      <w:bookmarkEnd w:id="15"/>
    </w:p>
    <w:p w14:paraId="5CE83878" w14:textId="77777777" w:rsidR="0051496B" w:rsidRPr="000A3FA0" w:rsidRDefault="0051496B">
      <w:pPr>
        <w:rPr>
          <w:rFonts w:cs="FrankRuehl"/>
          <w:sz w:val="26"/>
          <w:szCs w:val="26"/>
          <w:rtl/>
        </w:rPr>
      </w:pPr>
    </w:p>
    <w:p w14:paraId="53CB4BB4" w14:textId="5BFF95C8" w:rsidR="0051496B" w:rsidRDefault="0051496B">
      <w:pPr>
        <w:rPr>
          <w:rFonts w:cs="FrankRuehl"/>
          <w:sz w:val="26"/>
          <w:szCs w:val="26"/>
          <w:rtl/>
        </w:rPr>
      </w:pPr>
      <w:bookmarkStart w:id="16" w:name="TAKZIV25"/>
      <w:bookmarkEnd w:id="16"/>
    </w:p>
    <w:p w14:paraId="7722058D" w14:textId="6F3BE1A3" w:rsidR="0007792B" w:rsidRDefault="0007792B">
      <w:pPr>
        <w:rPr>
          <w:rFonts w:cs="FrankRuehl"/>
          <w:sz w:val="26"/>
          <w:szCs w:val="26"/>
          <w:rtl/>
        </w:rPr>
      </w:pPr>
    </w:p>
    <w:p w14:paraId="674C2E50" w14:textId="709995E4" w:rsidR="0007792B" w:rsidRDefault="0007792B">
      <w:pPr>
        <w:rPr>
          <w:rFonts w:cs="FrankRuehl"/>
          <w:sz w:val="26"/>
          <w:szCs w:val="26"/>
          <w:rtl/>
        </w:rPr>
      </w:pPr>
    </w:p>
    <w:p w14:paraId="4F183C12" w14:textId="6FC55C46" w:rsidR="0007792B" w:rsidRDefault="0007792B">
      <w:pPr>
        <w:rPr>
          <w:rFonts w:cs="FrankRuehl"/>
          <w:sz w:val="26"/>
          <w:szCs w:val="26"/>
          <w:rtl/>
        </w:rPr>
      </w:pPr>
    </w:p>
    <w:p w14:paraId="0171CC30" w14:textId="05B31081" w:rsidR="0007792B" w:rsidRDefault="0007792B">
      <w:pPr>
        <w:rPr>
          <w:rFonts w:cs="FrankRuehl"/>
          <w:sz w:val="26"/>
          <w:szCs w:val="26"/>
          <w:rtl/>
        </w:rPr>
      </w:pPr>
    </w:p>
    <w:tbl>
      <w:tblPr>
        <w:tblW w:w="0" w:type="auto"/>
        <w:jc w:val="center"/>
        <w:tblLook w:val="04A0" w:firstRow="1" w:lastRow="0" w:firstColumn="1" w:lastColumn="0" w:noHBand="0" w:noVBand="1"/>
      </w:tblPr>
      <w:tblGrid>
        <w:gridCol w:w="1420"/>
        <w:gridCol w:w="1420"/>
        <w:gridCol w:w="1419"/>
        <w:gridCol w:w="1419"/>
        <w:gridCol w:w="1419"/>
        <w:gridCol w:w="1426"/>
      </w:tblGrid>
      <w:tr w:rsidR="0007792B" w14:paraId="219719DD" w14:textId="77777777" w:rsidTr="0007792B">
        <w:trPr>
          <w:trHeight w:val="324"/>
          <w:jc w:val="center"/>
        </w:trPr>
        <w:tc>
          <w:tcPr>
            <w:tcW w:w="0" w:type="auto"/>
            <w:gridSpan w:val="6"/>
            <w:vAlign w:val="center"/>
            <w:hideMark/>
          </w:tcPr>
          <w:p w14:paraId="7A8A2AC1" w14:textId="434A253E" w:rsidR="0007792B" w:rsidRPr="0007792B" w:rsidRDefault="0007792B" w:rsidP="003B2359">
            <w:pPr>
              <w:jc w:val="center"/>
              <w:rPr>
                <w:rFonts w:ascii="Calibri" w:hAnsi="Calibri" w:cs="Calibri"/>
                <w:b/>
                <w:bCs/>
                <w:color w:val="000000"/>
                <w:sz w:val="28"/>
                <w:szCs w:val="28"/>
                <w:u w:val="single"/>
                <w:rtl/>
                <w:lang w:eastAsia="en-US"/>
              </w:rPr>
            </w:pPr>
            <w:r w:rsidRPr="0007792B">
              <w:rPr>
                <w:rFonts w:ascii="FrankRuehl" w:hAnsi="FrankRuehl" w:cs="FrankRuehl" w:hint="cs"/>
                <w:b/>
                <w:bCs/>
                <w:color w:val="000000"/>
                <w:sz w:val="26"/>
                <w:szCs w:val="26"/>
                <w:u w:val="single"/>
                <w:rtl/>
              </w:rPr>
              <w:lastRenderedPageBreak/>
              <w:t>נספח לדברי ההסבר</w:t>
            </w:r>
          </w:p>
        </w:tc>
      </w:tr>
      <w:tr w:rsidR="0007792B" w14:paraId="5D178B0F" w14:textId="77777777" w:rsidTr="0007792B">
        <w:trPr>
          <w:trHeight w:val="312"/>
          <w:jc w:val="center"/>
        </w:trPr>
        <w:tc>
          <w:tcPr>
            <w:tcW w:w="0" w:type="auto"/>
            <w:gridSpan w:val="6"/>
            <w:vAlign w:val="center"/>
            <w:hideMark/>
          </w:tcPr>
          <w:p w14:paraId="7CB288DA" w14:textId="77777777" w:rsidR="0007792B" w:rsidRDefault="0007792B" w:rsidP="003B2359">
            <w:pPr>
              <w:jc w:val="center"/>
              <w:rPr>
                <w:rFonts w:ascii="FrankRuehl" w:hAnsi="FrankRuehl" w:cs="FrankRuehl"/>
                <w:b/>
                <w:bCs/>
                <w:color w:val="000000"/>
                <w:sz w:val="26"/>
                <w:szCs w:val="26"/>
                <w:rtl/>
              </w:rPr>
            </w:pPr>
            <w:r w:rsidRPr="0007792B">
              <w:rPr>
                <w:rFonts w:ascii="FrankRuehl" w:hAnsi="FrankRuehl" w:cs="FrankRuehl"/>
                <w:b/>
                <w:bCs/>
                <w:color w:val="000000"/>
                <w:sz w:val="26"/>
                <w:szCs w:val="26"/>
                <w:rtl/>
              </w:rPr>
              <w:t>היסטוריה תקציבית של הפנייה</w:t>
            </w:r>
          </w:p>
          <w:p w14:paraId="78E17D44" w14:textId="77777777" w:rsidR="00CD79B0" w:rsidRDefault="00CD79B0" w:rsidP="003B2359">
            <w:pPr>
              <w:jc w:val="center"/>
              <w:rPr>
                <w:rFonts w:ascii="FrankRuehl" w:hAnsi="FrankRuehl" w:cs="FrankRuehl"/>
                <w:b/>
                <w:bCs/>
                <w:color w:val="000000"/>
                <w:sz w:val="26"/>
                <w:szCs w:val="26"/>
                <w:rtl/>
              </w:rPr>
            </w:pPr>
          </w:p>
          <w:tbl>
            <w:tblPr>
              <w:tblW w:w="5000" w:type="pct"/>
              <w:tblLook w:val="04A0" w:firstRow="1" w:lastRow="0" w:firstColumn="1" w:lastColumn="0" w:noHBand="0" w:noVBand="1"/>
            </w:tblPr>
            <w:tblGrid>
              <w:gridCol w:w="1606"/>
              <w:gridCol w:w="1844"/>
              <w:gridCol w:w="1606"/>
              <w:gridCol w:w="1606"/>
              <w:gridCol w:w="1635"/>
            </w:tblGrid>
            <w:tr w:rsidR="00CD79B0" w:rsidRPr="00CD79B0" w14:paraId="0D7C68A0" w14:textId="77777777" w:rsidTr="00CD79B0">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6520FF95" w14:textId="77777777" w:rsidR="00CD79B0" w:rsidRPr="00CD79B0" w:rsidRDefault="00CD79B0" w:rsidP="00CD79B0">
                  <w:pPr>
                    <w:overflowPunct/>
                    <w:autoSpaceDE/>
                    <w:autoSpaceDN/>
                    <w:adjustRightInd/>
                    <w:jc w:val="center"/>
                    <w:textAlignment w:val="auto"/>
                    <w:rPr>
                      <w:rFonts w:ascii="Calibri" w:hAnsi="Calibri" w:cs="Calibri"/>
                      <w:b/>
                      <w:bCs/>
                      <w:color w:val="000000"/>
                      <w:sz w:val="16"/>
                      <w:szCs w:val="16"/>
                      <w:lang w:eastAsia="en-US"/>
                    </w:rPr>
                  </w:pPr>
                  <w:r w:rsidRPr="00CD79B0">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3DF9DC6F" w14:textId="77777777" w:rsidR="00CD79B0" w:rsidRPr="00CD79B0" w:rsidRDefault="00CD79B0" w:rsidP="00CD79B0">
                  <w:pPr>
                    <w:overflowPunct/>
                    <w:autoSpaceDE/>
                    <w:autoSpaceDN/>
                    <w:adjustRightInd/>
                    <w:jc w:val="center"/>
                    <w:textAlignment w:val="auto"/>
                    <w:rPr>
                      <w:rFonts w:ascii="Calibri" w:hAnsi="Calibri" w:cs="Calibri"/>
                      <w:b/>
                      <w:bCs/>
                      <w:color w:val="000000"/>
                      <w:sz w:val="16"/>
                      <w:szCs w:val="16"/>
                      <w:rtl/>
                      <w:lang w:eastAsia="en-US"/>
                    </w:rPr>
                  </w:pPr>
                  <w:r w:rsidRPr="00CD79B0">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58A57FB" w14:textId="77777777" w:rsidR="00CD79B0" w:rsidRPr="00CD79B0" w:rsidRDefault="00CD79B0" w:rsidP="00CD79B0">
                  <w:pPr>
                    <w:overflowPunct/>
                    <w:autoSpaceDE/>
                    <w:autoSpaceDN/>
                    <w:adjustRightInd/>
                    <w:jc w:val="center"/>
                    <w:textAlignment w:val="auto"/>
                    <w:rPr>
                      <w:rFonts w:ascii="Calibri" w:hAnsi="Calibri" w:cs="Calibri"/>
                      <w:b/>
                      <w:bCs/>
                      <w:color w:val="000000"/>
                      <w:sz w:val="16"/>
                      <w:szCs w:val="16"/>
                      <w:rtl/>
                      <w:lang w:eastAsia="en-US"/>
                    </w:rPr>
                  </w:pPr>
                  <w:r w:rsidRPr="00CD79B0">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175E00DE" w14:textId="77777777" w:rsidR="00CD79B0" w:rsidRPr="00CD79B0" w:rsidRDefault="00CD79B0" w:rsidP="00CD79B0">
                  <w:pPr>
                    <w:overflowPunct/>
                    <w:autoSpaceDE/>
                    <w:autoSpaceDN/>
                    <w:adjustRightInd/>
                    <w:jc w:val="center"/>
                    <w:textAlignment w:val="auto"/>
                    <w:rPr>
                      <w:rFonts w:ascii="Calibri" w:hAnsi="Calibri" w:cs="Calibri"/>
                      <w:b/>
                      <w:bCs/>
                      <w:color w:val="000000"/>
                      <w:sz w:val="16"/>
                      <w:szCs w:val="16"/>
                      <w:rtl/>
                      <w:lang w:eastAsia="en-US"/>
                    </w:rPr>
                  </w:pPr>
                  <w:r w:rsidRPr="00CD79B0">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0C53FF78" w14:textId="77777777" w:rsidR="00CD79B0" w:rsidRPr="00CD79B0" w:rsidRDefault="00CD79B0" w:rsidP="00CD79B0">
                  <w:pPr>
                    <w:overflowPunct/>
                    <w:autoSpaceDE/>
                    <w:autoSpaceDN/>
                    <w:adjustRightInd/>
                    <w:jc w:val="center"/>
                    <w:textAlignment w:val="auto"/>
                    <w:rPr>
                      <w:rFonts w:ascii="Calibri" w:hAnsi="Calibri" w:cs="Calibri"/>
                      <w:b/>
                      <w:bCs/>
                      <w:color w:val="000000"/>
                      <w:sz w:val="16"/>
                      <w:szCs w:val="16"/>
                      <w:rtl/>
                      <w:lang w:eastAsia="en-US"/>
                    </w:rPr>
                  </w:pPr>
                  <w:r w:rsidRPr="00CD79B0">
                    <w:rPr>
                      <w:rFonts w:ascii="Calibri" w:hAnsi="Calibri" w:cs="Calibri"/>
                      <w:b/>
                      <w:bCs/>
                      <w:color w:val="000000"/>
                      <w:sz w:val="16"/>
                      <w:szCs w:val="16"/>
                      <w:rtl/>
                      <w:lang w:eastAsia="en-US"/>
                    </w:rPr>
                    <w:t>סך עודף שהועבר ב-2023</w:t>
                  </w:r>
                </w:p>
              </w:tc>
            </w:tr>
            <w:tr w:rsidR="00CD79B0" w:rsidRPr="00CD79B0" w14:paraId="2744A4F1" w14:textId="77777777" w:rsidTr="00CD79B0">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8C68748"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rtl/>
                      <w:lang w:eastAsia="en-US"/>
                    </w:rPr>
                  </w:pPr>
                  <w:r w:rsidRPr="00CD79B0">
                    <w:rPr>
                      <w:rFonts w:ascii="Calibri" w:hAnsi="Calibri" w:cs="Calibri"/>
                      <w:color w:val="000000"/>
                      <w:sz w:val="16"/>
                      <w:szCs w:val="16"/>
                      <w:lang w:eastAsia="en-US"/>
                    </w:rPr>
                    <w:t>161303</w:t>
                  </w:r>
                </w:p>
              </w:tc>
              <w:tc>
                <w:tcPr>
                  <w:tcW w:w="1111" w:type="pct"/>
                  <w:tcBorders>
                    <w:top w:val="nil"/>
                    <w:left w:val="single" w:sz="4" w:space="0" w:color="979991"/>
                    <w:bottom w:val="single" w:sz="4" w:space="0" w:color="979991"/>
                    <w:right w:val="nil"/>
                  </w:tcBorders>
                  <w:shd w:val="clear" w:color="000000" w:fill="FFFFFF"/>
                  <w:vAlign w:val="center"/>
                  <w:hideMark/>
                </w:tcPr>
                <w:p w14:paraId="7340C818"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1,754</w:t>
                  </w:r>
                </w:p>
              </w:tc>
              <w:tc>
                <w:tcPr>
                  <w:tcW w:w="968" w:type="pct"/>
                  <w:tcBorders>
                    <w:top w:val="nil"/>
                    <w:left w:val="single" w:sz="4" w:space="0" w:color="979991"/>
                    <w:bottom w:val="single" w:sz="4" w:space="0" w:color="979991"/>
                    <w:right w:val="nil"/>
                  </w:tcBorders>
                  <w:shd w:val="clear" w:color="000000" w:fill="FFFFFF"/>
                  <w:vAlign w:val="center"/>
                  <w:hideMark/>
                </w:tcPr>
                <w:p w14:paraId="17493323"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2,929</w:t>
                  </w:r>
                </w:p>
              </w:tc>
              <w:tc>
                <w:tcPr>
                  <w:tcW w:w="968" w:type="pct"/>
                  <w:tcBorders>
                    <w:top w:val="nil"/>
                    <w:left w:val="single" w:sz="4" w:space="0" w:color="979991"/>
                    <w:bottom w:val="single" w:sz="4" w:space="0" w:color="979991"/>
                    <w:right w:val="nil"/>
                  </w:tcBorders>
                  <w:shd w:val="clear" w:color="000000" w:fill="FFFFFF"/>
                  <w:vAlign w:val="center"/>
                  <w:hideMark/>
                </w:tcPr>
                <w:p w14:paraId="6E3B8746"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7,381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CC18628"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15,902</w:t>
                  </w:r>
                </w:p>
              </w:tc>
            </w:tr>
            <w:tr w:rsidR="00CD79B0" w:rsidRPr="00CD79B0" w14:paraId="2384D973" w14:textId="77777777" w:rsidTr="00CD79B0">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F78877F"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161602</w:t>
                  </w:r>
                </w:p>
              </w:tc>
              <w:tc>
                <w:tcPr>
                  <w:tcW w:w="1111" w:type="pct"/>
                  <w:tcBorders>
                    <w:top w:val="nil"/>
                    <w:left w:val="single" w:sz="4" w:space="0" w:color="979991"/>
                    <w:bottom w:val="single" w:sz="4" w:space="0" w:color="979991"/>
                    <w:right w:val="nil"/>
                  </w:tcBorders>
                  <w:shd w:val="clear" w:color="000000" w:fill="FFFFFF"/>
                  <w:vAlign w:val="center"/>
                  <w:hideMark/>
                </w:tcPr>
                <w:p w14:paraId="1DF2D3BA"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116,714</w:t>
                  </w:r>
                </w:p>
              </w:tc>
              <w:tc>
                <w:tcPr>
                  <w:tcW w:w="968" w:type="pct"/>
                  <w:tcBorders>
                    <w:top w:val="nil"/>
                    <w:left w:val="single" w:sz="4" w:space="0" w:color="979991"/>
                    <w:bottom w:val="single" w:sz="4" w:space="0" w:color="979991"/>
                    <w:right w:val="nil"/>
                  </w:tcBorders>
                  <w:shd w:val="clear" w:color="000000" w:fill="FFFFFF"/>
                  <w:vAlign w:val="center"/>
                  <w:hideMark/>
                </w:tcPr>
                <w:p w14:paraId="07B15014"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251,519</w:t>
                  </w:r>
                </w:p>
              </w:tc>
              <w:tc>
                <w:tcPr>
                  <w:tcW w:w="968" w:type="pct"/>
                  <w:tcBorders>
                    <w:top w:val="nil"/>
                    <w:left w:val="single" w:sz="4" w:space="0" w:color="979991"/>
                    <w:bottom w:val="single" w:sz="4" w:space="0" w:color="979991"/>
                    <w:right w:val="nil"/>
                  </w:tcBorders>
                  <w:shd w:val="clear" w:color="000000" w:fill="FFFFFF"/>
                  <w:vAlign w:val="center"/>
                  <w:hideMark/>
                </w:tcPr>
                <w:p w14:paraId="3859CA03"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283,842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7A79826"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118,887</w:t>
                  </w:r>
                </w:p>
              </w:tc>
            </w:tr>
            <w:tr w:rsidR="00CD79B0" w:rsidRPr="00CD79B0" w14:paraId="0C15600D" w14:textId="77777777" w:rsidTr="00CD79B0">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A96DCFB"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161603</w:t>
                  </w:r>
                </w:p>
              </w:tc>
              <w:tc>
                <w:tcPr>
                  <w:tcW w:w="1111" w:type="pct"/>
                  <w:tcBorders>
                    <w:top w:val="nil"/>
                    <w:left w:val="single" w:sz="4" w:space="0" w:color="979991"/>
                    <w:bottom w:val="single" w:sz="4" w:space="0" w:color="979991"/>
                    <w:right w:val="nil"/>
                  </w:tcBorders>
                  <w:shd w:val="clear" w:color="000000" w:fill="FFFFFF"/>
                  <w:vAlign w:val="center"/>
                  <w:hideMark/>
                </w:tcPr>
                <w:p w14:paraId="48A8589B"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14,019</w:t>
                  </w:r>
                </w:p>
              </w:tc>
              <w:tc>
                <w:tcPr>
                  <w:tcW w:w="968" w:type="pct"/>
                  <w:tcBorders>
                    <w:top w:val="nil"/>
                    <w:left w:val="single" w:sz="4" w:space="0" w:color="979991"/>
                    <w:bottom w:val="single" w:sz="4" w:space="0" w:color="979991"/>
                    <w:right w:val="nil"/>
                  </w:tcBorders>
                  <w:shd w:val="clear" w:color="000000" w:fill="FFFFFF"/>
                  <w:vAlign w:val="center"/>
                  <w:hideMark/>
                </w:tcPr>
                <w:p w14:paraId="7D5C20D3"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10,787</w:t>
                  </w:r>
                </w:p>
              </w:tc>
              <w:tc>
                <w:tcPr>
                  <w:tcW w:w="968" w:type="pct"/>
                  <w:tcBorders>
                    <w:top w:val="nil"/>
                    <w:left w:val="single" w:sz="4" w:space="0" w:color="979991"/>
                    <w:bottom w:val="single" w:sz="4" w:space="0" w:color="979991"/>
                    <w:right w:val="nil"/>
                  </w:tcBorders>
                  <w:shd w:val="clear" w:color="000000" w:fill="FFFFFF"/>
                  <w:vAlign w:val="center"/>
                  <w:hideMark/>
                </w:tcPr>
                <w:p w14:paraId="52643BC8"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18,546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A564EAE"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23,708</w:t>
                  </w:r>
                </w:p>
              </w:tc>
            </w:tr>
            <w:tr w:rsidR="00CD79B0" w:rsidRPr="00CD79B0" w14:paraId="6439DC70" w14:textId="77777777" w:rsidTr="00CD79B0">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B128959"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161605</w:t>
                  </w:r>
                </w:p>
              </w:tc>
              <w:tc>
                <w:tcPr>
                  <w:tcW w:w="1111" w:type="pct"/>
                  <w:tcBorders>
                    <w:top w:val="nil"/>
                    <w:left w:val="single" w:sz="4" w:space="0" w:color="979991"/>
                    <w:bottom w:val="single" w:sz="4" w:space="0" w:color="979991"/>
                    <w:right w:val="nil"/>
                  </w:tcBorders>
                  <w:shd w:val="clear" w:color="000000" w:fill="FFFFFF"/>
                  <w:vAlign w:val="center"/>
                  <w:hideMark/>
                </w:tcPr>
                <w:p w14:paraId="012BDEC6"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24,496</w:t>
                  </w:r>
                </w:p>
              </w:tc>
              <w:tc>
                <w:tcPr>
                  <w:tcW w:w="968" w:type="pct"/>
                  <w:tcBorders>
                    <w:top w:val="nil"/>
                    <w:left w:val="single" w:sz="4" w:space="0" w:color="979991"/>
                    <w:bottom w:val="single" w:sz="4" w:space="0" w:color="979991"/>
                    <w:right w:val="nil"/>
                  </w:tcBorders>
                  <w:shd w:val="clear" w:color="000000" w:fill="FFFFFF"/>
                  <w:vAlign w:val="center"/>
                  <w:hideMark/>
                </w:tcPr>
                <w:p w14:paraId="0B0DF154"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93,789</w:t>
                  </w:r>
                </w:p>
              </w:tc>
              <w:tc>
                <w:tcPr>
                  <w:tcW w:w="968" w:type="pct"/>
                  <w:tcBorders>
                    <w:top w:val="nil"/>
                    <w:left w:val="single" w:sz="4" w:space="0" w:color="979991"/>
                    <w:bottom w:val="single" w:sz="4" w:space="0" w:color="979991"/>
                    <w:right w:val="nil"/>
                  </w:tcBorders>
                  <w:shd w:val="clear" w:color="000000" w:fill="FFFFFF"/>
                  <w:vAlign w:val="center"/>
                  <w:hideMark/>
                </w:tcPr>
                <w:p w14:paraId="30EFDB1D"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145,956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CB5C455"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222,101</w:t>
                  </w:r>
                </w:p>
              </w:tc>
            </w:tr>
            <w:tr w:rsidR="00CD79B0" w:rsidRPr="00CD79B0" w14:paraId="34A3FA33" w14:textId="77777777" w:rsidTr="00CD79B0">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ACA97F8"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161703</w:t>
                  </w:r>
                </w:p>
              </w:tc>
              <w:tc>
                <w:tcPr>
                  <w:tcW w:w="1111" w:type="pct"/>
                  <w:tcBorders>
                    <w:top w:val="nil"/>
                    <w:left w:val="single" w:sz="4" w:space="0" w:color="979991"/>
                    <w:bottom w:val="single" w:sz="4" w:space="0" w:color="979991"/>
                    <w:right w:val="nil"/>
                  </w:tcBorders>
                  <w:shd w:val="clear" w:color="000000" w:fill="FFFFFF"/>
                  <w:vAlign w:val="center"/>
                  <w:hideMark/>
                </w:tcPr>
                <w:p w14:paraId="6934D26B"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9,814</w:t>
                  </w:r>
                </w:p>
              </w:tc>
              <w:tc>
                <w:tcPr>
                  <w:tcW w:w="968" w:type="pct"/>
                  <w:tcBorders>
                    <w:top w:val="nil"/>
                    <w:left w:val="single" w:sz="4" w:space="0" w:color="979991"/>
                    <w:bottom w:val="single" w:sz="4" w:space="0" w:color="979991"/>
                    <w:right w:val="nil"/>
                  </w:tcBorders>
                  <w:shd w:val="clear" w:color="000000" w:fill="FFFFFF"/>
                  <w:vAlign w:val="center"/>
                  <w:hideMark/>
                </w:tcPr>
                <w:p w14:paraId="2A793E18"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19,990</w:t>
                  </w:r>
                </w:p>
              </w:tc>
              <w:tc>
                <w:tcPr>
                  <w:tcW w:w="968" w:type="pct"/>
                  <w:tcBorders>
                    <w:top w:val="nil"/>
                    <w:left w:val="single" w:sz="4" w:space="0" w:color="979991"/>
                    <w:bottom w:val="single" w:sz="4" w:space="0" w:color="979991"/>
                    <w:right w:val="nil"/>
                  </w:tcBorders>
                  <w:shd w:val="clear" w:color="000000" w:fill="FFFFFF"/>
                  <w:vAlign w:val="center"/>
                  <w:hideMark/>
                </w:tcPr>
                <w:p w14:paraId="084FF5CA"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21,057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E94FC67" w14:textId="77777777" w:rsidR="00CD79B0" w:rsidRPr="00CD79B0" w:rsidRDefault="00CD79B0" w:rsidP="00CD79B0">
                  <w:pPr>
                    <w:overflowPunct/>
                    <w:autoSpaceDE/>
                    <w:autoSpaceDN/>
                    <w:bidi w:val="0"/>
                    <w:adjustRightInd/>
                    <w:jc w:val="center"/>
                    <w:textAlignment w:val="auto"/>
                    <w:rPr>
                      <w:rFonts w:ascii="Calibri" w:hAnsi="Calibri" w:cs="Calibri"/>
                      <w:color w:val="000000"/>
                      <w:sz w:val="16"/>
                      <w:szCs w:val="16"/>
                      <w:lang w:eastAsia="en-US"/>
                    </w:rPr>
                  </w:pPr>
                  <w:r w:rsidRPr="00CD79B0">
                    <w:rPr>
                      <w:rFonts w:ascii="Calibri" w:hAnsi="Calibri" w:cs="Calibri"/>
                      <w:color w:val="000000"/>
                      <w:sz w:val="16"/>
                      <w:szCs w:val="16"/>
                      <w:lang w:eastAsia="en-US"/>
                    </w:rPr>
                    <w:t>40,777</w:t>
                  </w:r>
                </w:p>
              </w:tc>
            </w:tr>
          </w:tbl>
          <w:p w14:paraId="3CC7EE8E" w14:textId="354D7DD7" w:rsidR="00CD79B0" w:rsidRDefault="00CD79B0" w:rsidP="003B2359">
            <w:pPr>
              <w:jc w:val="center"/>
              <w:rPr>
                <w:rFonts w:ascii="Calibri" w:hAnsi="Calibri" w:cs="Calibri"/>
                <w:b/>
                <w:bCs/>
                <w:color w:val="333399"/>
                <w:sz w:val="24"/>
              </w:rPr>
            </w:pPr>
          </w:p>
        </w:tc>
      </w:tr>
      <w:tr w:rsidR="0007792B" w14:paraId="0EFFC80A" w14:textId="77777777" w:rsidTr="0007792B">
        <w:trPr>
          <w:trHeight w:val="288"/>
          <w:jc w:val="center"/>
        </w:trPr>
        <w:tc>
          <w:tcPr>
            <w:tcW w:w="0" w:type="auto"/>
            <w:hideMark/>
          </w:tcPr>
          <w:p w14:paraId="6B3EB79B" w14:textId="77777777" w:rsidR="0007792B" w:rsidRDefault="0007792B" w:rsidP="003B2359">
            <w:pPr>
              <w:rPr>
                <w:rFonts w:ascii="Calibri" w:hAnsi="Calibri" w:cs="Calibri"/>
                <w:b/>
                <w:bCs/>
                <w:color w:val="333399"/>
                <w:rtl/>
              </w:rPr>
            </w:pPr>
          </w:p>
        </w:tc>
        <w:tc>
          <w:tcPr>
            <w:tcW w:w="0" w:type="auto"/>
            <w:noWrap/>
            <w:vAlign w:val="bottom"/>
            <w:hideMark/>
          </w:tcPr>
          <w:p w14:paraId="6016AA7F" w14:textId="77777777" w:rsidR="0007792B" w:rsidRDefault="0007792B" w:rsidP="003B2359">
            <w:pPr>
              <w:bidi w:val="0"/>
              <w:rPr>
                <w:rFonts w:ascii="Calibri" w:hAnsi="Calibri" w:cs="Arial"/>
                <w:szCs w:val="20"/>
              </w:rPr>
            </w:pPr>
          </w:p>
        </w:tc>
        <w:tc>
          <w:tcPr>
            <w:tcW w:w="0" w:type="auto"/>
            <w:noWrap/>
            <w:vAlign w:val="bottom"/>
            <w:hideMark/>
          </w:tcPr>
          <w:p w14:paraId="6097A745" w14:textId="77777777" w:rsidR="0007792B" w:rsidRDefault="0007792B" w:rsidP="003B2359">
            <w:pPr>
              <w:bidi w:val="0"/>
              <w:rPr>
                <w:rFonts w:ascii="Calibri" w:hAnsi="Calibri" w:cs="Arial"/>
                <w:szCs w:val="20"/>
              </w:rPr>
            </w:pPr>
          </w:p>
        </w:tc>
        <w:tc>
          <w:tcPr>
            <w:tcW w:w="0" w:type="auto"/>
            <w:noWrap/>
            <w:vAlign w:val="bottom"/>
            <w:hideMark/>
          </w:tcPr>
          <w:p w14:paraId="34F8F9CE" w14:textId="77777777" w:rsidR="0007792B" w:rsidRDefault="0007792B" w:rsidP="003B2359">
            <w:pPr>
              <w:bidi w:val="0"/>
              <w:rPr>
                <w:rFonts w:ascii="Calibri" w:hAnsi="Calibri" w:cs="Arial"/>
                <w:szCs w:val="20"/>
              </w:rPr>
            </w:pPr>
          </w:p>
        </w:tc>
        <w:tc>
          <w:tcPr>
            <w:tcW w:w="0" w:type="auto"/>
            <w:noWrap/>
            <w:vAlign w:val="bottom"/>
            <w:hideMark/>
          </w:tcPr>
          <w:p w14:paraId="4E94115A" w14:textId="77777777" w:rsidR="0007792B" w:rsidRDefault="0007792B" w:rsidP="003B2359">
            <w:pPr>
              <w:bidi w:val="0"/>
              <w:rPr>
                <w:rFonts w:ascii="Calibri" w:hAnsi="Calibri" w:cs="Arial"/>
                <w:szCs w:val="20"/>
              </w:rPr>
            </w:pPr>
          </w:p>
        </w:tc>
        <w:tc>
          <w:tcPr>
            <w:tcW w:w="0" w:type="auto"/>
            <w:noWrap/>
            <w:vAlign w:val="bottom"/>
            <w:hideMark/>
          </w:tcPr>
          <w:p w14:paraId="216A8868" w14:textId="77777777" w:rsidR="0007792B" w:rsidRDefault="0007792B" w:rsidP="003B2359">
            <w:pPr>
              <w:bidi w:val="0"/>
              <w:rPr>
                <w:rFonts w:ascii="Calibri" w:hAnsi="Calibri" w:cs="Arial"/>
                <w:szCs w:val="20"/>
              </w:rPr>
            </w:pPr>
          </w:p>
        </w:tc>
      </w:tr>
    </w:tbl>
    <w:p w14:paraId="3C850417" w14:textId="55FAB002" w:rsidR="0007792B" w:rsidRDefault="0007792B">
      <w:pPr>
        <w:rPr>
          <w:rFonts w:cs="FrankRuehl"/>
          <w:sz w:val="26"/>
          <w:szCs w:val="26"/>
          <w:rtl/>
        </w:rPr>
      </w:pPr>
    </w:p>
    <w:p w14:paraId="0D3F2BC6" w14:textId="4B7F05BF" w:rsidR="0007792B" w:rsidRDefault="0007792B">
      <w:pPr>
        <w:rPr>
          <w:rFonts w:cs="FrankRuehl"/>
          <w:sz w:val="26"/>
          <w:szCs w:val="26"/>
          <w:rtl/>
        </w:rPr>
      </w:pPr>
    </w:p>
    <w:p w14:paraId="630C60C7" w14:textId="6CE99DD0" w:rsidR="0007792B" w:rsidRDefault="0007792B">
      <w:pPr>
        <w:rPr>
          <w:rFonts w:cs="FrankRuehl"/>
          <w:sz w:val="26"/>
          <w:szCs w:val="26"/>
          <w:rtl/>
        </w:rPr>
      </w:pPr>
    </w:p>
    <w:p w14:paraId="59582780" w14:textId="25F04BEB" w:rsidR="0007792B" w:rsidRDefault="0007792B">
      <w:pPr>
        <w:rPr>
          <w:rFonts w:cs="FrankRuehl" w:hint="cs"/>
          <w:sz w:val="26"/>
          <w:szCs w:val="26"/>
          <w:rtl/>
        </w:rPr>
      </w:pPr>
    </w:p>
    <w:p w14:paraId="0E9D37DD" w14:textId="4074C352" w:rsidR="0007792B" w:rsidRDefault="0007792B">
      <w:pPr>
        <w:rPr>
          <w:rFonts w:cs="FrankRuehl"/>
          <w:sz w:val="26"/>
          <w:szCs w:val="26"/>
          <w:rtl/>
        </w:rPr>
      </w:pPr>
    </w:p>
    <w:p w14:paraId="5A75F6CE" w14:textId="77777777" w:rsidR="0007792B" w:rsidRPr="000A3FA0" w:rsidRDefault="0007792B">
      <w:pPr>
        <w:rPr>
          <w:rFonts w:cs="FrankRuehl"/>
          <w:sz w:val="26"/>
          <w:szCs w:val="26"/>
          <w:rtl/>
        </w:rPr>
      </w:pPr>
    </w:p>
    <w:sectPr w:rsidR="0007792B"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B707B" w14:textId="77777777" w:rsidR="00365DD3" w:rsidRDefault="00365DD3" w:rsidP="00A32326">
      <w:r>
        <w:separator/>
      </w:r>
    </w:p>
  </w:endnote>
  <w:endnote w:type="continuationSeparator" w:id="0">
    <w:p w14:paraId="0E6F1F85" w14:textId="77777777" w:rsidR="00365DD3" w:rsidRDefault="00365DD3"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2C9D"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FCAF"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4CD7"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E331" w14:textId="77777777" w:rsidR="00365DD3" w:rsidRDefault="00365DD3" w:rsidP="00A32326">
      <w:r>
        <w:separator/>
      </w:r>
    </w:p>
  </w:footnote>
  <w:footnote w:type="continuationSeparator" w:id="0">
    <w:p w14:paraId="7BF925B0" w14:textId="77777777" w:rsidR="00365DD3" w:rsidRDefault="00365DD3"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6110C"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8C21" w14:textId="77777777" w:rsidR="00A32326" w:rsidRPr="00CB5FFD" w:rsidRDefault="00365DD3" w:rsidP="00A32326">
    <w:pPr>
      <w:pStyle w:val="a4"/>
      <w:jc w:val="right"/>
      <w:rPr>
        <w:color w:val="4F81BD"/>
        <w:rtl/>
        <w:cs/>
      </w:rPr>
    </w:pPr>
    <w:r>
      <w:rPr>
        <w:noProof/>
        <w:rtl/>
      </w:rPr>
      <w:pict w14:anchorId="03A6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745AA07B" w14:textId="77777777" w:rsidR="00A32326" w:rsidRPr="00CB5FFD" w:rsidRDefault="00A32326" w:rsidP="00A32326">
    <w:pPr>
      <w:pStyle w:val="a4"/>
      <w:jc w:val="right"/>
      <w:rPr>
        <w:color w:val="4F81BD"/>
        <w:rtl/>
        <w:cs/>
      </w:rPr>
    </w:pPr>
  </w:p>
  <w:p w14:paraId="53CB8E5C" w14:textId="77777777" w:rsidR="00A32326" w:rsidRDefault="00A32326" w:rsidP="00A32326">
    <w:pPr>
      <w:pStyle w:val="a4"/>
    </w:pPr>
  </w:p>
  <w:p w14:paraId="43214D0B"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988C4"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7792B"/>
    <w:rsid w:val="000A3FA0"/>
    <w:rsid w:val="00365DD3"/>
    <w:rsid w:val="00411078"/>
    <w:rsid w:val="00507569"/>
    <w:rsid w:val="0051496B"/>
    <w:rsid w:val="00596B46"/>
    <w:rsid w:val="005E236D"/>
    <w:rsid w:val="007332A2"/>
    <w:rsid w:val="008B2978"/>
    <w:rsid w:val="0096594F"/>
    <w:rsid w:val="009E3253"/>
    <w:rsid w:val="00A14A9C"/>
    <w:rsid w:val="00A32326"/>
    <w:rsid w:val="00A51CFB"/>
    <w:rsid w:val="00A6761F"/>
    <w:rsid w:val="00AC0FB8"/>
    <w:rsid w:val="00BE74E8"/>
    <w:rsid w:val="00C81BEB"/>
    <w:rsid w:val="00CD79B0"/>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109E1E4"/>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0855">
      <w:bodyDiv w:val="1"/>
      <w:marLeft w:val="0"/>
      <w:marRight w:val="0"/>
      <w:marTop w:val="0"/>
      <w:marBottom w:val="0"/>
      <w:divBdr>
        <w:top w:val="none" w:sz="0" w:space="0" w:color="auto"/>
        <w:left w:val="none" w:sz="0" w:space="0" w:color="auto"/>
        <w:bottom w:val="none" w:sz="0" w:space="0" w:color="auto"/>
        <w:right w:val="none" w:sz="0" w:space="0" w:color="auto"/>
      </w:divBdr>
    </w:div>
    <w:div w:id="102651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780</Words>
  <Characters>3903</Characters>
  <Application>Microsoft Office Word</Application>
  <DocSecurity>0</DocSecurity>
  <Lines>32</Lines>
  <Paragraphs>9</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2026-04-28T09:29:00Z</dcterms:created>
  <dcterms:modified xsi:type="dcterms:W3CDTF">2026-04-28T12:57:00Z</dcterms:modified>
</cp:coreProperties>
</file>