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99F93" w14:textId="77777777" w:rsidR="0057326A" w:rsidRDefault="0057326A">
      <w:pPr>
        <w:pStyle w:val="a6"/>
        <w:rPr>
          <w:rFonts w:hint="cs"/>
          <w:rtl/>
        </w:rPr>
      </w:pPr>
    </w:p>
    <w:p w14:paraId="7ECBCD39" w14:textId="77777777" w:rsidR="0057326A" w:rsidRDefault="0057326A">
      <w:pPr>
        <w:pStyle w:val="a6"/>
        <w:rPr>
          <w:rtl/>
        </w:rPr>
      </w:pPr>
      <w:r>
        <w:rPr>
          <w:rtl/>
        </w:rPr>
        <w:t>מדינת ישראל</w:t>
      </w:r>
    </w:p>
    <w:p w14:paraId="6B8D099A" w14:textId="77777777" w:rsidR="0057326A" w:rsidRDefault="0057326A">
      <w:pPr>
        <w:pStyle w:val="a6"/>
        <w:rPr>
          <w:szCs w:val="24"/>
          <w:rtl/>
        </w:rPr>
      </w:pPr>
      <w:r>
        <w:rPr>
          <w:rtl/>
        </w:rPr>
        <w:t>האוצר - אגף התקציבים</w:t>
      </w:r>
    </w:p>
    <w:p w14:paraId="1CB64991" w14:textId="77777777" w:rsidR="0057326A" w:rsidRDefault="0057326A">
      <w:pPr>
        <w:rPr>
          <w:rtl/>
        </w:rPr>
      </w:pPr>
    </w:p>
    <w:p w14:paraId="1830F374" w14:textId="79F0C514" w:rsidR="0057326A" w:rsidRDefault="0057326A">
      <w:pPr>
        <w:tabs>
          <w:tab w:val="left" w:pos="6179"/>
        </w:tabs>
        <w:rPr>
          <w:rtl/>
        </w:rPr>
      </w:pPr>
      <w:r>
        <w:rPr>
          <w:rtl/>
        </w:rPr>
        <w:tab/>
      </w:r>
      <w:bookmarkStart w:id="0" w:name="TAKZIV8"/>
      <w:r w:rsidR="00BE4B82">
        <w:rPr>
          <w:rtl/>
        </w:rPr>
        <w:t>תקציב רגיל</w:t>
      </w:r>
      <w:bookmarkEnd w:id="0"/>
    </w:p>
    <w:p w14:paraId="28F87053" w14:textId="77777777" w:rsidR="0057326A" w:rsidRPr="00796547" w:rsidRDefault="0057326A">
      <w:pPr>
        <w:tabs>
          <w:tab w:val="left" w:pos="6179"/>
        </w:tabs>
        <w:rPr>
          <w:rFonts w:cs="FrankRuehl"/>
          <w:sz w:val="26"/>
          <w:szCs w:val="26"/>
          <w:rtl/>
        </w:rPr>
      </w:pPr>
      <w:r>
        <w:rPr>
          <w:rtl/>
        </w:rPr>
        <w:tab/>
      </w:r>
    </w:p>
    <w:p w14:paraId="5DF9E90E" w14:textId="77777777" w:rsidR="0057326A" w:rsidRPr="00796547" w:rsidRDefault="0057326A" w:rsidP="00796547">
      <w:pPr>
        <w:tabs>
          <w:tab w:val="left" w:pos="5613"/>
        </w:tabs>
        <w:rPr>
          <w:rFonts w:cs="FrankRuehl"/>
          <w:sz w:val="26"/>
          <w:szCs w:val="26"/>
          <w:rtl/>
        </w:rPr>
      </w:pPr>
      <w:r w:rsidRPr="00796547">
        <w:rPr>
          <w:rFonts w:cs="FrankRuehl"/>
          <w:sz w:val="26"/>
          <w:szCs w:val="26"/>
          <w:rtl/>
        </w:rPr>
        <w:tab/>
        <w:t xml:space="preserve">ירושלים, </w:t>
      </w:r>
      <w:bookmarkStart w:id="1" w:name="TAKZIV9"/>
      <w:bookmarkEnd w:id="1"/>
    </w:p>
    <w:p w14:paraId="576EB42C" w14:textId="55B62F71" w:rsidR="0057326A" w:rsidRPr="00796547" w:rsidRDefault="0057326A" w:rsidP="00796547">
      <w:pPr>
        <w:tabs>
          <w:tab w:val="left" w:pos="5613"/>
        </w:tabs>
        <w:rPr>
          <w:rFonts w:cs="FrankRuehl"/>
          <w:sz w:val="26"/>
          <w:szCs w:val="26"/>
          <w:rtl/>
        </w:rPr>
      </w:pPr>
      <w:r w:rsidRPr="00796547">
        <w:rPr>
          <w:rFonts w:cs="FrankRuehl"/>
          <w:sz w:val="26"/>
          <w:szCs w:val="26"/>
          <w:rtl/>
        </w:rPr>
        <w:tab/>
        <w:t xml:space="preserve">בקשה מספר </w:t>
      </w:r>
      <w:bookmarkStart w:id="2" w:name="TAKZIV4"/>
      <w:r w:rsidR="00BE4B82">
        <w:rPr>
          <w:rFonts w:cs="FrankRuehl"/>
          <w:sz w:val="26"/>
          <w:szCs w:val="26"/>
          <w:rtl/>
        </w:rPr>
        <w:t>209</w:t>
      </w:r>
      <w:bookmarkEnd w:id="2"/>
      <w:r w:rsidRPr="00796547">
        <w:rPr>
          <w:rFonts w:cs="FrankRuehl"/>
          <w:sz w:val="26"/>
          <w:szCs w:val="26"/>
          <w:rtl/>
        </w:rPr>
        <w:t xml:space="preserve"> - </w:t>
      </w:r>
      <w:bookmarkStart w:id="3" w:name="TAKZIV3"/>
      <w:r w:rsidR="00BE4B82">
        <w:rPr>
          <w:rFonts w:cs="FrankRuehl"/>
          <w:sz w:val="26"/>
          <w:szCs w:val="26"/>
          <w:rtl/>
        </w:rPr>
        <w:t>13</w:t>
      </w:r>
      <w:bookmarkEnd w:id="3"/>
    </w:p>
    <w:p w14:paraId="4D02E003" w14:textId="24C588AD" w:rsidR="0057326A" w:rsidRPr="00796547" w:rsidRDefault="0057326A" w:rsidP="00796547">
      <w:pPr>
        <w:tabs>
          <w:tab w:val="left" w:pos="5613"/>
          <w:tab w:val="left" w:pos="6179"/>
        </w:tabs>
        <w:rPr>
          <w:rFonts w:cs="FrankRuehl"/>
          <w:sz w:val="26"/>
          <w:szCs w:val="26"/>
          <w:rtl/>
        </w:rPr>
      </w:pPr>
      <w:r w:rsidRPr="00796547">
        <w:rPr>
          <w:rFonts w:cs="FrankRuehl"/>
          <w:sz w:val="26"/>
          <w:szCs w:val="26"/>
          <w:rtl/>
        </w:rPr>
        <w:tab/>
        <w:t xml:space="preserve">מספר פניה לועדה: </w:t>
      </w:r>
      <w:bookmarkStart w:id="4" w:name="TAKZIV11"/>
      <w:r w:rsidR="00BE4B82">
        <w:rPr>
          <w:rFonts w:cs="FrankRuehl"/>
          <w:sz w:val="26"/>
          <w:szCs w:val="26"/>
          <w:rtl/>
        </w:rPr>
        <w:t>87</w:t>
      </w:r>
      <w:bookmarkEnd w:id="4"/>
      <w:r w:rsidRPr="00796547">
        <w:rPr>
          <w:rFonts w:cs="FrankRuehl"/>
          <w:sz w:val="26"/>
          <w:szCs w:val="26"/>
          <w:rtl/>
        </w:rPr>
        <w:tab/>
      </w:r>
      <w:r w:rsidRPr="00796547">
        <w:rPr>
          <w:rFonts w:cs="FrankRuehl"/>
          <w:sz w:val="26"/>
          <w:szCs w:val="26"/>
          <w:rtl/>
        </w:rPr>
        <w:tab/>
      </w:r>
    </w:p>
    <w:p w14:paraId="0258BFBD" w14:textId="77777777" w:rsidR="0057326A" w:rsidRPr="00796547" w:rsidRDefault="0057326A">
      <w:pPr>
        <w:rPr>
          <w:rFonts w:cs="FrankRuehl"/>
          <w:sz w:val="26"/>
          <w:szCs w:val="26"/>
          <w:rtl/>
        </w:rPr>
      </w:pPr>
      <w:r w:rsidRPr="00796547">
        <w:rPr>
          <w:rFonts w:cs="FrankRuehl"/>
          <w:sz w:val="26"/>
          <w:szCs w:val="26"/>
          <w:rtl/>
        </w:rPr>
        <w:t>לכבוד,</w:t>
      </w:r>
    </w:p>
    <w:p w14:paraId="21C077AD" w14:textId="77777777" w:rsidR="0057326A" w:rsidRPr="00796547" w:rsidRDefault="0057326A">
      <w:pPr>
        <w:rPr>
          <w:rFonts w:cs="FrankRuehl"/>
          <w:sz w:val="26"/>
          <w:szCs w:val="26"/>
          <w:rtl/>
        </w:rPr>
      </w:pPr>
      <w:r w:rsidRPr="00796547">
        <w:rPr>
          <w:rFonts w:cs="FrankRuehl"/>
          <w:sz w:val="26"/>
          <w:szCs w:val="26"/>
          <w:rtl/>
        </w:rPr>
        <w:t>יו"ר ועדת הכספים</w:t>
      </w:r>
    </w:p>
    <w:p w14:paraId="6FBBDC4C" w14:textId="77777777" w:rsidR="0057326A" w:rsidRPr="00796547" w:rsidRDefault="0057326A">
      <w:pPr>
        <w:rPr>
          <w:rFonts w:cs="FrankRuehl"/>
          <w:sz w:val="26"/>
          <w:szCs w:val="26"/>
          <w:rtl/>
        </w:rPr>
      </w:pPr>
      <w:r w:rsidRPr="00796547">
        <w:rPr>
          <w:rFonts w:cs="FrankRuehl"/>
          <w:sz w:val="26"/>
          <w:szCs w:val="26"/>
          <w:rtl/>
        </w:rPr>
        <w:t>של הכנסת</w:t>
      </w:r>
    </w:p>
    <w:p w14:paraId="14FF4626" w14:textId="77777777" w:rsidR="0057326A" w:rsidRPr="00796547" w:rsidRDefault="0057326A">
      <w:pPr>
        <w:rPr>
          <w:rFonts w:cs="FrankRuehl"/>
          <w:sz w:val="26"/>
          <w:szCs w:val="26"/>
          <w:rtl/>
        </w:rPr>
      </w:pPr>
    </w:p>
    <w:p w14:paraId="2032E112" w14:textId="77777777" w:rsidR="0057326A" w:rsidRPr="00796547" w:rsidRDefault="0057326A">
      <w:pPr>
        <w:rPr>
          <w:rFonts w:cs="FrankRuehl"/>
          <w:sz w:val="26"/>
          <w:szCs w:val="26"/>
          <w:rtl/>
        </w:rPr>
      </w:pPr>
      <w:r w:rsidRPr="00796547">
        <w:rPr>
          <w:rFonts w:cs="FrankRuehl"/>
          <w:sz w:val="26"/>
          <w:szCs w:val="26"/>
          <w:rtl/>
        </w:rPr>
        <w:t>א.נ.,</w:t>
      </w:r>
    </w:p>
    <w:p w14:paraId="5AF12B08" w14:textId="77777777" w:rsidR="0057326A" w:rsidRPr="00796547" w:rsidRDefault="0057326A">
      <w:pPr>
        <w:rPr>
          <w:rFonts w:cs="FrankRuehl"/>
          <w:sz w:val="26"/>
          <w:szCs w:val="26"/>
          <w:rtl/>
        </w:rPr>
      </w:pPr>
    </w:p>
    <w:p w14:paraId="710CB449" w14:textId="4DFA2E2F" w:rsidR="0057326A" w:rsidRPr="00796547" w:rsidRDefault="0057326A">
      <w:pPr>
        <w:pStyle w:val="a7"/>
        <w:rPr>
          <w:rFonts w:cs="FrankRuehl"/>
          <w:sz w:val="26"/>
          <w:rtl/>
        </w:rPr>
      </w:pPr>
      <w:r w:rsidRPr="00796547">
        <w:rPr>
          <w:rFonts w:cs="FrankRuehl"/>
          <w:bCs w:val="0"/>
          <w:sz w:val="26"/>
          <w:u w:val="none"/>
          <w:rtl/>
        </w:rPr>
        <w:t xml:space="preserve">הנדון: </w:t>
      </w:r>
      <w:r w:rsidRPr="00796547">
        <w:rPr>
          <w:rFonts w:cs="FrankRuehl"/>
          <w:bCs w:val="0"/>
          <w:sz w:val="26"/>
          <w:rtl/>
        </w:rPr>
        <w:t>שימוש ברזרבה הכללית לשנת</w:t>
      </w:r>
      <w:r w:rsidRPr="00796547">
        <w:rPr>
          <w:rFonts w:cs="FrankRuehl"/>
          <w:sz w:val="26"/>
          <w:rtl/>
        </w:rPr>
        <w:t xml:space="preserve"> </w:t>
      </w:r>
      <w:bookmarkStart w:id="5" w:name="TAKZIV1"/>
      <w:r w:rsidR="00BE4B82">
        <w:rPr>
          <w:rFonts w:cs="FrankRuehl"/>
          <w:sz w:val="26"/>
          <w:rtl/>
        </w:rPr>
        <w:t>2026</w:t>
      </w:r>
      <w:bookmarkEnd w:id="5"/>
      <w:r w:rsidRPr="00796547">
        <w:rPr>
          <w:rFonts w:cs="FrankRuehl"/>
          <w:sz w:val="26"/>
          <w:rtl/>
        </w:rPr>
        <w:t xml:space="preserve">    </w:t>
      </w:r>
    </w:p>
    <w:p w14:paraId="0F6D4152" w14:textId="77777777" w:rsidR="0057326A" w:rsidRPr="00796547" w:rsidRDefault="0057326A">
      <w:pPr>
        <w:rPr>
          <w:rFonts w:cs="FrankRuehl"/>
          <w:sz w:val="26"/>
          <w:szCs w:val="26"/>
          <w:rtl/>
        </w:rPr>
      </w:pPr>
    </w:p>
    <w:p w14:paraId="6C028572" w14:textId="4B9D079C" w:rsidR="0057326A" w:rsidRPr="00796547" w:rsidRDefault="0057326A" w:rsidP="00F3117F">
      <w:pPr>
        <w:jc w:val="both"/>
        <w:rPr>
          <w:rFonts w:cs="FrankRuehl"/>
          <w:sz w:val="26"/>
          <w:szCs w:val="26"/>
          <w:rtl/>
        </w:rPr>
      </w:pPr>
      <w:r w:rsidRPr="00796547">
        <w:rPr>
          <w:rFonts w:cs="FrankRuehl"/>
          <w:sz w:val="26"/>
          <w:szCs w:val="26"/>
          <w:rtl/>
        </w:rPr>
        <w:t xml:space="preserve">שר האוצר מבקש את אישורה של ועדת הכספים של הכנסת להעברת סכום של </w:t>
      </w:r>
      <w:bookmarkStart w:id="6" w:name="TAKZIV30"/>
      <w:r w:rsidR="00BE4B82">
        <w:rPr>
          <w:rFonts w:cs="FrankRuehl"/>
          <w:sz w:val="26"/>
          <w:szCs w:val="26"/>
          <w:rtl/>
        </w:rPr>
        <w:t>40,000</w:t>
      </w:r>
      <w:bookmarkEnd w:id="6"/>
      <w:r w:rsidRPr="00796547">
        <w:rPr>
          <w:rFonts w:cs="FrankRuehl"/>
          <w:sz w:val="26"/>
          <w:szCs w:val="26"/>
          <w:rtl/>
        </w:rPr>
        <w:t xml:space="preserve"> אלפי שקלים חדשים מסעיף 47 - רזרבה כללית, לסעיף </w:t>
      </w:r>
      <w:bookmarkStart w:id="7" w:name="TAKZIV3_1"/>
      <w:r w:rsidR="00BE4B82">
        <w:rPr>
          <w:rFonts w:cs="FrankRuehl"/>
          <w:sz w:val="26"/>
          <w:szCs w:val="26"/>
          <w:rtl/>
        </w:rPr>
        <w:t>13</w:t>
      </w:r>
      <w:bookmarkEnd w:id="7"/>
      <w:r w:rsidRPr="00796547">
        <w:rPr>
          <w:rFonts w:cs="FrankRuehl"/>
          <w:sz w:val="26"/>
          <w:szCs w:val="26"/>
          <w:rtl/>
        </w:rPr>
        <w:t xml:space="preserve"> - </w:t>
      </w:r>
      <w:bookmarkStart w:id="8" w:name="TAKZIV6"/>
      <w:r w:rsidR="00BE4B82">
        <w:rPr>
          <w:rFonts w:cs="FrankRuehl"/>
          <w:sz w:val="26"/>
          <w:szCs w:val="26"/>
          <w:rtl/>
        </w:rPr>
        <w:t>הוצאות שונות</w:t>
      </w:r>
      <w:bookmarkEnd w:id="8"/>
      <w:r w:rsidRPr="00796547">
        <w:rPr>
          <w:rFonts w:cs="FrankRuehl"/>
          <w:sz w:val="26"/>
          <w:szCs w:val="26"/>
          <w:rtl/>
        </w:rPr>
        <w:t>, בהתאם לסעיף 12 לחוק יסודות התקציב התשמ"ה - 1985.</w:t>
      </w:r>
      <w:r w:rsidR="00F3117F">
        <w:rPr>
          <w:rFonts w:cs="FrankRuehl" w:hint="cs"/>
          <w:sz w:val="26"/>
          <w:szCs w:val="26"/>
          <w:rtl/>
        </w:rPr>
        <w:t xml:space="preserve"> </w:t>
      </w:r>
      <w:r w:rsidRPr="00796547">
        <w:rPr>
          <w:rFonts w:cs="FrankRuehl"/>
          <w:sz w:val="26"/>
          <w:szCs w:val="26"/>
          <w:rtl/>
        </w:rPr>
        <w:t>כמפורט בתדפיס המצ"ב.</w:t>
      </w:r>
    </w:p>
    <w:p w14:paraId="37C646D9" w14:textId="77777777" w:rsidR="0057326A" w:rsidRPr="00F3117F" w:rsidRDefault="0057326A" w:rsidP="00F3117F">
      <w:pPr>
        <w:jc w:val="both"/>
        <w:rPr>
          <w:rFonts w:ascii="FrankRuehl" w:hAnsi="FrankRuehl" w:cs="FrankRuehl"/>
          <w:sz w:val="26"/>
          <w:szCs w:val="26"/>
          <w:rtl/>
        </w:rPr>
      </w:pPr>
    </w:p>
    <w:p w14:paraId="67206EF8" w14:textId="0F252AA8" w:rsidR="00F3117F" w:rsidRDefault="00F3117F" w:rsidP="00F3117F">
      <w:pPr>
        <w:jc w:val="both"/>
        <w:rPr>
          <w:rFonts w:ascii="FrankRuehl" w:hAnsi="FrankRuehl" w:cs="FrankRuehl"/>
          <w:sz w:val="26"/>
          <w:szCs w:val="26"/>
          <w:rtl/>
          <w:lang w:eastAsia="en-US"/>
        </w:rPr>
      </w:pPr>
      <w:r w:rsidRPr="00F3117F">
        <w:rPr>
          <w:rFonts w:ascii="FrankRuehl" w:hAnsi="FrankRuehl" w:cs="FrankRuehl"/>
          <w:b/>
          <w:bCs/>
          <w:sz w:val="26"/>
          <w:szCs w:val="26"/>
          <w:rtl/>
        </w:rPr>
        <w:t xml:space="preserve">הבקשה דנה בסעיף תקציבי: </w:t>
      </w:r>
      <w:r w:rsidRPr="00F3117F">
        <w:rPr>
          <w:rFonts w:ascii="FrankRuehl" w:hAnsi="FrankRuehl" w:cs="FrankRuehl"/>
          <w:sz w:val="26"/>
          <w:szCs w:val="26"/>
          <w:rtl/>
        </w:rPr>
        <w:t xml:space="preserve">13 </w:t>
      </w:r>
      <w:r>
        <w:rPr>
          <w:rFonts w:ascii="FrankRuehl" w:hAnsi="FrankRuehl" w:cs="FrankRuehl" w:hint="cs"/>
          <w:sz w:val="26"/>
          <w:szCs w:val="26"/>
          <w:rtl/>
        </w:rPr>
        <w:t>-</w:t>
      </w:r>
      <w:r w:rsidRPr="00F3117F">
        <w:rPr>
          <w:rFonts w:ascii="FrankRuehl" w:hAnsi="FrankRuehl" w:cs="FrankRuehl"/>
          <w:sz w:val="26"/>
          <w:szCs w:val="26"/>
          <w:rtl/>
        </w:rPr>
        <w:t xml:space="preserve"> הוצאות שונות</w:t>
      </w:r>
    </w:p>
    <w:p w14:paraId="3542D31D" w14:textId="77777777" w:rsidR="00F3117F" w:rsidRPr="00F3117F" w:rsidRDefault="00F3117F" w:rsidP="00F3117F">
      <w:pPr>
        <w:jc w:val="both"/>
        <w:rPr>
          <w:rFonts w:ascii="FrankRuehl" w:hAnsi="FrankRuehl" w:cs="FrankRuehl"/>
          <w:sz w:val="26"/>
          <w:szCs w:val="26"/>
          <w:lang w:eastAsia="en-US"/>
        </w:rPr>
      </w:pPr>
    </w:p>
    <w:p w14:paraId="624E1847" w14:textId="77777777" w:rsidR="00F3117F" w:rsidRPr="00F3117F" w:rsidRDefault="00F3117F" w:rsidP="00F3117F">
      <w:pPr>
        <w:jc w:val="both"/>
        <w:rPr>
          <w:rFonts w:ascii="FrankRuehl" w:hAnsi="FrankRuehl" w:cs="FrankRuehl"/>
          <w:sz w:val="26"/>
          <w:szCs w:val="26"/>
        </w:rPr>
      </w:pPr>
      <w:r w:rsidRPr="00F3117F">
        <w:rPr>
          <w:rFonts w:ascii="FrankRuehl" w:hAnsi="FrankRuehl" w:cs="FrankRuehl"/>
          <w:b/>
          <w:bCs/>
          <w:sz w:val="26"/>
          <w:szCs w:val="26"/>
          <w:rtl/>
        </w:rPr>
        <w:t>עיקרי הפנייה:</w:t>
      </w:r>
      <w:r w:rsidRPr="00F3117F">
        <w:rPr>
          <w:rFonts w:ascii="FrankRuehl" w:hAnsi="FrankRuehl" w:cs="FrankRuehl"/>
          <w:sz w:val="26"/>
          <w:szCs w:val="26"/>
          <w:rtl/>
        </w:rPr>
        <w:t xml:space="preserve"> </w:t>
      </w:r>
    </w:p>
    <w:p w14:paraId="6906431E" w14:textId="77777777" w:rsidR="00F3117F" w:rsidRPr="00F3117F" w:rsidRDefault="00F3117F" w:rsidP="00F3117F">
      <w:pPr>
        <w:jc w:val="both"/>
        <w:rPr>
          <w:rFonts w:ascii="FrankRuehl" w:hAnsi="FrankRuehl" w:cs="FrankRuehl"/>
          <w:sz w:val="26"/>
          <w:szCs w:val="26"/>
          <w:rtl/>
        </w:rPr>
      </w:pPr>
      <w:r w:rsidRPr="00F3117F">
        <w:rPr>
          <w:rFonts w:ascii="FrankRuehl" w:hAnsi="FrankRuehl" w:cs="FrankRuehl"/>
          <w:sz w:val="26"/>
          <w:szCs w:val="26"/>
          <w:rtl/>
        </w:rPr>
        <w:t>הפניה התקציבית נועדה לתקצוב סך של 40,000 אלפי ש"ח בהוצאה עבור תקצוב מתווה הסיוע למוסדות ציבוריים כהגדרתם בסעיף 3א שהכנסותיהם לרבות מתרומות פחתו בעקבות מבצע "שאגת הארי</w:t>
      </w:r>
      <w:r w:rsidRPr="00F3117F">
        <w:rPr>
          <w:rFonts w:ascii="FrankRuehl" w:hAnsi="FrankRuehl" w:cs="FrankRuehl"/>
          <w:sz w:val="26"/>
          <w:szCs w:val="26"/>
        </w:rPr>
        <w:t>"</w:t>
      </w:r>
      <w:r w:rsidRPr="00F3117F">
        <w:rPr>
          <w:rFonts w:ascii="FrankRuehl" w:hAnsi="FrankRuehl" w:cs="FrankRuehl"/>
          <w:sz w:val="26"/>
          <w:szCs w:val="26"/>
          <w:rtl/>
        </w:rPr>
        <w:t>. במסגרת חוק התכנית לסיוע כלכלי (הוראת שעה)(סיוע לעסקים ומוסדות ציבור), התשפ"ו-2026  נקבע בסעיף 7 לחוק כי הממשלה תקצה סכום שלא יפחת מ-40 מיליון ש"ח לחלוקה לפי סעיף 3א לחוק יסודות התקציב, התשמ"ה-1985, לשם תמיכה במוסד ציבור כהגדרתו בסעיף 3א שהכנסותיו לרבות מתרומות פחתו בעקבות מצב הלחימה. בהתאם להוראות החוק, אגף החשב הכללי במשרד האוצר כתב מבחן תמיכה במסגרתו נקבעו הקריטריונים לזכאות לקבלת פיצוי בגין ירידה בהכנסות.</w:t>
      </w:r>
    </w:p>
    <w:p w14:paraId="3049C23F" w14:textId="6239CAD4" w:rsidR="00F3117F" w:rsidRDefault="00F3117F" w:rsidP="00F3117F">
      <w:pPr>
        <w:jc w:val="both"/>
        <w:rPr>
          <w:rFonts w:ascii="FrankRuehl" w:hAnsi="FrankRuehl" w:cs="FrankRuehl"/>
          <w:sz w:val="26"/>
          <w:szCs w:val="26"/>
          <w:rtl/>
        </w:rPr>
      </w:pPr>
      <w:r w:rsidRPr="00F3117F">
        <w:rPr>
          <w:rFonts w:ascii="FrankRuehl" w:hAnsi="FrankRuehl" w:cs="FrankRuehl"/>
          <w:sz w:val="26"/>
          <w:szCs w:val="26"/>
          <w:rtl/>
        </w:rPr>
        <w:t xml:space="preserve">הקצאת תקציב מתווה הסיוע נעשית מתוך תכנית 470101 בה מוקצים הכספים המיועדים למימון הוצאות בטחוניות או אזרחיות אשר נובעות במישרין מהתמשכות מערכת שאגת הארי, כאמור בסעיף 23(א)(3) לחוק הפחתת הגרעון והגבלת ההוצאה התקציבית השתנ"ב-1992. </w:t>
      </w:r>
    </w:p>
    <w:p w14:paraId="5E271B14" w14:textId="77777777" w:rsidR="00F3117F" w:rsidRPr="00F3117F" w:rsidRDefault="00F3117F" w:rsidP="00F3117F">
      <w:pPr>
        <w:jc w:val="both"/>
        <w:rPr>
          <w:rFonts w:ascii="FrankRuehl" w:hAnsi="FrankRuehl" w:cs="FrankRuehl"/>
          <w:sz w:val="26"/>
          <w:szCs w:val="26"/>
          <w:rtl/>
        </w:rPr>
      </w:pPr>
    </w:p>
    <w:p w14:paraId="18ADB764" w14:textId="77777777" w:rsidR="00F3117F" w:rsidRPr="00F3117F" w:rsidRDefault="00F3117F" w:rsidP="00F3117F">
      <w:pPr>
        <w:jc w:val="both"/>
        <w:rPr>
          <w:rFonts w:ascii="FrankRuehl" w:hAnsi="FrankRuehl" w:cs="FrankRuehl"/>
          <w:b/>
          <w:bCs/>
          <w:sz w:val="26"/>
          <w:szCs w:val="26"/>
          <w:rtl/>
        </w:rPr>
      </w:pPr>
      <w:r w:rsidRPr="00F3117F">
        <w:rPr>
          <w:rFonts w:ascii="FrankRuehl" w:hAnsi="FrankRuehl" w:cs="FrankRuehl"/>
          <w:b/>
          <w:bCs/>
          <w:sz w:val="26"/>
          <w:szCs w:val="26"/>
          <w:rtl/>
        </w:rPr>
        <w:t>עיקרי הפנייה התקציבית בחלוקה לתוכניות מובאים להלן:</w:t>
      </w:r>
    </w:p>
    <w:p w14:paraId="5B613C43" w14:textId="77777777" w:rsidR="00F3117F" w:rsidRPr="00F3117F" w:rsidRDefault="00F3117F" w:rsidP="00F3117F">
      <w:pPr>
        <w:jc w:val="both"/>
        <w:rPr>
          <w:rFonts w:ascii="FrankRuehl" w:hAnsi="FrankRuehl" w:cs="FrankRuehl"/>
          <w:b/>
          <w:bCs/>
          <w:sz w:val="26"/>
          <w:szCs w:val="26"/>
          <w:highlight w:val="yellow"/>
          <w:u w:val="single"/>
          <w:rtl/>
        </w:rPr>
      </w:pPr>
      <w:r w:rsidRPr="00F3117F">
        <w:rPr>
          <w:rFonts w:ascii="FrankRuehl" w:hAnsi="FrankRuehl" w:cs="FrankRuehl"/>
          <w:b/>
          <w:bCs/>
          <w:sz w:val="26"/>
          <w:szCs w:val="26"/>
          <w:rtl/>
        </w:rPr>
        <w:t>130105 – הוצאות שונות – 40,000 אלפי ש"ח בהוצאה</w:t>
      </w:r>
    </w:p>
    <w:p w14:paraId="78C300DD" w14:textId="77777777" w:rsidR="00F3117F" w:rsidRPr="00F3117F" w:rsidRDefault="00F3117F" w:rsidP="00F3117F">
      <w:pPr>
        <w:jc w:val="both"/>
        <w:rPr>
          <w:rFonts w:ascii="FrankRuehl" w:hAnsi="FrankRuehl" w:cs="FrankRuehl"/>
          <w:sz w:val="26"/>
          <w:szCs w:val="26"/>
        </w:rPr>
      </w:pPr>
      <w:r w:rsidRPr="00F3117F">
        <w:rPr>
          <w:rFonts w:ascii="FrankRuehl" w:hAnsi="FrankRuehl" w:cs="FrankRuehl"/>
          <w:b/>
          <w:bCs/>
          <w:sz w:val="26"/>
          <w:szCs w:val="26"/>
          <w:rtl/>
        </w:rPr>
        <w:t xml:space="preserve">מטרת השינוי: </w:t>
      </w:r>
    </w:p>
    <w:p w14:paraId="6C0527DA" w14:textId="77777777" w:rsidR="00F3117F" w:rsidRPr="00F3117F" w:rsidRDefault="00F3117F" w:rsidP="00F3117F">
      <w:pPr>
        <w:jc w:val="both"/>
        <w:rPr>
          <w:rFonts w:ascii="FrankRuehl" w:hAnsi="FrankRuehl" w:cs="FrankRuehl"/>
          <w:sz w:val="26"/>
          <w:szCs w:val="26"/>
          <w:rtl/>
        </w:rPr>
      </w:pPr>
      <w:r w:rsidRPr="00F3117F">
        <w:rPr>
          <w:rFonts w:ascii="FrankRuehl" w:hAnsi="FrankRuehl" w:cs="FrankRuehl"/>
          <w:sz w:val="26"/>
          <w:szCs w:val="26"/>
          <w:rtl/>
        </w:rPr>
        <w:t>הפניה התקציבית נועדה לתקצוב סך של 40,000 אלפי ש"ח בהוצאה עבור תקצוב מתווה הסיוע למוסדות ציבוריים כהגדרתם בסעיף 3א שהכנסותיהם לרבות מתרומות פחתו בעקבות מבצע "שאגת הארי</w:t>
      </w:r>
      <w:r w:rsidRPr="00F3117F">
        <w:rPr>
          <w:rFonts w:ascii="FrankRuehl" w:hAnsi="FrankRuehl" w:cs="FrankRuehl"/>
          <w:sz w:val="26"/>
          <w:szCs w:val="26"/>
        </w:rPr>
        <w:t>"</w:t>
      </w:r>
      <w:r w:rsidRPr="00F3117F">
        <w:rPr>
          <w:rFonts w:ascii="FrankRuehl" w:hAnsi="FrankRuehl" w:cs="FrankRuehl"/>
          <w:sz w:val="26"/>
          <w:szCs w:val="26"/>
          <w:rtl/>
        </w:rPr>
        <w:t>. במסגרת חוק התכנית לסיוע כלכלי (הוראת שעה)(סיוע לעסקים ומוסדות ציבור), התשפ"ו-2026  נקבע בסעיף 7 לחוק כי הממשלה תקצה סכום שלא יפחת מ-40 מיליון ש"ח לחלוקה לפי סעיף 3א לחוק יסודות התקציב, התשמ"ה-1985, לשם תמיכה במוסד ציבור כהגדרתו בסעיף 3א שהכנסותיו לרבות מתרומות פחתו בעקבות מצב הלחימה. בהתאם להוראות החוק, אגף החשב הכללי במשרד האוצר כתב מבחן תמיכה במסגרתו נקבעו הקריטריונים לזכאות לקבלת פיצוי בגין ירידה בהכנסות.</w:t>
      </w:r>
    </w:p>
    <w:p w14:paraId="1CD6C2EB" w14:textId="1D46B5F8" w:rsidR="00F3117F" w:rsidRDefault="00F3117F" w:rsidP="00F3117F">
      <w:pPr>
        <w:jc w:val="both"/>
        <w:rPr>
          <w:rFonts w:ascii="FrankRuehl" w:hAnsi="FrankRuehl" w:cs="FrankRuehl"/>
          <w:sz w:val="26"/>
          <w:szCs w:val="26"/>
          <w:rtl/>
        </w:rPr>
      </w:pPr>
      <w:r w:rsidRPr="00F3117F">
        <w:rPr>
          <w:rFonts w:ascii="FrankRuehl" w:hAnsi="FrankRuehl" w:cs="FrankRuehl"/>
          <w:sz w:val="26"/>
          <w:szCs w:val="26"/>
          <w:rtl/>
        </w:rPr>
        <w:t xml:space="preserve">הקצאת תקציב מתווה הסיוע נעשית מתוך תכנית 470101 בה מוקצים הכספים המיועדים למימון הוצאות בטחוניות או אזרחיות אשר נובעות במישרין מהתמשכות מערכת שאגת הארי, כאמור בסעיף 23(א)(3) לחוק הפחתת הגרעון והגבלת ההוצאה התקציבית השתנ"ב-1992. </w:t>
      </w:r>
    </w:p>
    <w:p w14:paraId="3CBFAD8E" w14:textId="77777777" w:rsidR="00F3117F" w:rsidRPr="00F3117F" w:rsidRDefault="00F3117F" w:rsidP="00F3117F">
      <w:pPr>
        <w:jc w:val="both"/>
        <w:rPr>
          <w:rFonts w:ascii="FrankRuehl" w:hAnsi="FrankRuehl" w:cs="FrankRuehl"/>
          <w:sz w:val="26"/>
          <w:szCs w:val="26"/>
          <w:rtl/>
        </w:rPr>
      </w:pPr>
    </w:p>
    <w:p w14:paraId="76007A6C" w14:textId="77777777" w:rsidR="00F3117F" w:rsidRPr="00F3117F" w:rsidRDefault="00F3117F" w:rsidP="00F3117F">
      <w:pPr>
        <w:jc w:val="both"/>
        <w:rPr>
          <w:rFonts w:ascii="FrankRuehl" w:hAnsi="FrankRuehl" w:cs="FrankRuehl"/>
          <w:sz w:val="26"/>
          <w:szCs w:val="26"/>
          <w:rtl/>
        </w:rPr>
      </w:pPr>
      <w:r w:rsidRPr="00F3117F">
        <w:rPr>
          <w:rFonts w:ascii="FrankRuehl" w:hAnsi="FrankRuehl" w:cs="FrankRuehl"/>
          <w:b/>
          <w:bCs/>
          <w:sz w:val="26"/>
          <w:szCs w:val="26"/>
          <w:rtl/>
        </w:rPr>
        <w:t>השפעה על כוח אדם</w:t>
      </w:r>
      <w:r w:rsidRPr="00F3117F">
        <w:rPr>
          <w:rFonts w:ascii="FrankRuehl" w:hAnsi="FrankRuehl" w:cs="FrankRuehl"/>
          <w:sz w:val="26"/>
          <w:szCs w:val="26"/>
          <w:rtl/>
        </w:rPr>
        <w:t>:</w:t>
      </w:r>
      <w:r w:rsidRPr="00F3117F">
        <w:rPr>
          <w:rFonts w:ascii="FrankRuehl" w:hAnsi="FrankRuehl" w:cs="FrankRuehl"/>
          <w:sz w:val="26"/>
          <w:szCs w:val="26"/>
        </w:rPr>
        <w:t xml:space="preserve"> </w:t>
      </w:r>
      <w:r w:rsidRPr="00F3117F">
        <w:rPr>
          <w:rFonts w:ascii="FrankRuehl" w:hAnsi="FrankRuehl" w:cs="FrankRuehl"/>
          <w:sz w:val="26"/>
          <w:szCs w:val="26"/>
          <w:rtl/>
        </w:rPr>
        <w:t>ללא.</w:t>
      </w:r>
    </w:p>
    <w:p w14:paraId="4C98C3FB" w14:textId="77777777" w:rsidR="0057326A" w:rsidRPr="00796547" w:rsidRDefault="0057326A">
      <w:pPr>
        <w:rPr>
          <w:rFonts w:cs="FrankRuehl"/>
          <w:sz w:val="26"/>
          <w:szCs w:val="26"/>
          <w:rtl/>
        </w:rPr>
      </w:pPr>
    </w:p>
    <w:p w14:paraId="1BA34329" w14:textId="77777777" w:rsidR="0057326A" w:rsidRPr="00796547" w:rsidRDefault="0057326A">
      <w:pPr>
        <w:rPr>
          <w:rFonts w:cs="FrankRuehl"/>
          <w:sz w:val="26"/>
          <w:szCs w:val="26"/>
          <w:rtl/>
        </w:rPr>
      </w:pPr>
    </w:p>
    <w:p w14:paraId="6154409A" w14:textId="77777777" w:rsidR="0057326A" w:rsidRDefault="0057326A">
      <w:pPr>
        <w:tabs>
          <w:tab w:val="center" w:pos="6888"/>
        </w:tabs>
        <w:rPr>
          <w:rFonts w:cs="FrankRuehl"/>
          <w:sz w:val="26"/>
          <w:szCs w:val="26"/>
          <w:rtl/>
        </w:rPr>
      </w:pPr>
      <w:r w:rsidRPr="00796547">
        <w:rPr>
          <w:rFonts w:cs="FrankRuehl"/>
          <w:sz w:val="26"/>
          <w:szCs w:val="26"/>
          <w:rtl/>
        </w:rPr>
        <w:lastRenderedPageBreak/>
        <w:tab/>
        <w:t>בכבוד רב</w:t>
      </w:r>
    </w:p>
    <w:p w14:paraId="783F436F" w14:textId="77777777" w:rsidR="00AE43CD" w:rsidRPr="00796547" w:rsidRDefault="00AE43CD">
      <w:pPr>
        <w:tabs>
          <w:tab w:val="center" w:pos="6888"/>
        </w:tabs>
        <w:rPr>
          <w:rFonts w:cs="FrankRuehl"/>
          <w:sz w:val="26"/>
          <w:szCs w:val="26"/>
          <w:rtl/>
        </w:rPr>
      </w:pPr>
      <w:r>
        <w:rPr>
          <w:rFonts w:cs="FrankRuehl"/>
          <w:sz w:val="26"/>
          <w:szCs w:val="26"/>
          <w:rtl/>
        </w:rPr>
        <w:tab/>
      </w:r>
    </w:p>
    <w:p w14:paraId="2E0B0451" w14:textId="77777777" w:rsidR="0057326A" w:rsidRPr="00796547" w:rsidRDefault="00AE43CD">
      <w:pPr>
        <w:tabs>
          <w:tab w:val="center" w:pos="6888"/>
        </w:tabs>
        <w:rPr>
          <w:rFonts w:cs="FrankRuehl"/>
          <w:sz w:val="26"/>
          <w:szCs w:val="26"/>
          <w:rtl/>
        </w:rPr>
      </w:pPr>
      <w:r>
        <w:rPr>
          <w:rFonts w:cs="FrankRuehl"/>
          <w:sz w:val="26"/>
          <w:szCs w:val="26"/>
          <w:rtl/>
        </w:rPr>
        <w:tab/>
      </w:r>
      <w:bookmarkStart w:id="9" w:name="Sign_Image"/>
      <w:bookmarkEnd w:id="9"/>
    </w:p>
    <w:p w14:paraId="77B16F2A" w14:textId="77777777" w:rsidR="0057326A" w:rsidRPr="00796547" w:rsidRDefault="0057326A">
      <w:pPr>
        <w:tabs>
          <w:tab w:val="center" w:pos="6888"/>
        </w:tabs>
        <w:rPr>
          <w:rFonts w:cs="FrankRuehl"/>
          <w:sz w:val="26"/>
          <w:szCs w:val="26"/>
          <w:rtl/>
        </w:rPr>
      </w:pPr>
      <w:r w:rsidRPr="00796547">
        <w:rPr>
          <w:rFonts w:cs="FrankRuehl"/>
          <w:sz w:val="26"/>
          <w:szCs w:val="26"/>
          <w:rtl/>
        </w:rPr>
        <w:tab/>
      </w:r>
    </w:p>
    <w:p w14:paraId="6D0292FE" w14:textId="77777777" w:rsidR="0057326A" w:rsidRPr="00796547" w:rsidRDefault="0057326A">
      <w:pPr>
        <w:tabs>
          <w:tab w:val="center" w:pos="6888"/>
        </w:tabs>
        <w:rPr>
          <w:rFonts w:cs="FrankRuehl"/>
          <w:sz w:val="26"/>
          <w:szCs w:val="26"/>
          <w:rtl/>
        </w:rPr>
      </w:pPr>
      <w:r w:rsidRPr="00796547">
        <w:rPr>
          <w:rFonts w:cs="FrankRuehl"/>
          <w:sz w:val="26"/>
          <w:szCs w:val="26"/>
          <w:rtl/>
        </w:rPr>
        <w:tab/>
      </w:r>
    </w:p>
    <w:p w14:paraId="16CE1A7B" w14:textId="77777777" w:rsidR="0057326A" w:rsidRPr="00796547" w:rsidRDefault="0057326A" w:rsidP="00280099">
      <w:pPr>
        <w:tabs>
          <w:tab w:val="center" w:pos="6888"/>
        </w:tabs>
        <w:rPr>
          <w:rFonts w:cs="FrankRuehl"/>
          <w:sz w:val="26"/>
          <w:szCs w:val="26"/>
          <w:rtl/>
        </w:rPr>
      </w:pPr>
      <w:r w:rsidRPr="00796547">
        <w:rPr>
          <w:rFonts w:cs="FrankRuehl"/>
          <w:sz w:val="26"/>
          <w:szCs w:val="26"/>
          <w:rtl/>
        </w:rPr>
        <w:tab/>
      </w:r>
    </w:p>
    <w:p w14:paraId="7BDA8C10" w14:textId="77777777" w:rsidR="0057326A" w:rsidRPr="00796547" w:rsidRDefault="0057326A">
      <w:pPr>
        <w:rPr>
          <w:rFonts w:cs="FrankRuehl"/>
          <w:sz w:val="26"/>
          <w:szCs w:val="26"/>
          <w:rtl/>
        </w:rPr>
      </w:pPr>
      <w:r w:rsidRPr="00796547">
        <w:rPr>
          <w:rFonts w:cs="FrankRuehl"/>
          <w:sz w:val="26"/>
          <w:szCs w:val="26"/>
          <w:rtl/>
        </w:rPr>
        <w:t>העתק:</w:t>
      </w:r>
    </w:p>
    <w:p w14:paraId="0A3C488A" w14:textId="77777777" w:rsidR="0057326A" w:rsidRPr="00796547" w:rsidRDefault="0057326A">
      <w:pPr>
        <w:rPr>
          <w:rFonts w:cs="FrankRuehl"/>
          <w:sz w:val="26"/>
          <w:szCs w:val="26"/>
          <w:rtl/>
        </w:rPr>
      </w:pPr>
      <w:r w:rsidRPr="00796547">
        <w:rPr>
          <w:rFonts w:cs="FrankRuehl"/>
          <w:sz w:val="26"/>
          <w:szCs w:val="26"/>
          <w:rtl/>
        </w:rPr>
        <w:t>החשב הכללי</w:t>
      </w:r>
    </w:p>
    <w:p w14:paraId="45B77A06" w14:textId="77777777" w:rsidR="0057326A" w:rsidRPr="00796547" w:rsidRDefault="0057326A">
      <w:pPr>
        <w:rPr>
          <w:rFonts w:cs="FrankRuehl"/>
          <w:sz w:val="26"/>
          <w:szCs w:val="26"/>
          <w:rtl/>
        </w:rPr>
      </w:pPr>
      <w:r w:rsidRPr="00796547">
        <w:rPr>
          <w:rFonts w:cs="FrankRuehl"/>
          <w:sz w:val="26"/>
          <w:szCs w:val="26"/>
          <w:rtl/>
        </w:rPr>
        <w:t>מבקר המדינה (2)</w:t>
      </w:r>
    </w:p>
    <w:p w14:paraId="658B6E55" w14:textId="77777777" w:rsidR="00BE4B82" w:rsidRDefault="00BE4B82">
      <w:pPr>
        <w:rPr>
          <w:rFonts w:cs="FrankRuehl"/>
          <w:sz w:val="26"/>
          <w:szCs w:val="26"/>
          <w:rtl/>
        </w:rPr>
      </w:pPr>
      <w:bookmarkStart w:id="10" w:name="TAKZIV22"/>
      <w:r>
        <w:rPr>
          <w:rFonts w:cs="FrankRuehl"/>
          <w:sz w:val="26"/>
          <w:szCs w:val="26"/>
          <w:rtl/>
        </w:rPr>
        <w:t>חשב משרד האוצר</w:t>
      </w:r>
    </w:p>
    <w:p w14:paraId="2AD1123F" w14:textId="3114A2C0" w:rsidR="0057326A" w:rsidRPr="00796547" w:rsidRDefault="00BE4B82">
      <w:pPr>
        <w:rPr>
          <w:rFonts w:cs="FrankRuehl"/>
          <w:sz w:val="26"/>
          <w:szCs w:val="26"/>
          <w:rtl/>
        </w:rPr>
      </w:pPr>
      <w:r>
        <w:rPr>
          <w:rFonts w:cs="FrankRuehl"/>
          <w:sz w:val="26"/>
          <w:szCs w:val="26"/>
          <w:rtl/>
        </w:rPr>
        <w:t>חשב החשב הכללי</w:t>
      </w:r>
      <w:bookmarkEnd w:id="10"/>
    </w:p>
    <w:p w14:paraId="31B5BB1A" w14:textId="40FB0E25" w:rsidR="0057326A" w:rsidRPr="00796547" w:rsidRDefault="0057326A">
      <w:pPr>
        <w:rPr>
          <w:rFonts w:cs="FrankRuehl"/>
          <w:sz w:val="26"/>
          <w:szCs w:val="26"/>
          <w:rtl/>
        </w:rPr>
      </w:pPr>
      <w:r w:rsidRPr="00796547">
        <w:rPr>
          <w:rFonts w:cs="FrankRuehl"/>
          <w:sz w:val="26"/>
          <w:szCs w:val="26"/>
          <w:rtl/>
        </w:rPr>
        <w:t xml:space="preserve">קצין תקציבים </w:t>
      </w:r>
      <w:bookmarkStart w:id="11" w:name="TAKZIV6_1"/>
      <w:r w:rsidR="00BE4B82">
        <w:rPr>
          <w:rFonts w:cs="FrankRuehl"/>
          <w:sz w:val="26"/>
          <w:szCs w:val="26"/>
          <w:rtl/>
        </w:rPr>
        <w:t>הוצאות שונות</w:t>
      </w:r>
      <w:bookmarkEnd w:id="11"/>
    </w:p>
    <w:p w14:paraId="23D7A179" w14:textId="7A5A6C11" w:rsidR="0057326A" w:rsidRPr="00796547" w:rsidRDefault="0057326A">
      <w:pPr>
        <w:rPr>
          <w:rFonts w:cs="FrankRuehl"/>
          <w:sz w:val="26"/>
          <w:szCs w:val="26"/>
          <w:rtl/>
        </w:rPr>
      </w:pPr>
      <w:r w:rsidRPr="00796547">
        <w:rPr>
          <w:rFonts w:cs="FrankRuehl"/>
          <w:sz w:val="26"/>
          <w:szCs w:val="26"/>
          <w:rtl/>
        </w:rPr>
        <w:t xml:space="preserve">רפרנט </w:t>
      </w:r>
      <w:bookmarkStart w:id="12" w:name="TAKZIV6_2"/>
      <w:r w:rsidR="00BE4B82">
        <w:rPr>
          <w:rFonts w:cs="FrankRuehl"/>
          <w:sz w:val="26"/>
          <w:szCs w:val="26"/>
          <w:rtl/>
        </w:rPr>
        <w:t>הוצאות שונות</w:t>
      </w:r>
      <w:bookmarkEnd w:id="12"/>
    </w:p>
    <w:p w14:paraId="225A6E4F" w14:textId="77777777" w:rsidR="0057326A" w:rsidRPr="00796547" w:rsidRDefault="0057326A">
      <w:pPr>
        <w:rPr>
          <w:rFonts w:cs="FrankRuehl"/>
          <w:sz w:val="26"/>
          <w:szCs w:val="26"/>
          <w:rtl/>
        </w:rPr>
      </w:pPr>
      <w:bookmarkStart w:id="13" w:name="TAKZIV23"/>
      <w:bookmarkEnd w:id="13"/>
    </w:p>
    <w:p w14:paraId="02468DE4" w14:textId="77777777" w:rsidR="0057326A" w:rsidRPr="00796547" w:rsidRDefault="0057326A">
      <w:pPr>
        <w:rPr>
          <w:rFonts w:cs="FrankRuehl"/>
          <w:sz w:val="26"/>
          <w:szCs w:val="26"/>
          <w:rtl/>
        </w:rPr>
      </w:pPr>
    </w:p>
    <w:p w14:paraId="67BE185A" w14:textId="2008A5C9" w:rsidR="0057326A" w:rsidRDefault="0057326A">
      <w:pPr>
        <w:rPr>
          <w:rFonts w:cs="FrankRuehl"/>
          <w:sz w:val="26"/>
          <w:szCs w:val="26"/>
          <w:rtl/>
        </w:rPr>
      </w:pPr>
    </w:p>
    <w:p w14:paraId="06CCC200" w14:textId="783B3364" w:rsidR="00F3117F" w:rsidRDefault="00F3117F">
      <w:pPr>
        <w:rPr>
          <w:rFonts w:cs="FrankRuehl"/>
          <w:sz w:val="26"/>
          <w:szCs w:val="26"/>
          <w:rtl/>
        </w:rPr>
      </w:pPr>
    </w:p>
    <w:p w14:paraId="122F88C7" w14:textId="449F011A" w:rsidR="00F3117F" w:rsidRDefault="00F3117F">
      <w:pPr>
        <w:rPr>
          <w:rFonts w:cs="FrankRuehl"/>
          <w:sz w:val="26"/>
          <w:szCs w:val="26"/>
          <w:rtl/>
        </w:rPr>
      </w:pPr>
    </w:p>
    <w:p w14:paraId="22FA0EE0" w14:textId="6E196557" w:rsidR="00F3117F" w:rsidRDefault="00F3117F">
      <w:pPr>
        <w:rPr>
          <w:rFonts w:cs="FrankRuehl"/>
          <w:sz w:val="26"/>
          <w:szCs w:val="26"/>
          <w:rtl/>
        </w:rPr>
      </w:pPr>
    </w:p>
    <w:p w14:paraId="5F519CC3" w14:textId="58F7BCE1" w:rsidR="00F3117F" w:rsidRDefault="00F3117F">
      <w:pPr>
        <w:rPr>
          <w:rFonts w:cs="FrankRuehl"/>
          <w:sz w:val="26"/>
          <w:szCs w:val="26"/>
          <w:rtl/>
        </w:rPr>
      </w:pPr>
    </w:p>
    <w:p w14:paraId="3315EDFD" w14:textId="6B57CC1D" w:rsidR="00F3117F" w:rsidRDefault="00F3117F">
      <w:pPr>
        <w:rPr>
          <w:rFonts w:cs="FrankRuehl"/>
          <w:sz w:val="26"/>
          <w:szCs w:val="26"/>
          <w:rtl/>
        </w:rPr>
      </w:pPr>
    </w:p>
    <w:p w14:paraId="223E6022" w14:textId="4DFACBE5" w:rsidR="00F3117F" w:rsidRDefault="00F3117F">
      <w:pPr>
        <w:rPr>
          <w:rFonts w:cs="FrankRuehl"/>
          <w:sz w:val="26"/>
          <w:szCs w:val="26"/>
          <w:rtl/>
        </w:rPr>
      </w:pPr>
    </w:p>
    <w:p w14:paraId="296CFE56" w14:textId="55660388" w:rsidR="00F3117F" w:rsidRDefault="00F3117F">
      <w:pPr>
        <w:rPr>
          <w:rFonts w:cs="FrankRuehl"/>
          <w:sz w:val="26"/>
          <w:szCs w:val="26"/>
          <w:rtl/>
        </w:rPr>
      </w:pPr>
    </w:p>
    <w:p w14:paraId="45A24D86" w14:textId="7E84F4B4" w:rsidR="00F3117F" w:rsidRDefault="00F3117F">
      <w:pPr>
        <w:rPr>
          <w:rFonts w:cs="FrankRuehl"/>
          <w:sz w:val="26"/>
          <w:szCs w:val="26"/>
          <w:rtl/>
        </w:rPr>
      </w:pPr>
    </w:p>
    <w:p w14:paraId="4DAC943A" w14:textId="70BF5234" w:rsidR="00F3117F" w:rsidRDefault="00F3117F">
      <w:pPr>
        <w:rPr>
          <w:rFonts w:cs="FrankRuehl"/>
          <w:sz w:val="26"/>
          <w:szCs w:val="26"/>
          <w:rtl/>
        </w:rPr>
      </w:pPr>
    </w:p>
    <w:p w14:paraId="76C18C9F" w14:textId="7A3CBA27" w:rsidR="00F3117F" w:rsidRDefault="00F3117F">
      <w:pPr>
        <w:rPr>
          <w:rFonts w:cs="FrankRuehl"/>
          <w:sz w:val="26"/>
          <w:szCs w:val="26"/>
          <w:rtl/>
        </w:rPr>
      </w:pPr>
    </w:p>
    <w:p w14:paraId="06BE56E5" w14:textId="4F1831E2" w:rsidR="00F3117F" w:rsidRDefault="00F3117F">
      <w:pPr>
        <w:rPr>
          <w:rFonts w:cs="FrankRuehl"/>
          <w:sz w:val="26"/>
          <w:szCs w:val="26"/>
          <w:rtl/>
        </w:rPr>
      </w:pPr>
    </w:p>
    <w:p w14:paraId="6E3E88C2" w14:textId="70117CA0" w:rsidR="00F3117F" w:rsidRDefault="00F3117F">
      <w:pPr>
        <w:rPr>
          <w:rFonts w:cs="FrankRuehl"/>
          <w:sz w:val="26"/>
          <w:szCs w:val="26"/>
          <w:rtl/>
        </w:rPr>
      </w:pPr>
    </w:p>
    <w:p w14:paraId="69E6F398" w14:textId="5C1BF698" w:rsidR="00F3117F" w:rsidRDefault="00F3117F">
      <w:pPr>
        <w:rPr>
          <w:rFonts w:cs="FrankRuehl"/>
          <w:sz w:val="26"/>
          <w:szCs w:val="26"/>
          <w:rtl/>
        </w:rPr>
      </w:pPr>
    </w:p>
    <w:p w14:paraId="37D00008" w14:textId="419E1271" w:rsidR="00F3117F" w:rsidRDefault="00F3117F">
      <w:pPr>
        <w:rPr>
          <w:rFonts w:cs="FrankRuehl"/>
          <w:sz w:val="26"/>
          <w:szCs w:val="26"/>
          <w:rtl/>
        </w:rPr>
      </w:pPr>
    </w:p>
    <w:p w14:paraId="6836433A" w14:textId="04BE0188" w:rsidR="00F3117F" w:rsidRDefault="00F3117F">
      <w:pPr>
        <w:rPr>
          <w:rFonts w:cs="FrankRuehl"/>
          <w:sz w:val="26"/>
          <w:szCs w:val="26"/>
          <w:rtl/>
        </w:rPr>
      </w:pPr>
    </w:p>
    <w:p w14:paraId="084D82BF" w14:textId="209D7FAD" w:rsidR="00F3117F" w:rsidRDefault="00F3117F">
      <w:pPr>
        <w:rPr>
          <w:rFonts w:cs="FrankRuehl"/>
          <w:sz w:val="26"/>
          <w:szCs w:val="26"/>
          <w:rtl/>
        </w:rPr>
      </w:pPr>
    </w:p>
    <w:p w14:paraId="5537E2B8" w14:textId="5C0182A3" w:rsidR="00F3117F" w:rsidRDefault="00F3117F">
      <w:pPr>
        <w:rPr>
          <w:rFonts w:cs="FrankRuehl"/>
          <w:sz w:val="26"/>
          <w:szCs w:val="26"/>
          <w:rtl/>
        </w:rPr>
      </w:pPr>
    </w:p>
    <w:p w14:paraId="40FD803B" w14:textId="582D292E" w:rsidR="00F3117F" w:rsidRDefault="00F3117F">
      <w:pPr>
        <w:rPr>
          <w:rFonts w:cs="FrankRuehl"/>
          <w:sz w:val="26"/>
          <w:szCs w:val="26"/>
          <w:rtl/>
        </w:rPr>
      </w:pPr>
    </w:p>
    <w:p w14:paraId="5791AA11" w14:textId="0A363EA6" w:rsidR="00F3117F" w:rsidRDefault="00F3117F">
      <w:pPr>
        <w:rPr>
          <w:rFonts w:cs="FrankRuehl"/>
          <w:sz w:val="26"/>
          <w:szCs w:val="26"/>
          <w:rtl/>
        </w:rPr>
      </w:pPr>
    </w:p>
    <w:p w14:paraId="5E0E0C11" w14:textId="5BF1D6FE" w:rsidR="00F3117F" w:rsidRDefault="00F3117F">
      <w:pPr>
        <w:rPr>
          <w:rFonts w:cs="FrankRuehl"/>
          <w:sz w:val="26"/>
          <w:szCs w:val="26"/>
          <w:rtl/>
        </w:rPr>
      </w:pPr>
    </w:p>
    <w:p w14:paraId="67D1C0E9" w14:textId="74E2A766" w:rsidR="00F3117F" w:rsidRDefault="00F3117F">
      <w:pPr>
        <w:rPr>
          <w:rFonts w:cs="FrankRuehl"/>
          <w:sz w:val="26"/>
          <w:szCs w:val="26"/>
          <w:rtl/>
        </w:rPr>
      </w:pPr>
    </w:p>
    <w:p w14:paraId="363CDE74" w14:textId="582EDF48" w:rsidR="00F3117F" w:rsidRDefault="00F3117F">
      <w:pPr>
        <w:rPr>
          <w:rFonts w:cs="FrankRuehl"/>
          <w:sz w:val="26"/>
          <w:szCs w:val="26"/>
          <w:rtl/>
        </w:rPr>
      </w:pPr>
    </w:p>
    <w:p w14:paraId="1938B084" w14:textId="2ED865E3" w:rsidR="00F3117F" w:rsidRDefault="00F3117F">
      <w:pPr>
        <w:rPr>
          <w:rFonts w:cs="FrankRuehl"/>
          <w:sz w:val="26"/>
          <w:szCs w:val="26"/>
          <w:rtl/>
        </w:rPr>
      </w:pPr>
    </w:p>
    <w:p w14:paraId="3EC97634" w14:textId="51C88055" w:rsidR="00F3117F" w:rsidRDefault="00F3117F">
      <w:pPr>
        <w:rPr>
          <w:rFonts w:cs="FrankRuehl"/>
          <w:sz w:val="26"/>
          <w:szCs w:val="26"/>
          <w:rtl/>
        </w:rPr>
      </w:pPr>
    </w:p>
    <w:p w14:paraId="13F015BF" w14:textId="7C7F0432" w:rsidR="00F3117F" w:rsidRDefault="00F3117F">
      <w:pPr>
        <w:rPr>
          <w:rFonts w:cs="FrankRuehl"/>
          <w:sz w:val="26"/>
          <w:szCs w:val="26"/>
          <w:rtl/>
        </w:rPr>
      </w:pPr>
    </w:p>
    <w:p w14:paraId="2FD0DAC4" w14:textId="7A655A8E" w:rsidR="00F3117F" w:rsidRDefault="00F3117F">
      <w:pPr>
        <w:rPr>
          <w:rFonts w:cs="FrankRuehl"/>
          <w:sz w:val="26"/>
          <w:szCs w:val="26"/>
          <w:rtl/>
        </w:rPr>
      </w:pPr>
    </w:p>
    <w:p w14:paraId="1D4FF31F" w14:textId="1F2EB7B8" w:rsidR="00F3117F" w:rsidRDefault="00F3117F">
      <w:pPr>
        <w:rPr>
          <w:rFonts w:cs="FrankRuehl"/>
          <w:sz w:val="26"/>
          <w:szCs w:val="26"/>
          <w:rtl/>
        </w:rPr>
      </w:pPr>
    </w:p>
    <w:p w14:paraId="5E4ABDF2" w14:textId="7465DE47" w:rsidR="00F3117F" w:rsidRDefault="00F3117F">
      <w:pPr>
        <w:rPr>
          <w:rFonts w:cs="FrankRuehl"/>
          <w:sz w:val="26"/>
          <w:szCs w:val="26"/>
          <w:rtl/>
        </w:rPr>
      </w:pPr>
    </w:p>
    <w:p w14:paraId="030D432E" w14:textId="2ED6F914" w:rsidR="00F3117F" w:rsidRDefault="00F3117F">
      <w:pPr>
        <w:rPr>
          <w:rFonts w:cs="FrankRuehl"/>
          <w:sz w:val="26"/>
          <w:szCs w:val="26"/>
          <w:rtl/>
        </w:rPr>
      </w:pPr>
    </w:p>
    <w:p w14:paraId="081E450B" w14:textId="0C4B7A23" w:rsidR="00F3117F" w:rsidRDefault="00F3117F">
      <w:pPr>
        <w:rPr>
          <w:rFonts w:cs="FrankRuehl"/>
          <w:sz w:val="26"/>
          <w:szCs w:val="26"/>
          <w:rtl/>
        </w:rPr>
      </w:pPr>
    </w:p>
    <w:p w14:paraId="46993A9A" w14:textId="7F69EE06" w:rsidR="00F3117F" w:rsidRDefault="00F3117F">
      <w:pPr>
        <w:rPr>
          <w:rFonts w:cs="FrankRuehl"/>
          <w:sz w:val="26"/>
          <w:szCs w:val="26"/>
          <w:rtl/>
        </w:rPr>
      </w:pPr>
    </w:p>
    <w:p w14:paraId="1DDD5258" w14:textId="4EACBEAD" w:rsidR="00F3117F" w:rsidRDefault="00F3117F">
      <w:pPr>
        <w:rPr>
          <w:rFonts w:cs="FrankRuehl"/>
          <w:sz w:val="26"/>
          <w:szCs w:val="26"/>
          <w:rtl/>
        </w:rPr>
      </w:pPr>
    </w:p>
    <w:p w14:paraId="541BE257" w14:textId="4CC7083C" w:rsidR="00F3117F" w:rsidRDefault="00F3117F">
      <w:pPr>
        <w:rPr>
          <w:rFonts w:cs="FrankRuehl"/>
          <w:sz w:val="26"/>
          <w:szCs w:val="26"/>
          <w:rtl/>
        </w:rPr>
      </w:pPr>
    </w:p>
    <w:p w14:paraId="0A93BD77" w14:textId="60D845A3" w:rsidR="00F3117F" w:rsidRDefault="00F3117F">
      <w:pPr>
        <w:rPr>
          <w:rFonts w:cs="FrankRuehl"/>
          <w:sz w:val="26"/>
          <w:szCs w:val="26"/>
          <w:rtl/>
        </w:rPr>
      </w:pPr>
    </w:p>
    <w:p w14:paraId="63F45C06" w14:textId="307B3BE8" w:rsidR="00F3117F" w:rsidRDefault="00F3117F">
      <w:pPr>
        <w:rPr>
          <w:rFonts w:cs="FrankRuehl"/>
          <w:sz w:val="26"/>
          <w:szCs w:val="26"/>
          <w:rtl/>
        </w:rPr>
      </w:pPr>
    </w:p>
    <w:p w14:paraId="02B5F213" w14:textId="19147E9F" w:rsidR="00F3117F" w:rsidRDefault="00F3117F">
      <w:pPr>
        <w:rPr>
          <w:rFonts w:cs="FrankRuehl"/>
          <w:sz w:val="26"/>
          <w:szCs w:val="26"/>
          <w:rtl/>
        </w:rPr>
      </w:pPr>
    </w:p>
    <w:p w14:paraId="424A6AB0" w14:textId="3BEBB303" w:rsidR="00F3117F" w:rsidRDefault="00F3117F">
      <w:pPr>
        <w:rPr>
          <w:rFonts w:cs="FrankRuehl"/>
          <w:sz w:val="26"/>
          <w:szCs w:val="26"/>
          <w:rtl/>
        </w:rPr>
      </w:pPr>
    </w:p>
    <w:p w14:paraId="439FB6C3" w14:textId="282BCEA8" w:rsidR="00F3117F" w:rsidRDefault="00F3117F" w:rsidP="00F3117F">
      <w:pPr>
        <w:jc w:val="center"/>
        <w:rPr>
          <w:rFonts w:cs="FrankRuehl"/>
          <w:b/>
          <w:bCs/>
          <w:sz w:val="26"/>
          <w:szCs w:val="26"/>
          <w:u w:val="single"/>
          <w:rtl/>
        </w:rPr>
      </w:pPr>
      <w:r w:rsidRPr="00F3117F">
        <w:rPr>
          <w:rFonts w:cs="FrankRuehl" w:hint="cs"/>
          <w:b/>
          <w:bCs/>
          <w:sz w:val="26"/>
          <w:szCs w:val="26"/>
          <w:u w:val="single"/>
          <w:rtl/>
        </w:rPr>
        <w:lastRenderedPageBreak/>
        <w:t>נספח לדברי ההסבר</w:t>
      </w:r>
    </w:p>
    <w:tbl>
      <w:tblPr>
        <w:tblW w:w="5000" w:type="pct"/>
        <w:tblCellMar>
          <w:top w:w="15" w:type="dxa"/>
          <w:left w:w="15" w:type="dxa"/>
          <w:bottom w:w="15" w:type="dxa"/>
          <w:right w:w="15" w:type="dxa"/>
        </w:tblCellMar>
        <w:tblLook w:val="04A0" w:firstRow="1" w:lastRow="0" w:firstColumn="1" w:lastColumn="0" w:noHBand="0" w:noVBand="1"/>
      </w:tblPr>
      <w:tblGrid>
        <w:gridCol w:w="764"/>
        <w:gridCol w:w="1283"/>
        <w:gridCol w:w="669"/>
        <w:gridCol w:w="1282"/>
        <w:gridCol w:w="669"/>
        <w:gridCol w:w="1255"/>
        <w:gridCol w:w="669"/>
        <w:gridCol w:w="1277"/>
        <w:gridCol w:w="669"/>
      </w:tblGrid>
      <w:tr w:rsidR="00F3117F" w:rsidRPr="00F3117F" w14:paraId="11AD3A22" w14:textId="77777777" w:rsidTr="00F3117F">
        <w:trPr>
          <w:trHeight w:val="300"/>
        </w:trPr>
        <w:tc>
          <w:tcPr>
            <w:tcW w:w="4608" w:type="pct"/>
            <w:gridSpan w:val="8"/>
            <w:tcMar>
              <w:top w:w="0" w:type="dxa"/>
              <w:left w:w="115" w:type="dxa"/>
              <w:bottom w:w="0" w:type="dxa"/>
              <w:right w:w="115" w:type="dxa"/>
            </w:tcMar>
            <w:vAlign w:val="center"/>
            <w:hideMark/>
          </w:tcPr>
          <w:p w14:paraId="6353218A" w14:textId="77777777" w:rsidR="00F3117F" w:rsidRPr="00F3117F" w:rsidRDefault="00F3117F" w:rsidP="00F3117F">
            <w:pPr>
              <w:overflowPunct/>
              <w:autoSpaceDE/>
              <w:autoSpaceDN/>
              <w:bidi w:val="0"/>
              <w:adjustRightInd/>
              <w:textAlignment w:val="auto"/>
              <w:rPr>
                <w:rFonts w:cs="Times New Roman"/>
                <w:sz w:val="24"/>
                <w:lang w:eastAsia="en-US"/>
              </w:rPr>
            </w:pPr>
          </w:p>
          <w:p w14:paraId="073AA977" w14:textId="77777777" w:rsidR="00F3117F" w:rsidRPr="00F3117F" w:rsidRDefault="00F3117F" w:rsidP="00F3117F">
            <w:pPr>
              <w:overflowPunct/>
              <w:autoSpaceDE/>
              <w:autoSpaceDN/>
              <w:adjustRightInd/>
              <w:jc w:val="center"/>
              <w:textAlignment w:val="auto"/>
              <w:rPr>
                <w:rFonts w:cs="Times New Roman"/>
                <w:sz w:val="24"/>
                <w:lang w:eastAsia="en-US"/>
              </w:rPr>
            </w:pPr>
            <w:r w:rsidRPr="00F3117F">
              <w:rPr>
                <w:rFonts w:cs="FrankRuehl"/>
                <w:b/>
                <w:bCs/>
                <w:sz w:val="26"/>
                <w:szCs w:val="26"/>
                <w:rtl/>
              </w:rPr>
              <w:t>היסטוריה תקציבית של הפנייה - הוצאה נטו</w:t>
            </w:r>
          </w:p>
        </w:tc>
        <w:tc>
          <w:tcPr>
            <w:tcW w:w="392" w:type="pct"/>
            <w:tcMar>
              <w:top w:w="0" w:type="dxa"/>
              <w:left w:w="115" w:type="dxa"/>
              <w:bottom w:w="0" w:type="dxa"/>
              <w:right w:w="115" w:type="dxa"/>
            </w:tcMar>
            <w:vAlign w:val="bottom"/>
            <w:hideMark/>
          </w:tcPr>
          <w:p w14:paraId="7083F725" w14:textId="77777777" w:rsidR="00F3117F" w:rsidRPr="00F3117F" w:rsidRDefault="00F3117F" w:rsidP="00F3117F">
            <w:pPr>
              <w:overflowPunct/>
              <w:autoSpaceDE/>
              <w:autoSpaceDN/>
              <w:bidi w:val="0"/>
              <w:adjustRightInd/>
              <w:textAlignment w:val="auto"/>
              <w:rPr>
                <w:rFonts w:cs="Times New Roman"/>
                <w:sz w:val="24"/>
                <w:rtl/>
                <w:lang w:eastAsia="en-US"/>
              </w:rPr>
            </w:pPr>
          </w:p>
        </w:tc>
      </w:tr>
      <w:tr w:rsidR="00F3117F" w:rsidRPr="00F3117F" w14:paraId="693CD37C" w14:textId="77777777" w:rsidTr="00F3117F">
        <w:trPr>
          <w:trHeight w:val="300"/>
        </w:trPr>
        <w:tc>
          <w:tcPr>
            <w:tcW w:w="447" w:type="pct"/>
            <w:tcBorders>
              <w:bottom w:val="single" w:sz="4" w:space="0" w:color="979991"/>
            </w:tcBorders>
            <w:tcMar>
              <w:top w:w="0" w:type="dxa"/>
              <w:left w:w="115" w:type="dxa"/>
              <w:bottom w:w="0" w:type="dxa"/>
              <w:right w:w="115" w:type="dxa"/>
            </w:tcMar>
            <w:vAlign w:val="center"/>
            <w:hideMark/>
          </w:tcPr>
          <w:p w14:paraId="3D9BEF36" w14:textId="77777777" w:rsidR="00F3117F" w:rsidRPr="00F3117F" w:rsidRDefault="00F3117F" w:rsidP="00F3117F">
            <w:pPr>
              <w:overflowPunct/>
              <w:autoSpaceDE/>
              <w:autoSpaceDN/>
              <w:bidi w:val="0"/>
              <w:adjustRightInd/>
              <w:textAlignment w:val="auto"/>
              <w:rPr>
                <w:rFonts w:cs="Times New Roman"/>
                <w:sz w:val="24"/>
                <w:lang w:eastAsia="en-US"/>
              </w:rPr>
            </w:pPr>
          </w:p>
        </w:tc>
        <w:tc>
          <w:tcPr>
            <w:tcW w:w="751" w:type="pct"/>
            <w:tcBorders>
              <w:bottom w:val="single" w:sz="4" w:space="0" w:color="979991"/>
            </w:tcBorders>
            <w:tcMar>
              <w:top w:w="0" w:type="dxa"/>
              <w:left w:w="115" w:type="dxa"/>
              <w:bottom w:w="0" w:type="dxa"/>
              <w:right w:w="115" w:type="dxa"/>
            </w:tcMar>
            <w:vAlign w:val="bottom"/>
            <w:hideMark/>
          </w:tcPr>
          <w:p w14:paraId="2234C1B0" w14:textId="77777777" w:rsidR="00F3117F" w:rsidRPr="00F3117F" w:rsidRDefault="00F3117F" w:rsidP="00F3117F">
            <w:pPr>
              <w:overflowPunct/>
              <w:autoSpaceDE/>
              <w:autoSpaceDN/>
              <w:bidi w:val="0"/>
              <w:adjustRightInd/>
              <w:textAlignment w:val="auto"/>
              <w:rPr>
                <w:rFonts w:cs="Times New Roman"/>
                <w:sz w:val="24"/>
                <w:lang w:eastAsia="en-US"/>
              </w:rPr>
            </w:pPr>
          </w:p>
        </w:tc>
        <w:tc>
          <w:tcPr>
            <w:tcW w:w="392" w:type="pct"/>
            <w:tcBorders>
              <w:bottom w:val="single" w:sz="4" w:space="0" w:color="979991"/>
            </w:tcBorders>
            <w:tcMar>
              <w:top w:w="0" w:type="dxa"/>
              <w:left w:w="115" w:type="dxa"/>
              <w:bottom w:w="0" w:type="dxa"/>
              <w:right w:w="115" w:type="dxa"/>
            </w:tcMar>
            <w:vAlign w:val="bottom"/>
            <w:hideMark/>
          </w:tcPr>
          <w:p w14:paraId="5CF732F6" w14:textId="77777777" w:rsidR="00F3117F" w:rsidRPr="00F3117F" w:rsidRDefault="00F3117F" w:rsidP="00F3117F">
            <w:pPr>
              <w:overflowPunct/>
              <w:autoSpaceDE/>
              <w:autoSpaceDN/>
              <w:bidi w:val="0"/>
              <w:adjustRightInd/>
              <w:textAlignment w:val="auto"/>
              <w:rPr>
                <w:rFonts w:cs="Times New Roman"/>
                <w:sz w:val="24"/>
                <w:lang w:eastAsia="en-US"/>
              </w:rPr>
            </w:pPr>
          </w:p>
        </w:tc>
        <w:tc>
          <w:tcPr>
            <w:tcW w:w="751" w:type="pct"/>
            <w:tcBorders>
              <w:bottom w:val="single" w:sz="4" w:space="0" w:color="979991"/>
            </w:tcBorders>
            <w:tcMar>
              <w:top w:w="0" w:type="dxa"/>
              <w:left w:w="115" w:type="dxa"/>
              <w:bottom w:w="0" w:type="dxa"/>
              <w:right w:w="115" w:type="dxa"/>
            </w:tcMar>
            <w:vAlign w:val="bottom"/>
            <w:hideMark/>
          </w:tcPr>
          <w:p w14:paraId="126ADFC9" w14:textId="77777777" w:rsidR="00F3117F" w:rsidRPr="00F3117F" w:rsidRDefault="00F3117F" w:rsidP="00F3117F">
            <w:pPr>
              <w:overflowPunct/>
              <w:autoSpaceDE/>
              <w:autoSpaceDN/>
              <w:bidi w:val="0"/>
              <w:adjustRightInd/>
              <w:textAlignment w:val="auto"/>
              <w:rPr>
                <w:rFonts w:cs="Times New Roman"/>
                <w:sz w:val="24"/>
                <w:lang w:eastAsia="en-US"/>
              </w:rPr>
            </w:pPr>
          </w:p>
        </w:tc>
        <w:tc>
          <w:tcPr>
            <w:tcW w:w="392" w:type="pct"/>
            <w:tcBorders>
              <w:bottom w:val="single" w:sz="4" w:space="0" w:color="979991"/>
            </w:tcBorders>
            <w:tcMar>
              <w:top w:w="0" w:type="dxa"/>
              <w:left w:w="115" w:type="dxa"/>
              <w:bottom w:w="0" w:type="dxa"/>
              <w:right w:w="115" w:type="dxa"/>
            </w:tcMar>
            <w:vAlign w:val="bottom"/>
            <w:hideMark/>
          </w:tcPr>
          <w:p w14:paraId="2917E262" w14:textId="77777777" w:rsidR="00F3117F" w:rsidRPr="00F3117F" w:rsidRDefault="00F3117F" w:rsidP="00F3117F">
            <w:pPr>
              <w:overflowPunct/>
              <w:autoSpaceDE/>
              <w:autoSpaceDN/>
              <w:bidi w:val="0"/>
              <w:adjustRightInd/>
              <w:textAlignment w:val="auto"/>
              <w:rPr>
                <w:rFonts w:cs="Times New Roman"/>
                <w:sz w:val="24"/>
                <w:lang w:eastAsia="en-US"/>
              </w:rPr>
            </w:pPr>
          </w:p>
        </w:tc>
        <w:tc>
          <w:tcPr>
            <w:tcW w:w="735" w:type="pct"/>
            <w:tcBorders>
              <w:bottom w:val="single" w:sz="4" w:space="0" w:color="979991"/>
            </w:tcBorders>
            <w:tcMar>
              <w:top w:w="0" w:type="dxa"/>
              <w:left w:w="115" w:type="dxa"/>
              <w:bottom w:w="0" w:type="dxa"/>
              <w:right w:w="115" w:type="dxa"/>
            </w:tcMar>
            <w:vAlign w:val="bottom"/>
            <w:hideMark/>
          </w:tcPr>
          <w:p w14:paraId="1454A491" w14:textId="77777777" w:rsidR="00F3117F" w:rsidRPr="00F3117F" w:rsidRDefault="00F3117F" w:rsidP="00F3117F">
            <w:pPr>
              <w:overflowPunct/>
              <w:autoSpaceDE/>
              <w:autoSpaceDN/>
              <w:bidi w:val="0"/>
              <w:adjustRightInd/>
              <w:textAlignment w:val="auto"/>
              <w:rPr>
                <w:rFonts w:cs="Times New Roman"/>
                <w:sz w:val="24"/>
                <w:lang w:eastAsia="en-US"/>
              </w:rPr>
            </w:pPr>
          </w:p>
        </w:tc>
        <w:tc>
          <w:tcPr>
            <w:tcW w:w="392" w:type="pct"/>
            <w:tcBorders>
              <w:bottom w:val="single" w:sz="4" w:space="0" w:color="979991"/>
            </w:tcBorders>
            <w:tcMar>
              <w:top w:w="0" w:type="dxa"/>
              <w:left w:w="115" w:type="dxa"/>
              <w:bottom w:w="0" w:type="dxa"/>
              <w:right w:w="115" w:type="dxa"/>
            </w:tcMar>
            <w:vAlign w:val="bottom"/>
            <w:hideMark/>
          </w:tcPr>
          <w:p w14:paraId="0E3A15C9" w14:textId="77777777" w:rsidR="00F3117F" w:rsidRPr="00F3117F" w:rsidRDefault="00F3117F" w:rsidP="00F3117F">
            <w:pPr>
              <w:overflowPunct/>
              <w:autoSpaceDE/>
              <w:autoSpaceDN/>
              <w:bidi w:val="0"/>
              <w:adjustRightInd/>
              <w:textAlignment w:val="auto"/>
              <w:rPr>
                <w:rFonts w:cs="Times New Roman"/>
                <w:sz w:val="24"/>
                <w:lang w:eastAsia="en-US"/>
              </w:rPr>
            </w:pPr>
          </w:p>
        </w:tc>
        <w:tc>
          <w:tcPr>
            <w:tcW w:w="748" w:type="pct"/>
            <w:tcBorders>
              <w:bottom w:val="single" w:sz="4" w:space="0" w:color="979991"/>
            </w:tcBorders>
            <w:tcMar>
              <w:top w:w="0" w:type="dxa"/>
              <w:left w:w="115" w:type="dxa"/>
              <w:bottom w:w="0" w:type="dxa"/>
              <w:right w:w="115" w:type="dxa"/>
            </w:tcMar>
            <w:vAlign w:val="bottom"/>
            <w:hideMark/>
          </w:tcPr>
          <w:p w14:paraId="656281F4" w14:textId="77777777" w:rsidR="00F3117F" w:rsidRPr="00F3117F" w:rsidRDefault="00F3117F" w:rsidP="00F3117F">
            <w:pPr>
              <w:overflowPunct/>
              <w:autoSpaceDE/>
              <w:autoSpaceDN/>
              <w:bidi w:val="0"/>
              <w:adjustRightInd/>
              <w:textAlignment w:val="auto"/>
              <w:rPr>
                <w:rFonts w:cs="Times New Roman"/>
                <w:sz w:val="24"/>
                <w:lang w:eastAsia="en-US"/>
              </w:rPr>
            </w:pPr>
          </w:p>
        </w:tc>
        <w:tc>
          <w:tcPr>
            <w:tcW w:w="392" w:type="pct"/>
            <w:tcBorders>
              <w:bottom w:val="single" w:sz="4" w:space="0" w:color="979991"/>
            </w:tcBorders>
            <w:tcMar>
              <w:top w:w="0" w:type="dxa"/>
              <w:left w:w="115" w:type="dxa"/>
              <w:bottom w:w="0" w:type="dxa"/>
              <w:right w:w="115" w:type="dxa"/>
            </w:tcMar>
            <w:vAlign w:val="bottom"/>
            <w:hideMark/>
          </w:tcPr>
          <w:p w14:paraId="0F2067DA" w14:textId="77777777" w:rsidR="00F3117F" w:rsidRPr="00F3117F" w:rsidRDefault="00F3117F" w:rsidP="00F3117F">
            <w:pPr>
              <w:overflowPunct/>
              <w:autoSpaceDE/>
              <w:autoSpaceDN/>
              <w:bidi w:val="0"/>
              <w:adjustRightInd/>
              <w:textAlignment w:val="auto"/>
              <w:rPr>
                <w:rFonts w:cs="Times New Roman"/>
                <w:sz w:val="24"/>
                <w:lang w:eastAsia="en-US"/>
              </w:rPr>
            </w:pPr>
          </w:p>
        </w:tc>
      </w:tr>
      <w:tr w:rsidR="00F3117F" w:rsidRPr="00F3117F" w14:paraId="7B66D22F" w14:textId="77777777" w:rsidTr="00F3117F">
        <w:trPr>
          <w:trHeight w:val="675"/>
        </w:trPr>
        <w:tc>
          <w:tcPr>
            <w:tcW w:w="447" w:type="pct"/>
            <w:tcBorders>
              <w:top w:val="single" w:sz="4" w:space="0" w:color="979991"/>
              <w:left w:val="single" w:sz="4" w:space="0" w:color="979991"/>
              <w:bottom w:val="single" w:sz="4" w:space="0" w:color="979991"/>
              <w:right w:val="single" w:sz="4" w:space="0" w:color="979991"/>
            </w:tcBorders>
            <w:shd w:val="clear" w:color="auto" w:fill="F0F4FA"/>
            <w:tcMar>
              <w:top w:w="0" w:type="dxa"/>
              <w:left w:w="115" w:type="dxa"/>
              <w:bottom w:w="0" w:type="dxa"/>
              <w:right w:w="115" w:type="dxa"/>
            </w:tcMar>
            <w:vAlign w:val="center"/>
            <w:hideMark/>
          </w:tcPr>
          <w:p w14:paraId="5D8A2C37" w14:textId="77777777" w:rsidR="00F3117F" w:rsidRPr="00F3117F" w:rsidRDefault="00F3117F" w:rsidP="00F3117F">
            <w:pPr>
              <w:overflowPunct/>
              <w:autoSpaceDE/>
              <w:autoSpaceDN/>
              <w:adjustRightInd/>
              <w:jc w:val="center"/>
              <w:textAlignment w:val="auto"/>
              <w:rPr>
                <w:rFonts w:cs="Times New Roman"/>
                <w:sz w:val="24"/>
                <w:lang w:eastAsia="en-US"/>
              </w:rPr>
            </w:pPr>
            <w:r w:rsidRPr="00F3117F">
              <w:rPr>
                <w:rFonts w:ascii="Calibri" w:hAnsi="Calibri" w:cs="Calibri"/>
                <w:b/>
                <w:bCs/>
                <w:color w:val="000000"/>
                <w:sz w:val="16"/>
                <w:szCs w:val="16"/>
                <w:rtl/>
                <w:lang w:eastAsia="en-US"/>
              </w:rPr>
              <w:t>קוד תוכנית</w:t>
            </w:r>
          </w:p>
        </w:tc>
        <w:tc>
          <w:tcPr>
            <w:tcW w:w="751" w:type="pct"/>
            <w:tcBorders>
              <w:top w:val="single" w:sz="4" w:space="0" w:color="979991"/>
              <w:left w:val="single" w:sz="4" w:space="0" w:color="979991"/>
              <w:bottom w:val="single" w:sz="4" w:space="0" w:color="979991"/>
              <w:right w:val="single" w:sz="4" w:space="0" w:color="979991"/>
            </w:tcBorders>
            <w:shd w:val="clear" w:color="auto" w:fill="F0F4FA"/>
            <w:tcMar>
              <w:top w:w="0" w:type="dxa"/>
              <w:left w:w="115" w:type="dxa"/>
              <w:bottom w:w="0" w:type="dxa"/>
              <w:right w:w="115" w:type="dxa"/>
            </w:tcMar>
            <w:vAlign w:val="center"/>
            <w:hideMark/>
          </w:tcPr>
          <w:p w14:paraId="18CF109A" w14:textId="77777777" w:rsidR="00F3117F" w:rsidRPr="00F3117F" w:rsidRDefault="00F3117F" w:rsidP="00F3117F">
            <w:pPr>
              <w:overflowPunct/>
              <w:autoSpaceDE/>
              <w:autoSpaceDN/>
              <w:adjustRightInd/>
              <w:jc w:val="center"/>
              <w:textAlignment w:val="auto"/>
              <w:rPr>
                <w:rFonts w:cs="Times New Roman"/>
                <w:sz w:val="24"/>
                <w:rtl/>
                <w:lang w:eastAsia="en-US"/>
              </w:rPr>
            </w:pPr>
            <w:r w:rsidRPr="00F3117F">
              <w:rPr>
                <w:rFonts w:ascii="Calibri" w:hAnsi="Calibri" w:cs="Calibri"/>
                <w:b/>
                <w:bCs/>
                <w:color w:val="000000"/>
                <w:sz w:val="16"/>
                <w:szCs w:val="16"/>
                <w:rtl/>
                <w:lang w:eastAsia="en-US"/>
              </w:rPr>
              <w:t>השינוי התקציב המוצע בפנייה הוצאות נטו</w:t>
            </w:r>
          </w:p>
        </w:tc>
        <w:tc>
          <w:tcPr>
            <w:tcW w:w="392" w:type="pct"/>
            <w:tcBorders>
              <w:top w:val="single" w:sz="4" w:space="0" w:color="979991"/>
              <w:left w:val="single" w:sz="4" w:space="0" w:color="979991"/>
              <w:bottom w:val="single" w:sz="4" w:space="0" w:color="979991"/>
              <w:right w:val="single" w:sz="4" w:space="0" w:color="979991"/>
            </w:tcBorders>
            <w:shd w:val="clear" w:color="auto" w:fill="F0F4FA"/>
            <w:tcMar>
              <w:top w:w="0" w:type="dxa"/>
              <w:left w:w="115" w:type="dxa"/>
              <w:bottom w:w="0" w:type="dxa"/>
              <w:right w:w="115" w:type="dxa"/>
            </w:tcMar>
            <w:vAlign w:val="center"/>
            <w:hideMark/>
          </w:tcPr>
          <w:p w14:paraId="5ABC9685" w14:textId="77777777" w:rsidR="00F3117F" w:rsidRPr="00F3117F" w:rsidRDefault="00F3117F" w:rsidP="00F3117F">
            <w:pPr>
              <w:overflowPunct/>
              <w:autoSpaceDE/>
              <w:autoSpaceDN/>
              <w:adjustRightInd/>
              <w:jc w:val="center"/>
              <w:textAlignment w:val="auto"/>
              <w:rPr>
                <w:rFonts w:cs="Times New Roman"/>
                <w:sz w:val="24"/>
                <w:rtl/>
                <w:lang w:eastAsia="en-US"/>
              </w:rPr>
            </w:pPr>
            <w:r w:rsidRPr="00F3117F">
              <w:rPr>
                <w:rFonts w:ascii="Calibri" w:hAnsi="Calibri" w:cs="Calibri"/>
                <w:b/>
                <w:bCs/>
                <w:color w:val="000000"/>
                <w:sz w:val="16"/>
                <w:szCs w:val="16"/>
                <w:rtl/>
                <w:lang w:eastAsia="en-US"/>
              </w:rPr>
              <w:t>מקורי 2026</w:t>
            </w:r>
          </w:p>
        </w:tc>
        <w:tc>
          <w:tcPr>
            <w:tcW w:w="751" w:type="pct"/>
            <w:tcBorders>
              <w:top w:val="single" w:sz="4" w:space="0" w:color="979991"/>
              <w:left w:val="single" w:sz="4" w:space="0" w:color="979991"/>
              <w:bottom w:val="single" w:sz="4" w:space="0" w:color="979991"/>
              <w:right w:val="single" w:sz="4" w:space="0" w:color="979991"/>
            </w:tcBorders>
            <w:shd w:val="clear" w:color="auto" w:fill="F0F4FA"/>
            <w:tcMar>
              <w:top w:w="0" w:type="dxa"/>
              <w:left w:w="115" w:type="dxa"/>
              <w:bottom w:w="0" w:type="dxa"/>
              <w:right w:w="115" w:type="dxa"/>
            </w:tcMar>
            <w:vAlign w:val="center"/>
            <w:hideMark/>
          </w:tcPr>
          <w:p w14:paraId="0FE75D76" w14:textId="77777777" w:rsidR="00F3117F" w:rsidRPr="00F3117F" w:rsidRDefault="00F3117F" w:rsidP="00F3117F">
            <w:pPr>
              <w:overflowPunct/>
              <w:autoSpaceDE/>
              <w:autoSpaceDN/>
              <w:adjustRightInd/>
              <w:jc w:val="center"/>
              <w:textAlignment w:val="auto"/>
              <w:rPr>
                <w:rFonts w:cs="Times New Roman"/>
                <w:sz w:val="24"/>
                <w:rtl/>
                <w:lang w:eastAsia="en-US"/>
              </w:rPr>
            </w:pPr>
            <w:r w:rsidRPr="00F3117F">
              <w:rPr>
                <w:rFonts w:ascii="Calibri" w:hAnsi="Calibri" w:cs="Calibri"/>
                <w:b/>
                <w:bCs/>
                <w:color w:val="000000"/>
                <w:sz w:val="16"/>
                <w:szCs w:val="16"/>
                <w:rtl/>
                <w:lang w:eastAsia="en-US"/>
              </w:rPr>
              <w:t>מאושר 2025 בניכוי עודפים שעברו ב-2025 </w:t>
            </w:r>
          </w:p>
        </w:tc>
        <w:tc>
          <w:tcPr>
            <w:tcW w:w="392" w:type="pct"/>
            <w:tcBorders>
              <w:top w:val="single" w:sz="4" w:space="0" w:color="979991"/>
              <w:left w:val="single" w:sz="4" w:space="0" w:color="979991"/>
              <w:bottom w:val="single" w:sz="4" w:space="0" w:color="979991"/>
              <w:right w:val="single" w:sz="4" w:space="0" w:color="979991"/>
            </w:tcBorders>
            <w:shd w:val="clear" w:color="auto" w:fill="F0F4FA"/>
            <w:tcMar>
              <w:top w:w="0" w:type="dxa"/>
              <w:left w:w="115" w:type="dxa"/>
              <w:bottom w:w="0" w:type="dxa"/>
              <w:right w:w="115" w:type="dxa"/>
            </w:tcMar>
            <w:vAlign w:val="center"/>
            <w:hideMark/>
          </w:tcPr>
          <w:p w14:paraId="39F935FC" w14:textId="77777777" w:rsidR="00F3117F" w:rsidRPr="00F3117F" w:rsidRDefault="00F3117F" w:rsidP="00F3117F">
            <w:pPr>
              <w:overflowPunct/>
              <w:autoSpaceDE/>
              <w:autoSpaceDN/>
              <w:adjustRightInd/>
              <w:jc w:val="center"/>
              <w:textAlignment w:val="auto"/>
              <w:rPr>
                <w:rFonts w:cs="Times New Roman"/>
                <w:sz w:val="24"/>
                <w:rtl/>
                <w:lang w:eastAsia="en-US"/>
              </w:rPr>
            </w:pPr>
            <w:r w:rsidRPr="00F3117F">
              <w:rPr>
                <w:rFonts w:ascii="Calibri" w:hAnsi="Calibri" w:cs="Calibri"/>
                <w:b/>
                <w:bCs/>
                <w:color w:val="000000"/>
                <w:sz w:val="16"/>
                <w:szCs w:val="16"/>
                <w:rtl/>
                <w:lang w:eastAsia="en-US"/>
              </w:rPr>
              <w:t>מקורי 2025</w:t>
            </w:r>
          </w:p>
        </w:tc>
        <w:tc>
          <w:tcPr>
            <w:tcW w:w="735" w:type="pct"/>
            <w:tcBorders>
              <w:top w:val="single" w:sz="4" w:space="0" w:color="979991"/>
              <w:left w:val="single" w:sz="4" w:space="0" w:color="979991"/>
              <w:bottom w:val="single" w:sz="4" w:space="0" w:color="979991"/>
              <w:right w:val="single" w:sz="4" w:space="0" w:color="979991"/>
            </w:tcBorders>
            <w:shd w:val="clear" w:color="auto" w:fill="F0F4FA"/>
            <w:tcMar>
              <w:top w:w="0" w:type="dxa"/>
              <w:left w:w="115" w:type="dxa"/>
              <w:bottom w:w="0" w:type="dxa"/>
              <w:right w:w="115" w:type="dxa"/>
            </w:tcMar>
            <w:vAlign w:val="center"/>
            <w:hideMark/>
          </w:tcPr>
          <w:p w14:paraId="2898CE47" w14:textId="77777777" w:rsidR="00F3117F" w:rsidRPr="00F3117F" w:rsidRDefault="00F3117F" w:rsidP="00F3117F">
            <w:pPr>
              <w:overflowPunct/>
              <w:autoSpaceDE/>
              <w:autoSpaceDN/>
              <w:adjustRightInd/>
              <w:jc w:val="center"/>
              <w:textAlignment w:val="auto"/>
              <w:rPr>
                <w:rFonts w:cs="Times New Roman"/>
                <w:sz w:val="24"/>
                <w:rtl/>
                <w:lang w:eastAsia="en-US"/>
              </w:rPr>
            </w:pPr>
            <w:r w:rsidRPr="00F3117F">
              <w:rPr>
                <w:rFonts w:ascii="Calibri" w:hAnsi="Calibri" w:cs="Calibri"/>
                <w:b/>
                <w:bCs/>
                <w:color w:val="000000"/>
                <w:sz w:val="16"/>
                <w:szCs w:val="16"/>
                <w:rtl/>
                <w:lang w:eastAsia="en-US"/>
              </w:rPr>
              <w:t>מאושר 2024 בניכוי עודפים שעברו ב-2024</w:t>
            </w:r>
          </w:p>
        </w:tc>
        <w:tc>
          <w:tcPr>
            <w:tcW w:w="392" w:type="pct"/>
            <w:tcBorders>
              <w:top w:val="single" w:sz="4" w:space="0" w:color="979991"/>
              <w:left w:val="single" w:sz="4" w:space="0" w:color="979991"/>
              <w:bottom w:val="single" w:sz="4" w:space="0" w:color="979991"/>
              <w:right w:val="single" w:sz="4" w:space="0" w:color="979991"/>
            </w:tcBorders>
            <w:shd w:val="clear" w:color="auto" w:fill="F0F4FA"/>
            <w:tcMar>
              <w:top w:w="0" w:type="dxa"/>
              <w:left w:w="115" w:type="dxa"/>
              <w:bottom w:w="0" w:type="dxa"/>
              <w:right w:w="115" w:type="dxa"/>
            </w:tcMar>
            <w:vAlign w:val="center"/>
            <w:hideMark/>
          </w:tcPr>
          <w:p w14:paraId="092E4972" w14:textId="77777777" w:rsidR="00F3117F" w:rsidRPr="00F3117F" w:rsidRDefault="00F3117F" w:rsidP="00F3117F">
            <w:pPr>
              <w:overflowPunct/>
              <w:autoSpaceDE/>
              <w:autoSpaceDN/>
              <w:adjustRightInd/>
              <w:jc w:val="center"/>
              <w:textAlignment w:val="auto"/>
              <w:rPr>
                <w:rFonts w:cs="Times New Roman"/>
                <w:sz w:val="24"/>
                <w:rtl/>
                <w:lang w:eastAsia="en-US"/>
              </w:rPr>
            </w:pPr>
            <w:r w:rsidRPr="00F3117F">
              <w:rPr>
                <w:rFonts w:ascii="Calibri" w:hAnsi="Calibri" w:cs="Calibri"/>
                <w:b/>
                <w:bCs/>
                <w:color w:val="000000"/>
                <w:sz w:val="16"/>
                <w:szCs w:val="16"/>
                <w:rtl/>
                <w:lang w:eastAsia="en-US"/>
              </w:rPr>
              <w:t>מקורי 2024</w:t>
            </w:r>
          </w:p>
        </w:tc>
        <w:tc>
          <w:tcPr>
            <w:tcW w:w="748" w:type="pct"/>
            <w:tcBorders>
              <w:top w:val="single" w:sz="4" w:space="0" w:color="979991"/>
              <w:left w:val="single" w:sz="4" w:space="0" w:color="979991"/>
              <w:bottom w:val="single" w:sz="4" w:space="0" w:color="979991"/>
              <w:right w:val="single" w:sz="4" w:space="0" w:color="979991"/>
            </w:tcBorders>
            <w:shd w:val="clear" w:color="auto" w:fill="F0F4FA"/>
            <w:tcMar>
              <w:top w:w="0" w:type="dxa"/>
              <w:left w:w="115" w:type="dxa"/>
              <w:bottom w:w="0" w:type="dxa"/>
              <w:right w:w="115" w:type="dxa"/>
            </w:tcMar>
            <w:vAlign w:val="center"/>
            <w:hideMark/>
          </w:tcPr>
          <w:p w14:paraId="4FC4511C" w14:textId="77777777" w:rsidR="00F3117F" w:rsidRPr="00F3117F" w:rsidRDefault="00F3117F" w:rsidP="00F3117F">
            <w:pPr>
              <w:overflowPunct/>
              <w:autoSpaceDE/>
              <w:autoSpaceDN/>
              <w:adjustRightInd/>
              <w:jc w:val="center"/>
              <w:textAlignment w:val="auto"/>
              <w:rPr>
                <w:rFonts w:cs="Times New Roman"/>
                <w:sz w:val="24"/>
                <w:rtl/>
                <w:lang w:eastAsia="en-US"/>
              </w:rPr>
            </w:pPr>
            <w:r w:rsidRPr="00F3117F">
              <w:rPr>
                <w:rFonts w:ascii="Calibri" w:hAnsi="Calibri" w:cs="Calibri"/>
                <w:b/>
                <w:bCs/>
                <w:color w:val="000000"/>
                <w:sz w:val="16"/>
                <w:szCs w:val="16"/>
                <w:rtl/>
                <w:lang w:eastAsia="en-US"/>
              </w:rPr>
              <w:t>מאושר 2023 בניכוי עודפים שעברו ב-2023</w:t>
            </w:r>
          </w:p>
        </w:tc>
        <w:tc>
          <w:tcPr>
            <w:tcW w:w="392" w:type="pct"/>
            <w:tcBorders>
              <w:top w:val="single" w:sz="4" w:space="0" w:color="979991"/>
              <w:left w:val="single" w:sz="4" w:space="0" w:color="979991"/>
              <w:bottom w:val="single" w:sz="4" w:space="0" w:color="979991"/>
              <w:right w:val="single" w:sz="4" w:space="0" w:color="979991"/>
            </w:tcBorders>
            <w:shd w:val="clear" w:color="auto" w:fill="F0F4FA"/>
            <w:tcMar>
              <w:top w:w="0" w:type="dxa"/>
              <w:left w:w="115" w:type="dxa"/>
              <w:bottom w:w="0" w:type="dxa"/>
              <w:right w:w="115" w:type="dxa"/>
            </w:tcMar>
            <w:vAlign w:val="center"/>
            <w:hideMark/>
          </w:tcPr>
          <w:p w14:paraId="39688FF1" w14:textId="77777777" w:rsidR="00F3117F" w:rsidRPr="00F3117F" w:rsidRDefault="00F3117F" w:rsidP="00F3117F">
            <w:pPr>
              <w:overflowPunct/>
              <w:autoSpaceDE/>
              <w:autoSpaceDN/>
              <w:adjustRightInd/>
              <w:jc w:val="center"/>
              <w:textAlignment w:val="auto"/>
              <w:rPr>
                <w:rFonts w:cs="Times New Roman"/>
                <w:sz w:val="24"/>
                <w:rtl/>
                <w:lang w:eastAsia="en-US"/>
              </w:rPr>
            </w:pPr>
            <w:r w:rsidRPr="00F3117F">
              <w:rPr>
                <w:rFonts w:ascii="Calibri" w:hAnsi="Calibri" w:cs="Calibri"/>
                <w:b/>
                <w:bCs/>
                <w:color w:val="000000"/>
                <w:sz w:val="16"/>
                <w:szCs w:val="16"/>
                <w:rtl/>
                <w:lang w:eastAsia="en-US"/>
              </w:rPr>
              <w:t>מקורי 2023</w:t>
            </w:r>
          </w:p>
        </w:tc>
      </w:tr>
      <w:tr w:rsidR="00F3117F" w:rsidRPr="00F3117F" w14:paraId="7449F2AA" w14:textId="77777777" w:rsidTr="00F3117F">
        <w:trPr>
          <w:trHeight w:val="300"/>
        </w:trPr>
        <w:tc>
          <w:tcPr>
            <w:tcW w:w="447" w:type="pct"/>
            <w:tcBorders>
              <w:top w:val="single" w:sz="4" w:space="0" w:color="979991"/>
              <w:left w:val="single" w:sz="4" w:space="0" w:color="979991"/>
              <w:bottom w:val="single" w:sz="4" w:space="0" w:color="979991"/>
              <w:right w:val="single" w:sz="4" w:space="0" w:color="979991"/>
            </w:tcBorders>
            <w:shd w:val="clear" w:color="auto" w:fill="F0F4FA"/>
            <w:tcMar>
              <w:top w:w="0" w:type="dxa"/>
              <w:left w:w="115" w:type="dxa"/>
              <w:bottom w:w="0" w:type="dxa"/>
              <w:right w:w="115" w:type="dxa"/>
            </w:tcMar>
            <w:vAlign w:val="center"/>
            <w:hideMark/>
          </w:tcPr>
          <w:p w14:paraId="329A59C6" w14:textId="77777777" w:rsidR="00F3117F" w:rsidRPr="00F3117F" w:rsidRDefault="00F3117F" w:rsidP="00F3117F">
            <w:pPr>
              <w:overflowPunct/>
              <w:autoSpaceDE/>
              <w:autoSpaceDN/>
              <w:bidi w:val="0"/>
              <w:adjustRightInd/>
              <w:jc w:val="center"/>
              <w:textAlignment w:val="auto"/>
              <w:rPr>
                <w:rFonts w:cs="Times New Roman"/>
                <w:sz w:val="24"/>
                <w:rtl/>
                <w:lang w:eastAsia="en-US"/>
              </w:rPr>
            </w:pPr>
            <w:r w:rsidRPr="00F3117F">
              <w:rPr>
                <w:rFonts w:ascii="Calibri" w:hAnsi="Calibri" w:cs="Calibri"/>
                <w:color w:val="000000"/>
                <w:sz w:val="16"/>
                <w:szCs w:val="16"/>
                <w:lang w:eastAsia="en-US"/>
              </w:rPr>
              <w:t>130105</w:t>
            </w:r>
          </w:p>
        </w:tc>
        <w:tc>
          <w:tcPr>
            <w:tcW w:w="751" w:type="pct"/>
            <w:tcBorders>
              <w:top w:val="single" w:sz="4" w:space="0" w:color="979991"/>
              <w:left w:val="single" w:sz="4" w:space="0" w:color="979991"/>
              <w:bottom w:val="single" w:sz="4" w:space="0" w:color="979991"/>
              <w:right w:val="single" w:sz="4" w:space="0" w:color="979991"/>
            </w:tcBorders>
            <w:shd w:val="clear" w:color="auto" w:fill="FFFFFF"/>
            <w:tcMar>
              <w:top w:w="0" w:type="dxa"/>
              <w:left w:w="115" w:type="dxa"/>
              <w:bottom w:w="0" w:type="dxa"/>
              <w:right w:w="115" w:type="dxa"/>
            </w:tcMar>
            <w:vAlign w:val="center"/>
            <w:hideMark/>
          </w:tcPr>
          <w:p w14:paraId="6672CEC7" w14:textId="77777777" w:rsidR="00F3117F" w:rsidRPr="00F3117F" w:rsidRDefault="00F3117F" w:rsidP="00F3117F">
            <w:pPr>
              <w:overflowPunct/>
              <w:autoSpaceDE/>
              <w:autoSpaceDN/>
              <w:bidi w:val="0"/>
              <w:adjustRightInd/>
              <w:jc w:val="center"/>
              <w:textAlignment w:val="auto"/>
              <w:rPr>
                <w:rFonts w:cs="Times New Roman"/>
                <w:sz w:val="24"/>
                <w:lang w:eastAsia="en-US"/>
              </w:rPr>
            </w:pPr>
            <w:r w:rsidRPr="00F3117F">
              <w:rPr>
                <w:rFonts w:ascii="Calibri" w:hAnsi="Calibri" w:cs="Calibri"/>
                <w:color w:val="000000"/>
                <w:sz w:val="16"/>
                <w:szCs w:val="16"/>
                <w:lang w:eastAsia="en-US"/>
              </w:rPr>
              <w:t>40,000</w:t>
            </w:r>
          </w:p>
        </w:tc>
        <w:tc>
          <w:tcPr>
            <w:tcW w:w="392" w:type="pct"/>
            <w:tcBorders>
              <w:top w:val="single" w:sz="4" w:space="0" w:color="979991"/>
              <w:left w:val="single" w:sz="4" w:space="0" w:color="979991"/>
              <w:bottom w:val="single" w:sz="4" w:space="0" w:color="979991"/>
              <w:right w:val="single" w:sz="4" w:space="0" w:color="979991"/>
            </w:tcBorders>
            <w:shd w:val="clear" w:color="auto" w:fill="FFFFFF"/>
            <w:tcMar>
              <w:top w:w="0" w:type="dxa"/>
              <w:left w:w="115" w:type="dxa"/>
              <w:bottom w:w="0" w:type="dxa"/>
              <w:right w:w="115" w:type="dxa"/>
            </w:tcMar>
            <w:vAlign w:val="center"/>
            <w:hideMark/>
          </w:tcPr>
          <w:p w14:paraId="5D739DEE" w14:textId="77777777" w:rsidR="00F3117F" w:rsidRPr="00F3117F" w:rsidRDefault="00F3117F" w:rsidP="00F3117F">
            <w:pPr>
              <w:overflowPunct/>
              <w:autoSpaceDE/>
              <w:autoSpaceDN/>
              <w:bidi w:val="0"/>
              <w:adjustRightInd/>
              <w:jc w:val="center"/>
              <w:textAlignment w:val="auto"/>
              <w:rPr>
                <w:rFonts w:cs="Times New Roman"/>
                <w:sz w:val="24"/>
                <w:lang w:eastAsia="en-US"/>
              </w:rPr>
            </w:pPr>
            <w:r w:rsidRPr="00F3117F">
              <w:rPr>
                <w:rFonts w:ascii="Calibri" w:hAnsi="Calibri" w:cs="Calibri"/>
                <w:color w:val="000000"/>
                <w:sz w:val="16"/>
                <w:szCs w:val="16"/>
                <w:lang w:eastAsia="en-US"/>
              </w:rPr>
              <w:t>0</w:t>
            </w:r>
          </w:p>
        </w:tc>
        <w:tc>
          <w:tcPr>
            <w:tcW w:w="751" w:type="pct"/>
            <w:tcBorders>
              <w:top w:val="single" w:sz="4" w:space="0" w:color="979991"/>
              <w:left w:val="single" w:sz="4" w:space="0" w:color="979991"/>
              <w:bottom w:val="single" w:sz="4" w:space="0" w:color="979991"/>
              <w:right w:val="single" w:sz="4" w:space="0" w:color="979991"/>
            </w:tcBorders>
            <w:shd w:val="clear" w:color="auto" w:fill="FFFFFF"/>
            <w:tcMar>
              <w:top w:w="0" w:type="dxa"/>
              <w:left w:w="115" w:type="dxa"/>
              <w:bottom w:w="0" w:type="dxa"/>
              <w:right w:w="115" w:type="dxa"/>
            </w:tcMar>
            <w:vAlign w:val="center"/>
            <w:hideMark/>
          </w:tcPr>
          <w:p w14:paraId="377E940B" w14:textId="77777777" w:rsidR="00F3117F" w:rsidRPr="00F3117F" w:rsidRDefault="00F3117F" w:rsidP="00F3117F">
            <w:pPr>
              <w:overflowPunct/>
              <w:autoSpaceDE/>
              <w:autoSpaceDN/>
              <w:bidi w:val="0"/>
              <w:adjustRightInd/>
              <w:jc w:val="center"/>
              <w:textAlignment w:val="auto"/>
              <w:rPr>
                <w:rFonts w:cs="Times New Roman"/>
                <w:sz w:val="24"/>
                <w:lang w:eastAsia="en-US"/>
              </w:rPr>
            </w:pPr>
            <w:r w:rsidRPr="00F3117F">
              <w:rPr>
                <w:rFonts w:ascii="Calibri" w:hAnsi="Calibri" w:cs="Calibri"/>
                <w:color w:val="000000"/>
                <w:sz w:val="16"/>
                <w:szCs w:val="16"/>
                <w:lang w:eastAsia="en-US"/>
              </w:rPr>
              <w:t>12,024</w:t>
            </w:r>
          </w:p>
        </w:tc>
        <w:tc>
          <w:tcPr>
            <w:tcW w:w="392" w:type="pct"/>
            <w:tcBorders>
              <w:top w:val="single" w:sz="4" w:space="0" w:color="979991"/>
              <w:left w:val="single" w:sz="4" w:space="0" w:color="979991"/>
              <w:bottom w:val="single" w:sz="4" w:space="0" w:color="979991"/>
              <w:right w:val="single" w:sz="4" w:space="0" w:color="979991"/>
            </w:tcBorders>
            <w:shd w:val="clear" w:color="auto" w:fill="FFFFFF"/>
            <w:tcMar>
              <w:top w:w="0" w:type="dxa"/>
              <w:left w:w="115" w:type="dxa"/>
              <w:bottom w:w="0" w:type="dxa"/>
              <w:right w:w="115" w:type="dxa"/>
            </w:tcMar>
            <w:vAlign w:val="center"/>
            <w:hideMark/>
          </w:tcPr>
          <w:p w14:paraId="0E024902" w14:textId="77777777" w:rsidR="00F3117F" w:rsidRPr="00F3117F" w:rsidRDefault="00F3117F" w:rsidP="00F3117F">
            <w:pPr>
              <w:overflowPunct/>
              <w:autoSpaceDE/>
              <w:autoSpaceDN/>
              <w:bidi w:val="0"/>
              <w:adjustRightInd/>
              <w:jc w:val="center"/>
              <w:textAlignment w:val="auto"/>
              <w:rPr>
                <w:rFonts w:cs="Times New Roman"/>
                <w:sz w:val="24"/>
                <w:lang w:eastAsia="en-US"/>
              </w:rPr>
            </w:pPr>
            <w:r w:rsidRPr="00F3117F">
              <w:rPr>
                <w:rFonts w:ascii="Calibri" w:hAnsi="Calibri" w:cs="Calibri"/>
                <w:color w:val="000000"/>
                <w:sz w:val="16"/>
                <w:szCs w:val="16"/>
                <w:lang w:eastAsia="en-US"/>
              </w:rPr>
              <w:t>0</w:t>
            </w:r>
          </w:p>
        </w:tc>
        <w:tc>
          <w:tcPr>
            <w:tcW w:w="735" w:type="pct"/>
            <w:tcBorders>
              <w:top w:val="single" w:sz="4" w:space="0" w:color="979991"/>
              <w:left w:val="single" w:sz="4" w:space="0" w:color="979991"/>
              <w:bottom w:val="single" w:sz="4" w:space="0" w:color="979991"/>
              <w:right w:val="single" w:sz="4" w:space="0" w:color="979991"/>
            </w:tcBorders>
            <w:shd w:val="clear" w:color="auto" w:fill="FFFFFF"/>
            <w:tcMar>
              <w:top w:w="0" w:type="dxa"/>
              <w:left w:w="115" w:type="dxa"/>
              <w:bottom w:w="0" w:type="dxa"/>
              <w:right w:w="115" w:type="dxa"/>
            </w:tcMar>
            <w:vAlign w:val="center"/>
            <w:hideMark/>
          </w:tcPr>
          <w:p w14:paraId="08B7917F" w14:textId="77777777" w:rsidR="00F3117F" w:rsidRPr="00F3117F" w:rsidRDefault="00F3117F" w:rsidP="00F3117F">
            <w:pPr>
              <w:overflowPunct/>
              <w:autoSpaceDE/>
              <w:autoSpaceDN/>
              <w:bidi w:val="0"/>
              <w:adjustRightInd/>
              <w:jc w:val="center"/>
              <w:textAlignment w:val="auto"/>
              <w:rPr>
                <w:rFonts w:cs="Times New Roman"/>
                <w:sz w:val="24"/>
                <w:lang w:eastAsia="en-US"/>
              </w:rPr>
            </w:pPr>
            <w:r w:rsidRPr="00F3117F">
              <w:rPr>
                <w:rFonts w:ascii="Calibri" w:hAnsi="Calibri" w:cs="Calibri"/>
                <w:color w:val="000000"/>
                <w:sz w:val="16"/>
                <w:szCs w:val="16"/>
                <w:lang w:eastAsia="en-US"/>
              </w:rPr>
              <w:t>0</w:t>
            </w:r>
          </w:p>
        </w:tc>
        <w:tc>
          <w:tcPr>
            <w:tcW w:w="392" w:type="pct"/>
            <w:tcBorders>
              <w:top w:val="single" w:sz="4" w:space="0" w:color="979991"/>
              <w:left w:val="single" w:sz="4" w:space="0" w:color="979991"/>
              <w:bottom w:val="single" w:sz="4" w:space="0" w:color="979991"/>
              <w:right w:val="single" w:sz="4" w:space="0" w:color="979991"/>
            </w:tcBorders>
            <w:shd w:val="clear" w:color="auto" w:fill="FFFFFF"/>
            <w:tcMar>
              <w:top w:w="0" w:type="dxa"/>
              <w:left w:w="115" w:type="dxa"/>
              <w:bottom w:w="0" w:type="dxa"/>
              <w:right w:w="115" w:type="dxa"/>
            </w:tcMar>
            <w:vAlign w:val="center"/>
            <w:hideMark/>
          </w:tcPr>
          <w:p w14:paraId="0555585B" w14:textId="77777777" w:rsidR="00F3117F" w:rsidRPr="00F3117F" w:rsidRDefault="00F3117F" w:rsidP="00F3117F">
            <w:pPr>
              <w:overflowPunct/>
              <w:autoSpaceDE/>
              <w:autoSpaceDN/>
              <w:bidi w:val="0"/>
              <w:adjustRightInd/>
              <w:jc w:val="center"/>
              <w:textAlignment w:val="auto"/>
              <w:rPr>
                <w:rFonts w:cs="Times New Roman"/>
                <w:sz w:val="24"/>
                <w:lang w:eastAsia="en-US"/>
              </w:rPr>
            </w:pPr>
            <w:r w:rsidRPr="00F3117F">
              <w:rPr>
                <w:rFonts w:ascii="Calibri" w:hAnsi="Calibri" w:cs="Calibri"/>
                <w:color w:val="000000"/>
                <w:sz w:val="16"/>
                <w:szCs w:val="16"/>
                <w:lang w:eastAsia="en-US"/>
              </w:rPr>
              <w:t>0</w:t>
            </w:r>
          </w:p>
        </w:tc>
        <w:tc>
          <w:tcPr>
            <w:tcW w:w="748" w:type="pct"/>
            <w:tcBorders>
              <w:top w:val="single" w:sz="4" w:space="0" w:color="979991"/>
              <w:left w:val="single" w:sz="4" w:space="0" w:color="979991"/>
              <w:bottom w:val="single" w:sz="4" w:space="0" w:color="979991"/>
              <w:right w:val="single" w:sz="4" w:space="0" w:color="979991"/>
            </w:tcBorders>
            <w:shd w:val="clear" w:color="auto" w:fill="FFFFFF"/>
            <w:tcMar>
              <w:top w:w="0" w:type="dxa"/>
              <w:left w:w="115" w:type="dxa"/>
              <w:bottom w:w="0" w:type="dxa"/>
              <w:right w:w="115" w:type="dxa"/>
            </w:tcMar>
            <w:vAlign w:val="center"/>
            <w:hideMark/>
          </w:tcPr>
          <w:p w14:paraId="362B5CC6" w14:textId="77777777" w:rsidR="00F3117F" w:rsidRPr="00F3117F" w:rsidRDefault="00F3117F" w:rsidP="00F3117F">
            <w:pPr>
              <w:overflowPunct/>
              <w:autoSpaceDE/>
              <w:autoSpaceDN/>
              <w:bidi w:val="0"/>
              <w:adjustRightInd/>
              <w:jc w:val="center"/>
              <w:textAlignment w:val="auto"/>
              <w:rPr>
                <w:rFonts w:cs="Times New Roman"/>
                <w:sz w:val="24"/>
                <w:lang w:eastAsia="en-US"/>
              </w:rPr>
            </w:pPr>
            <w:r w:rsidRPr="00F3117F">
              <w:rPr>
                <w:rFonts w:ascii="Calibri" w:hAnsi="Calibri" w:cs="Calibri"/>
                <w:color w:val="000000"/>
                <w:sz w:val="16"/>
                <w:szCs w:val="16"/>
                <w:lang w:eastAsia="en-US"/>
              </w:rPr>
              <w:t>61,000</w:t>
            </w:r>
          </w:p>
        </w:tc>
        <w:tc>
          <w:tcPr>
            <w:tcW w:w="392" w:type="pct"/>
            <w:tcBorders>
              <w:top w:val="single" w:sz="4" w:space="0" w:color="979991"/>
              <w:left w:val="single" w:sz="4" w:space="0" w:color="979991"/>
              <w:bottom w:val="single" w:sz="4" w:space="0" w:color="979991"/>
              <w:right w:val="single" w:sz="4" w:space="0" w:color="979991"/>
            </w:tcBorders>
            <w:shd w:val="clear" w:color="auto" w:fill="FFFFFF"/>
            <w:tcMar>
              <w:top w:w="0" w:type="dxa"/>
              <w:left w:w="115" w:type="dxa"/>
              <w:bottom w:w="0" w:type="dxa"/>
              <w:right w:w="115" w:type="dxa"/>
            </w:tcMar>
            <w:vAlign w:val="center"/>
            <w:hideMark/>
          </w:tcPr>
          <w:p w14:paraId="3892D6DF" w14:textId="77777777" w:rsidR="00F3117F" w:rsidRPr="00F3117F" w:rsidRDefault="00F3117F" w:rsidP="00F3117F">
            <w:pPr>
              <w:overflowPunct/>
              <w:autoSpaceDE/>
              <w:autoSpaceDN/>
              <w:bidi w:val="0"/>
              <w:adjustRightInd/>
              <w:jc w:val="center"/>
              <w:textAlignment w:val="auto"/>
              <w:rPr>
                <w:rFonts w:cs="Times New Roman"/>
                <w:sz w:val="24"/>
                <w:lang w:eastAsia="en-US"/>
              </w:rPr>
            </w:pPr>
            <w:r w:rsidRPr="00F3117F">
              <w:rPr>
                <w:rFonts w:ascii="Calibri" w:hAnsi="Calibri" w:cs="Calibri"/>
                <w:color w:val="000000"/>
                <w:sz w:val="16"/>
                <w:szCs w:val="16"/>
                <w:lang w:eastAsia="en-US"/>
              </w:rPr>
              <w:t>0</w:t>
            </w:r>
          </w:p>
        </w:tc>
      </w:tr>
    </w:tbl>
    <w:p w14:paraId="29095B0F" w14:textId="77777777" w:rsidR="00F3117F" w:rsidRPr="00F3117F" w:rsidRDefault="00F3117F" w:rsidP="00F3117F">
      <w:pPr>
        <w:jc w:val="center"/>
        <w:rPr>
          <w:rFonts w:cs="FrankRuehl"/>
          <w:b/>
          <w:bCs/>
          <w:sz w:val="26"/>
          <w:szCs w:val="26"/>
          <w:u w:val="single"/>
          <w:rtl/>
        </w:rPr>
      </w:pPr>
    </w:p>
    <w:p w14:paraId="06047330" w14:textId="73C3B4E7" w:rsidR="00F3117F" w:rsidRDefault="00F3117F">
      <w:pPr>
        <w:rPr>
          <w:rFonts w:cs="FrankRuehl"/>
          <w:sz w:val="26"/>
          <w:szCs w:val="26"/>
          <w:rtl/>
        </w:rPr>
      </w:pPr>
    </w:p>
    <w:p w14:paraId="35FFF229" w14:textId="36F9ECA1" w:rsidR="00F3117F" w:rsidRDefault="00F3117F">
      <w:pPr>
        <w:rPr>
          <w:rFonts w:cs="FrankRuehl"/>
          <w:sz w:val="26"/>
          <w:szCs w:val="26"/>
          <w:rtl/>
        </w:rPr>
      </w:pPr>
    </w:p>
    <w:p w14:paraId="2CF7BF3F" w14:textId="377096CC" w:rsidR="00F3117F" w:rsidRDefault="00F3117F">
      <w:pPr>
        <w:rPr>
          <w:rFonts w:cs="FrankRuehl"/>
          <w:sz w:val="26"/>
          <w:szCs w:val="26"/>
          <w:rtl/>
        </w:rPr>
      </w:pPr>
    </w:p>
    <w:p w14:paraId="7555F1D0" w14:textId="7D2AB35E" w:rsidR="00F3117F" w:rsidRDefault="00F3117F">
      <w:pPr>
        <w:rPr>
          <w:rFonts w:cs="FrankRuehl"/>
          <w:sz w:val="26"/>
          <w:szCs w:val="26"/>
          <w:rtl/>
        </w:rPr>
      </w:pPr>
    </w:p>
    <w:p w14:paraId="6A301242" w14:textId="51396A95" w:rsidR="00F3117F" w:rsidRDefault="00F3117F">
      <w:pPr>
        <w:rPr>
          <w:rFonts w:cs="FrankRuehl"/>
          <w:sz w:val="26"/>
          <w:szCs w:val="26"/>
          <w:rtl/>
        </w:rPr>
      </w:pPr>
    </w:p>
    <w:p w14:paraId="22BAB298" w14:textId="6F622A3D" w:rsidR="00F3117F" w:rsidRDefault="00F3117F">
      <w:pPr>
        <w:rPr>
          <w:rFonts w:cs="FrankRuehl"/>
          <w:sz w:val="26"/>
          <w:szCs w:val="26"/>
          <w:rtl/>
        </w:rPr>
      </w:pPr>
    </w:p>
    <w:p w14:paraId="23FB48C5" w14:textId="7A23628A" w:rsidR="00F3117F" w:rsidRDefault="00F3117F">
      <w:pPr>
        <w:rPr>
          <w:rFonts w:cs="FrankRuehl"/>
          <w:sz w:val="26"/>
          <w:szCs w:val="26"/>
          <w:rtl/>
        </w:rPr>
      </w:pPr>
    </w:p>
    <w:p w14:paraId="3A883215" w14:textId="77777777" w:rsidR="00F3117F" w:rsidRPr="00796547" w:rsidRDefault="00F3117F">
      <w:pPr>
        <w:rPr>
          <w:rFonts w:cs="FrankRuehl"/>
          <w:sz w:val="26"/>
          <w:szCs w:val="26"/>
          <w:rtl/>
        </w:rPr>
      </w:pPr>
    </w:p>
    <w:sectPr w:rsidR="00F3117F" w:rsidRPr="00796547" w:rsidSect="005F1A09">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17734" w14:textId="77777777" w:rsidR="00A10C88" w:rsidRDefault="00A10C88" w:rsidP="005F1A09">
      <w:r>
        <w:separator/>
      </w:r>
    </w:p>
  </w:endnote>
  <w:endnote w:type="continuationSeparator" w:id="0">
    <w:p w14:paraId="24609FB6" w14:textId="77777777" w:rsidR="00A10C88" w:rsidRDefault="00A10C88" w:rsidP="005F1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A03E0" w14:textId="77777777" w:rsidR="00A355ED" w:rsidRDefault="00A355ED">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F0B77" w14:textId="77777777" w:rsidR="00A355ED" w:rsidRDefault="00A355ED">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63D4E" w14:textId="77777777" w:rsidR="00A355ED" w:rsidRDefault="00A355E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C3585" w14:textId="77777777" w:rsidR="00A10C88" w:rsidRDefault="00A10C88" w:rsidP="005F1A09">
      <w:r>
        <w:separator/>
      </w:r>
    </w:p>
  </w:footnote>
  <w:footnote w:type="continuationSeparator" w:id="0">
    <w:p w14:paraId="1EDBB7FA" w14:textId="77777777" w:rsidR="00A10C88" w:rsidRDefault="00A10C88" w:rsidP="005F1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78767" w14:textId="77777777" w:rsidR="00A355ED" w:rsidRDefault="00A355E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E2920" w14:textId="77777777" w:rsidR="005F1A09" w:rsidRPr="00A355ED" w:rsidRDefault="00A10C88" w:rsidP="00A355ED">
    <w:pPr>
      <w:pStyle w:val="a4"/>
    </w:pPr>
    <w:r>
      <w:rPr>
        <w:noProof/>
      </w:rPr>
      <w:pict w14:anchorId="510B39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90pt;margin-top:-71.9pt;width:594pt;height:1in;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25BD5" w14:textId="77777777" w:rsidR="00A355ED" w:rsidRDefault="00A355E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B7155"/>
    <w:rsid w:val="00280099"/>
    <w:rsid w:val="002A37EE"/>
    <w:rsid w:val="004621F6"/>
    <w:rsid w:val="00560574"/>
    <w:rsid w:val="0057326A"/>
    <w:rsid w:val="005F1A09"/>
    <w:rsid w:val="006B7155"/>
    <w:rsid w:val="007815EB"/>
    <w:rsid w:val="00796547"/>
    <w:rsid w:val="008123E4"/>
    <w:rsid w:val="009A0120"/>
    <w:rsid w:val="009F1368"/>
    <w:rsid w:val="00A10C88"/>
    <w:rsid w:val="00A11689"/>
    <w:rsid w:val="00A355ED"/>
    <w:rsid w:val="00AE43CD"/>
    <w:rsid w:val="00BB24E3"/>
    <w:rsid w:val="00BE4B82"/>
    <w:rsid w:val="00F3117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2D5E2496"/>
  <w15:chartTrackingRefBased/>
  <w15:docId w15:val="{F44CB20C-221A-4690-86AF-8BA238782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5F1A09"/>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5F1A09"/>
    <w:rPr>
      <w:rFonts w:cs="Narkisim"/>
      <w:szCs w:val="24"/>
      <w:lang w:eastAsia="he-IL"/>
    </w:rPr>
  </w:style>
  <w:style w:type="paragraph" w:styleId="a8">
    <w:name w:val="footer"/>
    <w:basedOn w:val="a"/>
    <w:link w:val="a9"/>
    <w:uiPriority w:val="99"/>
    <w:unhideWhenUsed/>
    <w:rsid w:val="005F1A09"/>
    <w:pPr>
      <w:tabs>
        <w:tab w:val="center" w:pos="4153"/>
        <w:tab w:val="right" w:pos="8306"/>
      </w:tabs>
    </w:pPr>
  </w:style>
  <w:style w:type="character" w:customStyle="1" w:styleId="a9">
    <w:name w:val="כותרת תחתונה תו"/>
    <w:link w:val="a8"/>
    <w:uiPriority w:val="99"/>
    <w:rsid w:val="005F1A09"/>
    <w:rPr>
      <w:rFonts w:cs="Narkisim"/>
      <w:szCs w:val="24"/>
      <w:lang w:eastAsia="he-IL"/>
    </w:rPr>
  </w:style>
  <w:style w:type="paragraph" w:styleId="NormalWeb">
    <w:name w:val="Normal (Web)"/>
    <w:basedOn w:val="a"/>
    <w:uiPriority w:val="99"/>
    <w:semiHidden/>
    <w:unhideWhenUsed/>
    <w:rsid w:val="00F3117F"/>
    <w:pPr>
      <w:overflowPunct/>
      <w:autoSpaceDE/>
      <w:autoSpaceDN/>
      <w:bidi w:val="0"/>
      <w:adjustRightInd/>
      <w:spacing w:before="100" w:beforeAutospacing="1" w:after="100" w:afterAutospacing="1"/>
      <w:textAlignment w:val="auto"/>
    </w:pPr>
    <w:rPr>
      <w:rFonts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845566">
      <w:bodyDiv w:val="1"/>
      <w:marLeft w:val="0"/>
      <w:marRight w:val="0"/>
      <w:marTop w:val="0"/>
      <w:marBottom w:val="0"/>
      <w:divBdr>
        <w:top w:val="none" w:sz="0" w:space="0" w:color="auto"/>
        <w:left w:val="none" w:sz="0" w:space="0" w:color="auto"/>
        <w:bottom w:val="none" w:sz="0" w:space="0" w:color="auto"/>
        <w:right w:val="none" w:sz="0" w:space="0" w:color="auto"/>
      </w:divBdr>
    </w:div>
    <w:div w:id="1809470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450</Words>
  <Characters>2254</Characters>
  <Application>Microsoft Office Word</Application>
  <DocSecurity>0</DocSecurity>
  <Lines>18</Lines>
  <Paragraphs>5</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4</cp:revision>
  <cp:lastPrinted>1899-12-31T22:00:00Z</cp:lastPrinted>
  <dcterms:created xsi:type="dcterms:W3CDTF">2026-07-08T10:24:00Z</dcterms:created>
  <dcterms:modified xsi:type="dcterms:W3CDTF">2026-07-08T10:28:00Z</dcterms:modified>
</cp:coreProperties>
</file>