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0FD42" w14:textId="77777777" w:rsidR="005F4E5D" w:rsidRDefault="005F4E5D" w:rsidP="005F4E5D">
      <w:pPr>
        <w:pStyle w:val="a0"/>
        <w:rPr>
          <w:rtl/>
        </w:rPr>
      </w:pPr>
      <w:bookmarkStart w:id="0" w:name="TAKZIV25"/>
      <w:bookmarkEnd w:id="0"/>
    </w:p>
    <w:p w14:paraId="46A06BD9" w14:textId="77777777" w:rsidR="005F4E5D" w:rsidRDefault="005F4E5D" w:rsidP="005F4E5D">
      <w:pPr>
        <w:pStyle w:val="a0"/>
        <w:rPr>
          <w:rtl/>
        </w:rPr>
      </w:pPr>
      <w:r>
        <w:rPr>
          <w:rtl/>
        </w:rPr>
        <w:t>מדינת ישראל</w:t>
      </w:r>
    </w:p>
    <w:p w14:paraId="13563762" w14:textId="77777777" w:rsidR="005F4E5D" w:rsidRDefault="005F4E5D" w:rsidP="005F4E5D">
      <w:pPr>
        <w:pStyle w:val="a0"/>
        <w:rPr>
          <w:szCs w:val="24"/>
          <w:rtl/>
        </w:rPr>
      </w:pPr>
      <w:r>
        <w:rPr>
          <w:rtl/>
        </w:rPr>
        <w:t>האוצר - אגף התקציבים</w:t>
      </w:r>
    </w:p>
    <w:p w14:paraId="6D976305" w14:textId="77777777" w:rsidR="005F4E5D" w:rsidRDefault="005F4E5D" w:rsidP="005F4E5D">
      <w:pPr>
        <w:rPr>
          <w:rtl/>
        </w:rPr>
      </w:pPr>
    </w:p>
    <w:p w14:paraId="63BEAE66" w14:textId="77777777" w:rsidR="005F4E5D" w:rsidRDefault="005F4E5D" w:rsidP="005F4E5D">
      <w:pPr>
        <w:rPr>
          <w:rtl/>
        </w:rPr>
      </w:pPr>
    </w:p>
    <w:p w14:paraId="25357B5D" w14:textId="77777777" w:rsidR="005F4E5D" w:rsidRDefault="005F4E5D" w:rsidP="005F4E5D">
      <w:pPr>
        <w:tabs>
          <w:tab w:val="left" w:pos="6300"/>
        </w:tabs>
        <w:rPr>
          <w:rtl/>
        </w:rPr>
      </w:pPr>
      <w:r>
        <w:rPr>
          <w:rtl/>
        </w:rPr>
        <w:tab/>
      </w:r>
      <w:bookmarkStart w:id="1" w:name="TAKZIV8"/>
      <w:r>
        <w:rPr>
          <w:rtl/>
        </w:rPr>
        <w:t>תקציב רגיל</w:t>
      </w:r>
      <w:bookmarkEnd w:id="1"/>
    </w:p>
    <w:p w14:paraId="0FCA5F60" w14:textId="77777777" w:rsidR="005F4E5D" w:rsidRDefault="005F4E5D" w:rsidP="005F4E5D">
      <w:pPr>
        <w:tabs>
          <w:tab w:val="left" w:pos="6300"/>
        </w:tabs>
        <w:rPr>
          <w:rtl/>
        </w:rPr>
      </w:pPr>
      <w:r>
        <w:rPr>
          <w:rtl/>
        </w:rPr>
        <w:tab/>
      </w:r>
    </w:p>
    <w:p w14:paraId="61B9AF61" w14:textId="77777777" w:rsidR="005F4E5D" w:rsidRPr="002E1D22" w:rsidRDefault="005F4E5D" w:rsidP="005F4E5D">
      <w:pPr>
        <w:rPr>
          <w:rFonts w:cs="FrankRuehl"/>
          <w:sz w:val="26"/>
          <w:szCs w:val="26"/>
          <w:rtl/>
        </w:rPr>
      </w:pPr>
      <w:r>
        <w:rPr>
          <w:rtl/>
        </w:rPr>
        <w:tab/>
      </w:r>
      <w:r>
        <w:rPr>
          <w:rtl/>
        </w:rPr>
        <w:tab/>
      </w:r>
      <w:r>
        <w:rPr>
          <w:rtl/>
        </w:rPr>
        <w:tab/>
      </w:r>
      <w:r>
        <w:rPr>
          <w:rtl/>
        </w:rPr>
        <w:tab/>
      </w:r>
      <w:r>
        <w:rPr>
          <w:rtl/>
        </w:rPr>
        <w:tab/>
      </w:r>
      <w:r>
        <w:rPr>
          <w:rtl/>
        </w:rPr>
        <w:tab/>
      </w:r>
      <w:r>
        <w:rPr>
          <w:rtl/>
        </w:rPr>
        <w:tab/>
      </w:r>
      <w:r>
        <w:rPr>
          <w:rtl/>
        </w:rPr>
        <w:tab/>
      </w:r>
      <w:r w:rsidRPr="002E1D22">
        <w:rPr>
          <w:rFonts w:cs="FrankRuehl"/>
          <w:sz w:val="26"/>
          <w:szCs w:val="26"/>
          <w:rtl/>
        </w:rPr>
        <w:t xml:space="preserve">ירושלים, </w:t>
      </w:r>
      <w:bookmarkStart w:id="2" w:name="TAKZIV9"/>
      <w:bookmarkEnd w:id="2"/>
    </w:p>
    <w:p w14:paraId="2B89FD59" w14:textId="0AA019BC" w:rsidR="005F4E5D" w:rsidRPr="002E1D22" w:rsidRDefault="005F4E5D" w:rsidP="005F4E5D">
      <w:pPr>
        <w:tabs>
          <w:tab w:val="left" w:pos="5755"/>
        </w:tabs>
        <w:rPr>
          <w:rFonts w:cs="FrankRuehl"/>
          <w:sz w:val="26"/>
          <w:szCs w:val="26"/>
          <w:rtl/>
        </w:rPr>
      </w:pPr>
      <w:r w:rsidRPr="002E1D22">
        <w:rPr>
          <w:rFonts w:cs="FrankRuehl"/>
          <w:sz w:val="26"/>
          <w:szCs w:val="26"/>
          <w:rtl/>
        </w:rPr>
        <w:tab/>
        <w:t>בקשה מספר</w:t>
      </w:r>
      <w:r w:rsidR="00C70FB0">
        <w:rPr>
          <w:rFonts w:cs="FrankRuehl" w:hint="cs"/>
          <w:sz w:val="26"/>
          <w:szCs w:val="26"/>
          <w:rtl/>
        </w:rPr>
        <w:t xml:space="preserve"> 15-202, 68-203</w:t>
      </w:r>
    </w:p>
    <w:p w14:paraId="7C09A5A8" w14:textId="77777777" w:rsidR="00C70FB0" w:rsidRDefault="005F4E5D" w:rsidP="005F4E5D">
      <w:pPr>
        <w:rPr>
          <w:rFonts w:cs="FrankRuehl"/>
          <w:sz w:val="26"/>
          <w:szCs w:val="26"/>
          <w:rtl/>
        </w:rPr>
      </w:pPr>
      <w:r w:rsidRPr="002E1D22">
        <w:rPr>
          <w:rFonts w:cs="FrankRuehl"/>
          <w:sz w:val="26"/>
          <w:szCs w:val="26"/>
          <w:rtl/>
        </w:rPr>
        <w:tab/>
      </w:r>
      <w:r w:rsidRPr="002E1D22">
        <w:rPr>
          <w:rFonts w:cs="FrankRuehl"/>
          <w:sz w:val="26"/>
          <w:szCs w:val="26"/>
          <w:rtl/>
        </w:rPr>
        <w:tab/>
      </w:r>
      <w:r w:rsidRPr="002E1D22">
        <w:rPr>
          <w:rFonts w:cs="FrankRuehl"/>
          <w:sz w:val="26"/>
          <w:szCs w:val="26"/>
          <w:rtl/>
        </w:rPr>
        <w:tab/>
      </w:r>
      <w:r w:rsidRPr="002E1D22">
        <w:rPr>
          <w:rFonts w:cs="FrankRuehl"/>
          <w:sz w:val="26"/>
          <w:szCs w:val="26"/>
          <w:rtl/>
        </w:rPr>
        <w:tab/>
      </w:r>
      <w:r w:rsidRPr="002E1D22">
        <w:rPr>
          <w:rFonts w:cs="FrankRuehl"/>
          <w:sz w:val="26"/>
          <w:szCs w:val="26"/>
          <w:rtl/>
        </w:rPr>
        <w:tab/>
      </w:r>
      <w:r w:rsidRPr="002E1D22">
        <w:rPr>
          <w:rFonts w:cs="FrankRuehl"/>
          <w:sz w:val="26"/>
          <w:szCs w:val="26"/>
          <w:rtl/>
        </w:rPr>
        <w:tab/>
      </w:r>
      <w:r w:rsidRPr="002E1D22">
        <w:rPr>
          <w:rFonts w:cs="FrankRuehl"/>
          <w:sz w:val="26"/>
          <w:szCs w:val="26"/>
          <w:rtl/>
        </w:rPr>
        <w:tab/>
      </w:r>
      <w:r w:rsidRPr="002E1D22">
        <w:rPr>
          <w:rFonts w:cs="FrankRuehl"/>
          <w:sz w:val="26"/>
          <w:szCs w:val="26"/>
          <w:rtl/>
        </w:rPr>
        <w:tab/>
        <w:t xml:space="preserve">מספר פניה </w:t>
      </w:r>
      <w:r w:rsidRPr="002E1D22">
        <w:rPr>
          <w:rFonts w:cs="FrankRuehl" w:hint="cs"/>
          <w:sz w:val="26"/>
          <w:szCs w:val="26"/>
          <w:rtl/>
        </w:rPr>
        <w:t>לוועד</w:t>
      </w:r>
      <w:r w:rsidRPr="002E1D22">
        <w:rPr>
          <w:rFonts w:cs="FrankRuehl" w:hint="eastAsia"/>
          <w:sz w:val="26"/>
          <w:szCs w:val="26"/>
          <w:rtl/>
        </w:rPr>
        <w:t>ה</w:t>
      </w:r>
      <w:r w:rsidRPr="002E1D22">
        <w:rPr>
          <w:rFonts w:cs="FrankRuehl"/>
          <w:sz w:val="26"/>
          <w:szCs w:val="26"/>
          <w:rtl/>
        </w:rPr>
        <w:t>:</w:t>
      </w:r>
      <w:bookmarkStart w:id="3" w:name="TAKZIV11"/>
    </w:p>
    <w:bookmarkEnd w:id="3"/>
    <w:p w14:paraId="67C90264" w14:textId="059770D3" w:rsidR="005F4E5D" w:rsidRPr="002E1D22" w:rsidRDefault="000103A7" w:rsidP="00C70FB0">
      <w:pPr>
        <w:ind w:left="5040" w:firstLine="720"/>
        <w:rPr>
          <w:rFonts w:cs="FrankRuehl"/>
          <w:sz w:val="26"/>
          <w:szCs w:val="26"/>
          <w:rtl/>
        </w:rPr>
      </w:pPr>
      <w:r>
        <w:rPr>
          <w:rFonts w:cs="FrankRuehl" w:hint="cs"/>
          <w:sz w:val="26"/>
          <w:szCs w:val="26"/>
          <w:rtl/>
        </w:rPr>
        <w:t>9000</w:t>
      </w:r>
      <w:r w:rsidR="0074686B">
        <w:rPr>
          <w:rFonts w:cs="FrankRuehl" w:hint="cs"/>
          <w:sz w:val="26"/>
          <w:szCs w:val="26"/>
          <w:rtl/>
        </w:rPr>
        <w:t xml:space="preserve"> ,</w:t>
      </w:r>
      <w:r>
        <w:rPr>
          <w:rFonts w:cs="FrankRuehl" w:hint="cs"/>
          <w:sz w:val="26"/>
          <w:szCs w:val="26"/>
          <w:rtl/>
        </w:rPr>
        <w:t xml:space="preserve"> 12 </w:t>
      </w:r>
      <w:r w:rsidR="0057769E">
        <w:rPr>
          <w:rFonts w:cs="FrankRuehl" w:hint="cs"/>
          <w:sz w:val="26"/>
          <w:szCs w:val="26"/>
          <w:rtl/>
        </w:rPr>
        <w:t>,</w:t>
      </w:r>
      <w:r>
        <w:rPr>
          <w:rFonts w:cs="FrankRuehl" w:hint="cs"/>
          <w:sz w:val="26"/>
          <w:szCs w:val="26"/>
          <w:rtl/>
        </w:rPr>
        <w:t xml:space="preserve"> 13</w:t>
      </w:r>
    </w:p>
    <w:p w14:paraId="27AC1984" w14:textId="77777777" w:rsidR="008635E2" w:rsidRDefault="008635E2" w:rsidP="005F4E5D">
      <w:pPr>
        <w:rPr>
          <w:rFonts w:cs="FrankRuehl"/>
          <w:sz w:val="26"/>
          <w:szCs w:val="26"/>
          <w:rtl/>
        </w:rPr>
      </w:pPr>
    </w:p>
    <w:p w14:paraId="256DA5F9" w14:textId="5676D3E7" w:rsidR="005F4E5D" w:rsidRPr="002E1D22" w:rsidRDefault="005F4E5D" w:rsidP="005F4E5D">
      <w:pPr>
        <w:rPr>
          <w:rFonts w:cs="FrankRuehl"/>
          <w:sz w:val="26"/>
          <w:szCs w:val="26"/>
          <w:rtl/>
        </w:rPr>
      </w:pPr>
      <w:r w:rsidRPr="002E1D22">
        <w:rPr>
          <w:rFonts w:cs="FrankRuehl"/>
          <w:sz w:val="26"/>
          <w:szCs w:val="26"/>
          <w:rtl/>
        </w:rPr>
        <w:t>לכבוד,</w:t>
      </w:r>
    </w:p>
    <w:p w14:paraId="7A850DA8" w14:textId="77777777" w:rsidR="005F4E5D" w:rsidRPr="002E1D22" w:rsidRDefault="005F4E5D" w:rsidP="005F4E5D">
      <w:pPr>
        <w:rPr>
          <w:rFonts w:cs="FrankRuehl"/>
          <w:sz w:val="26"/>
          <w:szCs w:val="26"/>
          <w:rtl/>
        </w:rPr>
      </w:pPr>
      <w:r w:rsidRPr="002E1D22">
        <w:rPr>
          <w:rFonts w:cs="FrankRuehl"/>
          <w:sz w:val="26"/>
          <w:szCs w:val="26"/>
          <w:rtl/>
        </w:rPr>
        <w:t>יו"ר ועדת הכספים</w:t>
      </w:r>
    </w:p>
    <w:p w14:paraId="5D69DBD1" w14:textId="77777777" w:rsidR="005F4E5D" w:rsidRPr="002E1D22" w:rsidRDefault="005F4E5D" w:rsidP="005F4E5D">
      <w:pPr>
        <w:rPr>
          <w:rFonts w:cs="FrankRuehl"/>
          <w:sz w:val="26"/>
          <w:szCs w:val="26"/>
          <w:rtl/>
        </w:rPr>
      </w:pPr>
      <w:r w:rsidRPr="002E1D22">
        <w:rPr>
          <w:rFonts w:cs="FrankRuehl"/>
          <w:sz w:val="26"/>
          <w:szCs w:val="26"/>
          <w:rtl/>
        </w:rPr>
        <w:t>של הכנסת</w:t>
      </w:r>
    </w:p>
    <w:p w14:paraId="4122CF72" w14:textId="77777777" w:rsidR="005F4E5D" w:rsidRPr="002E1D22" w:rsidRDefault="005F4E5D" w:rsidP="005F4E5D">
      <w:pPr>
        <w:rPr>
          <w:rFonts w:cs="FrankRuehl"/>
          <w:sz w:val="26"/>
          <w:szCs w:val="26"/>
          <w:rtl/>
        </w:rPr>
      </w:pPr>
    </w:p>
    <w:p w14:paraId="6F7D1F2E" w14:textId="77777777" w:rsidR="005F4E5D" w:rsidRPr="002E1D22" w:rsidRDefault="005F4E5D" w:rsidP="005F4E5D">
      <w:pPr>
        <w:rPr>
          <w:rFonts w:cs="FrankRuehl"/>
          <w:sz w:val="26"/>
          <w:szCs w:val="26"/>
          <w:rtl/>
        </w:rPr>
      </w:pPr>
      <w:r w:rsidRPr="002E1D22">
        <w:rPr>
          <w:rFonts w:cs="FrankRuehl"/>
          <w:sz w:val="26"/>
          <w:szCs w:val="26"/>
          <w:rtl/>
        </w:rPr>
        <w:t>א.נ.,</w:t>
      </w:r>
    </w:p>
    <w:p w14:paraId="2E220E97" w14:textId="77777777" w:rsidR="005F4E5D" w:rsidRPr="002E1D22" w:rsidRDefault="005F4E5D" w:rsidP="005F4E5D">
      <w:pPr>
        <w:rPr>
          <w:rFonts w:cs="FrankRuehl"/>
          <w:sz w:val="26"/>
          <w:szCs w:val="26"/>
          <w:rtl/>
        </w:rPr>
      </w:pPr>
    </w:p>
    <w:p w14:paraId="6B967977" w14:textId="77777777" w:rsidR="005F4E5D" w:rsidRPr="002E1D22" w:rsidRDefault="005F4E5D" w:rsidP="005F4E5D">
      <w:pPr>
        <w:pStyle w:val="a7"/>
        <w:rPr>
          <w:rFonts w:cs="FrankRuehl"/>
          <w:sz w:val="26"/>
          <w:rtl/>
        </w:rPr>
      </w:pPr>
      <w:r w:rsidRPr="002E1D22">
        <w:rPr>
          <w:rFonts w:cs="FrankRuehl"/>
          <w:sz w:val="26"/>
          <w:u w:val="none"/>
          <w:rtl/>
        </w:rPr>
        <w:t xml:space="preserve">הנדון: </w:t>
      </w:r>
      <w:r w:rsidRPr="002E1D22">
        <w:rPr>
          <w:rFonts w:cs="FrankRuehl"/>
          <w:sz w:val="26"/>
          <w:rtl/>
        </w:rPr>
        <w:t xml:space="preserve">שימוש ברזרבה הכללית לשנת </w:t>
      </w:r>
      <w:bookmarkStart w:id="4" w:name="TAKZIV1"/>
      <w:r>
        <w:rPr>
          <w:rFonts w:cs="FrankRuehl"/>
          <w:sz w:val="26"/>
          <w:rtl/>
        </w:rPr>
        <w:t>2026</w:t>
      </w:r>
      <w:bookmarkEnd w:id="4"/>
      <w:r w:rsidRPr="002E1D22">
        <w:rPr>
          <w:rFonts w:cs="FrankRuehl"/>
          <w:sz w:val="26"/>
          <w:rtl/>
        </w:rPr>
        <w:t xml:space="preserve">     </w:t>
      </w:r>
    </w:p>
    <w:p w14:paraId="06BEB66E" w14:textId="77777777" w:rsidR="005F4E5D" w:rsidRPr="002E1D22" w:rsidRDefault="005F4E5D" w:rsidP="005F4E5D">
      <w:pPr>
        <w:jc w:val="both"/>
        <w:rPr>
          <w:rFonts w:cs="FrankRuehl"/>
          <w:sz w:val="26"/>
          <w:szCs w:val="26"/>
          <w:rtl/>
        </w:rPr>
      </w:pPr>
    </w:p>
    <w:p w14:paraId="5D695886" w14:textId="770BE9AA" w:rsidR="005F4E5D" w:rsidRPr="002E1D22" w:rsidRDefault="005F4E5D" w:rsidP="00223DE0">
      <w:pPr>
        <w:jc w:val="both"/>
        <w:rPr>
          <w:rFonts w:cs="FrankRuehl"/>
          <w:sz w:val="26"/>
          <w:szCs w:val="26"/>
          <w:rtl/>
        </w:rPr>
      </w:pPr>
      <w:r w:rsidRPr="002E1D22">
        <w:rPr>
          <w:rFonts w:cs="FrankRuehl"/>
          <w:sz w:val="26"/>
          <w:szCs w:val="26"/>
          <w:rtl/>
        </w:rPr>
        <w:t xml:space="preserve">שר האוצר מבקש את אישורה של ועדת הכספים של הכנסת להעברת סכום של </w:t>
      </w:r>
      <w:r w:rsidR="003D616A" w:rsidRPr="00467A08">
        <w:rPr>
          <w:rFonts w:cs="FrankRuehl"/>
          <w:sz w:val="26"/>
          <w:szCs w:val="26"/>
          <w:rtl/>
        </w:rPr>
        <w:t>21,773</w:t>
      </w:r>
      <w:r w:rsidR="003D616A" w:rsidRPr="002E1D22">
        <w:rPr>
          <w:rFonts w:cs="FrankRuehl"/>
          <w:sz w:val="26"/>
          <w:szCs w:val="26"/>
          <w:rtl/>
        </w:rPr>
        <w:t xml:space="preserve"> </w:t>
      </w:r>
      <w:r w:rsidRPr="002E1D22">
        <w:rPr>
          <w:rFonts w:cs="FrankRuehl"/>
          <w:sz w:val="26"/>
          <w:szCs w:val="26"/>
          <w:rtl/>
        </w:rPr>
        <w:t>אלפי שקלים חדשים מ</w:t>
      </w:r>
      <w:r>
        <w:rPr>
          <w:rFonts w:cs="FrankRuehl" w:hint="cs"/>
          <w:sz w:val="26"/>
          <w:szCs w:val="26"/>
          <w:rtl/>
        </w:rPr>
        <w:t>סעיפי המשרדים השונים ל</w:t>
      </w:r>
      <w:r w:rsidRPr="002E1D22">
        <w:rPr>
          <w:rFonts w:cs="FrankRuehl"/>
          <w:sz w:val="26"/>
          <w:szCs w:val="26"/>
          <w:rtl/>
        </w:rPr>
        <w:t>סעיף 47 - רזרבה כללית</w:t>
      </w:r>
      <w:r>
        <w:rPr>
          <w:rFonts w:cs="FrankRuehl" w:hint="cs"/>
          <w:sz w:val="26"/>
          <w:szCs w:val="26"/>
          <w:rtl/>
        </w:rPr>
        <w:t xml:space="preserve">, </w:t>
      </w:r>
      <w:r w:rsidRPr="002E1D22">
        <w:rPr>
          <w:rFonts w:cs="FrankRuehl"/>
          <w:sz w:val="26"/>
          <w:szCs w:val="26"/>
          <w:rtl/>
        </w:rPr>
        <w:t xml:space="preserve">בהתאם לסעיף 11 (ה) 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w:t>
      </w:r>
    </w:p>
    <w:p w14:paraId="2D760038" w14:textId="77777777" w:rsidR="005F4E5D" w:rsidRPr="002E1D22" w:rsidRDefault="005F4E5D" w:rsidP="00223DE0">
      <w:pPr>
        <w:jc w:val="both"/>
        <w:rPr>
          <w:rFonts w:cs="FrankRuehl"/>
          <w:sz w:val="26"/>
          <w:szCs w:val="26"/>
          <w:rtl/>
        </w:rPr>
      </w:pPr>
    </w:p>
    <w:p w14:paraId="22F341A2" w14:textId="7B52D2A7" w:rsidR="005F4E5D" w:rsidRPr="002E1D22" w:rsidRDefault="005F4E5D" w:rsidP="00223DE0">
      <w:pPr>
        <w:jc w:val="both"/>
        <w:rPr>
          <w:rFonts w:cs="FrankRuehl"/>
          <w:sz w:val="26"/>
          <w:szCs w:val="26"/>
          <w:rtl/>
        </w:rPr>
      </w:pPr>
      <w:r w:rsidRPr="002E1D22">
        <w:rPr>
          <w:rFonts w:cs="FrankRuehl"/>
          <w:sz w:val="26"/>
          <w:szCs w:val="26"/>
          <w:rtl/>
        </w:rPr>
        <w:t xml:space="preserve">כמו כן, מבקש שר האוצר את אישורה של ועדת הכספים של הכנסת להעברת סכום </w:t>
      </w:r>
      <w:r>
        <w:rPr>
          <w:rFonts w:cs="FrankRuehl" w:hint="cs"/>
          <w:sz w:val="26"/>
          <w:szCs w:val="26"/>
          <w:rtl/>
        </w:rPr>
        <w:t xml:space="preserve">של </w:t>
      </w:r>
      <w:r w:rsidR="001E3B5D" w:rsidRPr="00467A08">
        <w:rPr>
          <w:rFonts w:cs="FrankRuehl"/>
          <w:sz w:val="26"/>
          <w:szCs w:val="26"/>
          <w:rtl/>
        </w:rPr>
        <w:t>21,773</w:t>
      </w:r>
      <w:r w:rsidR="001E3B5D" w:rsidRPr="002E1D22">
        <w:rPr>
          <w:rFonts w:cs="FrankRuehl"/>
          <w:sz w:val="26"/>
          <w:szCs w:val="26"/>
          <w:rtl/>
        </w:rPr>
        <w:t xml:space="preserve"> </w:t>
      </w:r>
      <w:r w:rsidRPr="002E1D22">
        <w:rPr>
          <w:rFonts w:cs="FrankRuehl"/>
          <w:sz w:val="26"/>
          <w:szCs w:val="26"/>
          <w:rtl/>
        </w:rPr>
        <w:t xml:space="preserve">אלפי שקלים חדשים מסעיף 47 - רזרבה כללית לסעיף </w:t>
      </w:r>
      <w:bookmarkStart w:id="5" w:name="TAKZIV3_1"/>
      <w:r>
        <w:rPr>
          <w:rFonts w:cs="FrankRuehl"/>
          <w:sz w:val="26"/>
          <w:szCs w:val="26"/>
          <w:rtl/>
        </w:rPr>
        <w:t>15</w:t>
      </w:r>
      <w:bookmarkEnd w:id="5"/>
      <w:r w:rsidRPr="002E1D22">
        <w:rPr>
          <w:rFonts w:cs="FrankRuehl"/>
          <w:sz w:val="26"/>
          <w:szCs w:val="26"/>
          <w:rtl/>
        </w:rPr>
        <w:t xml:space="preserve"> - </w:t>
      </w:r>
      <w:bookmarkStart w:id="6" w:name="TAKZIV6"/>
      <w:r>
        <w:rPr>
          <w:rFonts w:cs="FrankRuehl"/>
          <w:sz w:val="26"/>
          <w:szCs w:val="26"/>
          <w:rtl/>
        </w:rPr>
        <w:t>משרד הביטחון</w:t>
      </w:r>
      <w:bookmarkEnd w:id="6"/>
      <w:r w:rsidRPr="002E1D22">
        <w:rPr>
          <w:rFonts w:cs="FrankRuehl"/>
          <w:sz w:val="26"/>
          <w:szCs w:val="26"/>
          <w:rtl/>
        </w:rPr>
        <w:t xml:space="preserve"> </w:t>
      </w:r>
      <w:r w:rsidR="00372F18">
        <w:rPr>
          <w:rFonts w:cs="FrankRuehl" w:hint="cs"/>
          <w:sz w:val="26"/>
          <w:szCs w:val="26"/>
          <w:rtl/>
        </w:rPr>
        <w:t xml:space="preserve">ולסעיף 68 </w:t>
      </w:r>
      <w:r w:rsidR="00372F18">
        <w:rPr>
          <w:rFonts w:cs="FrankRuehl"/>
          <w:sz w:val="26"/>
          <w:szCs w:val="26"/>
          <w:rtl/>
        </w:rPr>
        <w:t>–</w:t>
      </w:r>
      <w:r w:rsidR="00372F18">
        <w:rPr>
          <w:rFonts w:cs="FrankRuehl" w:hint="cs"/>
          <w:sz w:val="26"/>
          <w:szCs w:val="26"/>
          <w:rtl/>
        </w:rPr>
        <w:t xml:space="preserve"> רשות האוכלוסין, </w:t>
      </w:r>
      <w:r w:rsidRPr="002E1D22">
        <w:rPr>
          <w:rFonts w:cs="FrankRuehl"/>
          <w:sz w:val="26"/>
          <w:szCs w:val="26"/>
          <w:rtl/>
        </w:rPr>
        <w:t>בהתאם לסעיף 12 (א)</w:t>
      </w:r>
      <w:r>
        <w:rPr>
          <w:rFonts w:cs="FrankRuehl" w:hint="cs"/>
          <w:sz w:val="26"/>
          <w:szCs w:val="26"/>
          <w:rtl/>
        </w:rPr>
        <w:t xml:space="preserve"> </w:t>
      </w:r>
      <w:r w:rsidRPr="002E1D22">
        <w:rPr>
          <w:rFonts w:cs="FrankRuehl"/>
          <w:sz w:val="26"/>
          <w:szCs w:val="26"/>
          <w:rtl/>
        </w:rPr>
        <w:t xml:space="preserve">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 כמפורט בתדפיס המצורף בזה.</w:t>
      </w:r>
    </w:p>
    <w:p w14:paraId="69299CCB" w14:textId="77777777" w:rsidR="005F4E5D" w:rsidRPr="002E1D22" w:rsidRDefault="005F4E5D" w:rsidP="00223DE0">
      <w:pPr>
        <w:jc w:val="both"/>
        <w:rPr>
          <w:rFonts w:cs="FrankRuehl"/>
          <w:sz w:val="26"/>
          <w:szCs w:val="26"/>
          <w:rtl/>
        </w:rPr>
      </w:pPr>
    </w:p>
    <w:p w14:paraId="2033FF25" w14:textId="77777777" w:rsidR="006F501A" w:rsidRDefault="006F501A" w:rsidP="00223DE0">
      <w:pPr>
        <w:jc w:val="both"/>
        <w:rPr>
          <w:rFonts w:cs="FrankRuehl"/>
          <w:b/>
          <w:bCs/>
          <w:sz w:val="26"/>
          <w:szCs w:val="26"/>
          <w:u w:val="single"/>
          <w:rtl/>
        </w:rPr>
      </w:pPr>
      <w:bookmarkStart w:id="7" w:name="DIVREY_HESBER"/>
      <w:bookmarkEnd w:id="7"/>
      <w:r>
        <w:rPr>
          <w:rFonts w:cs="FrankRuehl" w:hint="cs"/>
          <w:b/>
          <w:bCs/>
          <w:sz w:val="26"/>
          <w:szCs w:val="26"/>
          <w:u w:val="single"/>
          <w:rtl/>
        </w:rPr>
        <w:t>דברי הסבר לפנייה בסעיף תקציבי 15 – משרד הביטחון:</w:t>
      </w:r>
    </w:p>
    <w:p w14:paraId="05CFE91D" w14:textId="77777777" w:rsidR="006F501A" w:rsidRDefault="006F501A" w:rsidP="00223DE0">
      <w:pPr>
        <w:contextualSpacing/>
        <w:jc w:val="both"/>
        <w:rPr>
          <w:rFonts w:ascii="FrankRuehl" w:hAnsi="FrankRuehl" w:cs="FrankRuehl"/>
          <w:b/>
          <w:bCs/>
          <w:sz w:val="26"/>
          <w:szCs w:val="26"/>
          <w:rtl/>
        </w:rPr>
      </w:pPr>
    </w:p>
    <w:p w14:paraId="142EB9A1" w14:textId="77777777" w:rsidR="006F501A" w:rsidRDefault="006F501A" w:rsidP="00223DE0">
      <w:pPr>
        <w:contextualSpacing/>
        <w:jc w:val="both"/>
        <w:rPr>
          <w:rFonts w:ascii="FrankRuehl" w:hAnsi="FrankRuehl" w:cs="FrankRuehl"/>
          <w:sz w:val="26"/>
          <w:szCs w:val="26"/>
          <w:lang w:eastAsia="en-US"/>
        </w:rPr>
      </w:pPr>
      <w:r>
        <w:rPr>
          <w:rFonts w:ascii="FrankRuehl" w:hAnsi="FrankRuehl" w:cs="FrankRuehl" w:hint="cs"/>
          <w:b/>
          <w:bCs/>
          <w:sz w:val="26"/>
          <w:szCs w:val="26"/>
          <w:rtl/>
        </w:rPr>
        <w:t xml:space="preserve">הבקשה דנה בסעיף תקציבי: </w:t>
      </w:r>
      <w:r>
        <w:rPr>
          <w:rFonts w:ascii="FrankRuehl" w:hAnsi="FrankRuehl" w:cs="FrankRuehl" w:hint="cs"/>
          <w:sz w:val="26"/>
          <w:szCs w:val="26"/>
          <w:rtl/>
        </w:rPr>
        <w:t>15 - משרד הביטחון</w:t>
      </w:r>
    </w:p>
    <w:p w14:paraId="5F9422E3" w14:textId="77777777" w:rsidR="006F501A" w:rsidRDefault="006F501A" w:rsidP="00223DE0">
      <w:pPr>
        <w:contextualSpacing/>
        <w:jc w:val="both"/>
        <w:rPr>
          <w:rFonts w:ascii="FrankRuehl" w:hAnsi="FrankRuehl" w:cs="FrankRuehl"/>
          <w:b/>
          <w:bCs/>
          <w:sz w:val="26"/>
          <w:szCs w:val="26"/>
        </w:rPr>
      </w:pPr>
    </w:p>
    <w:p w14:paraId="510B50A8" w14:textId="77777777" w:rsidR="006F501A" w:rsidRDefault="006F501A" w:rsidP="00223DE0">
      <w:pPr>
        <w:contextualSpacing/>
        <w:jc w:val="both"/>
        <w:rPr>
          <w:rFonts w:ascii="FrankRuehl" w:hAnsi="FrankRuehl" w:cs="FrankRuehl"/>
          <w:sz w:val="26"/>
          <w:szCs w:val="26"/>
          <w:rtl/>
        </w:rPr>
      </w:pPr>
      <w:r>
        <w:rPr>
          <w:rFonts w:ascii="FrankRuehl" w:hAnsi="FrankRuehl" w:cs="FrankRuehl" w:hint="cs"/>
          <w:b/>
          <w:bCs/>
          <w:sz w:val="26"/>
          <w:szCs w:val="26"/>
          <w:rtl/>
        </w:rPr>
        <w:t>עיקרי הפנייה:</w:t>
      </w:r>
      <w:r>
        <w:rPr>
          <w:rFonts w:ascii="FrankRuehl" w:hAnsi="FrankRuehl" w:cs="FrankRuehl" w:hint="cs"/>
          <w:sz w:val="26"/>
          <w:szCs w:val="26"/>
          <w:rtl/>
        </w:rPr>
        <w:t xml:space="preserve"> </w:t>
      </w:r>
    </w:p>
    <w:p w14:paraId="3A220FFA" w14:textId="77777777" w:rsidR="006F501A" w:rsidRDefault="006F501A" w:rsidP="00223DE0">
      <w:pPr>
        <w:contextualSpacing/>
        <w:jc w:val="both"/>
        <w:rPr>
          <w:rFonts w:ascii="FrankRuehl" w:hAnsi="FrankRuehl" w:cs="FrankRuehl"/>
          <w:sz w:val="26"/>
          <w:szCs w:val="26"/>
          <w:highlight w:val="yellow"/>
          <w:u w:val="single"/>
        </w:rPr>
      </w:pPr>
      <w:r>
        <w:rPr>
          <w:rFonts w:ascii="FrankRuehl" w:hAnsi="FrankRuehl" w:cs="FrankRuehl" w:hint="cs"/>
          <w:sz w:val="26"/>
          <w:szCs w:val="26"/>
          <w:rtl/>
        </w:rPr>
        <w:t xml:space="preserve">הפנייה התקציבית נועדה לתקצוב סך של 19,212 אלפי ש"ח בהוצאה ו-48 תקני </w:t>
      </w:r>
      <w:r>
        <w:rPr>
          <w:rFonts w:cs="FrankRuehl" w:hint="cs"/>
          <w:sz w:val="26"/>
          <w:szCs w:val="26"/>
          <w:rtl/>
        </w:rPr>
        <w:t xml:space="preserve">כוח אדם </w:t>
      </w:r>
      <w:r>
        <w:rPr>
          <w:rFonts w:ascii="FrankRuehl" w:hAnsi="FrankRuehl" w:cs="FrankRuehl" w:hint="cs"/>
          <w:sz w:val="26"/>
          <w:szCs w:val="26"/>
          <w:rtl/>
        </w:rPr>
        <w:t xml:space="preserve">בעבור יישום החלטת ממשלה מס' </w:t>
      </w:r>
      <w:hyperlink r:id="rId6" w:history="1">
        <w:r>
          <w:rPr>
            <w:rStyle w:val="Hyperlink"/>
            <w:rFonts w:ascii="FrankRuehl" w:hAnsi="FrankRuehl" w:cs="FrankRuehl" w:hint="cs"/>
            <w:sz w:val="26"/>
            <w:szCs w:val="26"/>
            <w:rtl/>
          </w:rPr>
          <w:t>3812</w:t>
        </w:r>
      </w:hyperlink>
      <w:r>
        <w:rPr>
          <w:rFonts w:ascii="FrankRuehl" w:hAnsi="FrankRuehl" w:cs="FrankRuehl" w:hint="cs"/>
          <w:sz w:val="26"/>
          <w:szCs w:val="26"/>
          <w:rtl/>
        </w:rPr>
        <w:t>.</w:t>
      </w:r>
    </w:p>
    <w:p w14:paraId="47CBC695" w14:textId="77777777" w:rsidR="006F501A" w:rsidRDefault="006F501A" w:rsidP="00223DE0">
      <w:pPr>
        <w:contextualSpacing/>
        <w:jc w:val="both"/>
        <w:rPr>
          <w:rFonts w:ascii="FrankRuehl" w:hAnsi="FrankRuehl" w:cs="FrankRuehl"/>
          <w:b/>
          <w:bCs/>
          <w:sz w:val="26"/>
          <w:szCs w:val="26"/>
          <w:rtl/>
        </w:rPr>
      </w:pPr>
    </w:p>
    <w:p w14:paraId="6F8E1705" w14:textId="77777777" w:rsidR="006F501A" w:rsidRDefault="006F501A" w:rsidP="00223DE0">
      <w:pPr>
        <w:contextualSpacing/>
        <w:jc w:val="both"/>
        <w:rPr>
          <w:rFonts w:ascii="FrankRuehl" w:hAnsi="FrankRuehl" w:cs="FrankRuehl"/>
          <w:sz w:val="26"/>
          <w:szCs w:val="26"/>
          <w:rtl/>
        </w:rPr>
      </w:pPr>
      <w:r>
        <w:rPr>
          <w:rFonts w:ascii="FrankRuehl" w:hAnsi="FrankRuehl" w:cs="FrankRuehl" w:hint="cs"/>
          <w:sz w:val="26"/>
          <w:szCs w:val="26"/>
          <w:rtl/>
        </w:rPr>
        <w:t>עיקרי הפנייה התקציבית בחלוקה לתוכניות מובאים להלן:</w:t>
      </w:r>
    </w:p>
    <w:p w14:paraId="3916134D" w14:textId="77777777" w:rsidR="006F501A" w:rsidRDefault="006F501A" w:rsidP="00223DE0">
      <w:pPr>
        <w:contextualSpacing/>
        <w:jc w:val="both"/>
        <w:rPr>
          <w:rFonts w:ascii="FrankRuehl" w:hAnsi="FrankRuehl" w:cs="FrankRuehl"/>
          <w:b/>
          <w:bCs/>
          <w:sz w:val="26"/>
          <w:szCs w:val="26"/>
          <w:highlight w:val="yellow"/>
          <w:u w:val="single"/>
          <w:rtl/>
        </w:rPr>
      </w:pPr>
      <w:r>
        <w:rPr>
          <w:rFonts w:ascii="FrankRuehl" w:hAnsi="FrankRuehl" w:cs="FrankRuehl" w:hint="cs"/>
          <w:b/>
          <w:bCs/>
          <w:sz w:val="26"/>
          <w:szCs w:val="26"/>
        </w:rPr>
        <w:t>151001</w:t>
      </w:r>
      <w:r>
        <w:rPr>
          <w:rFonts w:ascii="FrankRuehl" w:hAnsi="FrankRuehl" w:cs="FrankRuehl" w:hint="cs"/>
          <w:b/>
          <w:bCs/>
          <w:sz w:val="26"/>
          <w:szCs w:val="26"/>
          <w:rtl/>
        </w:rPr>
        <w:t xml:space="preserve"> – הוצאות כוח אדם – 19,212 אלפי ש"ח בהוצאה ו-48 תקני </w:t>
      </w:r>
      <w:r>
        <w:rPr>
          <w:rFonts w:cs="FrankRuehl" w:hint="cs"/>
          <w:b/>
          <w:bCs/>
          <w:sz w:val="26"/>
          <w:szCs w:val="26"/>
          <w:rtl/>
        </w:rPr>
        <w:t>כוח אדם</w:t>
      </w:r>
      <w:r>
        <w:rPr>
          <w:rFonts w:ascii="FrankRuehl" w:hAnsi="FrankRuehl" w:cs="FrankRuehl" w:hint="cs"/>
          <w:b/>
          <w:bCs/>
          <w:sz w:val="26"/>
          <w:szCs w:val="26"/>
          <w:rtl/>
        </w:rPr>
        <w:t xml:space="preserve">. </w:t>
      </w:r>
    </w:p>
    <w:p w14:paraId="1EEF4DD0" w14:textId="77777777" w:rsidR="006F501A" w:rsidRDefault="006F501A" w:rsidP="00223DE0">
      <w:pPr>
        <w:contextualSpacing/>
        <w:jc w:val="both"/>
        <w:rPr>
          <w:rFonts w:ascii="FrankRuehl" w:hAnsi="FrankRuehl" w:cs="FrankRuehl"/>
          <w:sz w:val="26"/>
          <w:szCs w:val="26"/>
          <w:rtl/>
        </w:rPr>
      </w:pPr>
      <w:r>
        <w:rPr>
          <w:rFonts w:ascii="FrankRuehl" w:hAnsi="FrankRuehl" w:cs="FrankRuehl" w:hint="cs"/>
          <w:b/>
          <w:bCs/>
          <w:sz w:val="26"/>
          <w:szCs w:val="26"/>
          <w:rtl/>
        </w:rPr>
        <w:t xml:space="preserve">תיאור התוכנית: </w:t>
      </w:r>
    </w:p>
    <w:p w14:paraId="5D88DA0F" w14:textId="77777777" w:rsidR="006F501A" w:rsidRDefault="006F501A" w:rsidP="00223DE0">
      <w:pPr>
        <w:contextualSpacing/>
        <w:jc w:val="both"/>
        <w:rPr>
          <w:rFonts w:ascii="FrankRuehl" w:hAnsi="FrankRuehl" w:cs="FrankRuehl"/>
          <w:sz w:val="26"/>
          <w:szCs w:val="26"/>
          <w:u w:val="single"/>
        </w:rPr>
      </w:pPr>
      <w:r>
        <w:rPr>
          <w:rFonts w:ascii="FrankRuehl" w:hAnsi="FrankRuehl" w:cs="FrankRuehl" w:hint="cs"/>
          <w:sz w:val="26"/>
          <w:szCs w:val="26"/>
          <w:rtl/>
        </w:rPr>
        <w:t xml:space="preserve">תכנית זו כוללת את הוצאות כוח האדם של צה"ל ומשרד הביטחון. </w:t>
      </w:r>
    </w:p>
    <w:p w14:paraId="662265D0" w14:textId="77777777" w:rsidR="006F501A" w:rsidRDefault="006F501A" w:rsidP="00223DE0">
      <w:pPr>
        <w:contextualSpacing/>
        <w:jc w:val="both"/>
        <w:rPr>
          <w:rFonts w:ascii="FrankRuehl" w:hAnsi="FrankRuehl" w:cs="FrankRuehl"/>
          <w:sz w:val="26"/>
          <w:szCs w:val="26"/>
          <w:rtl/>
        </w:rPr>
      </w:pPr>
      <w:r>
        <w:rPr>
          <w:rFonts w:ascii="FrankRuehl" w:hAnsi="FrankRuehl" w:cs="FrankRuehl" w:hint="cs"/>
          <w:b/>
          <w:bCs/>
          <w:sz w:val="26"/>
          <w:szCs w:val="26"/>
          <w:rtl/>
        </w:rPr>
        <w:t xml:space="preserve">מטרת השינוי: </w:t>
      </w:r>
      <w:r>
        <w:rPr>
          <w:rFonts w:ascii="FrankRuehl" w:hAnsi="FrankRuehl" w:cs="FrankRuehl" w:hint="cs"/>
          <w:sz w:val="26"/>
          <w:szCs w:val="26"/>
          <w:rtl/>
        </w:rPr>
        <w:t xml:space="preserve">לצורך יישום הגדלת המענים למשפחות שכולות במסגרת תיקון חוק משפחות חיילים שנספו במערכה (תגמולים ושיקום) (תיקון מס' 47), התשפ"ה-2025 תקצוב 48 תקני </w:t>
      </w:r>
      <w:r>
        <w:rPr>
          <w:rFonts w:cs="FrankRuehl" w:hint="cs"/>
          <w:sz w:val="26"/>
          <w:szCs w:val="26"/>
          <w:rtl/>
        </w:rPr>
        <w:t xml:space="preserve">כוח אדם </w:t>
      </w:r>
      <w:r>
        <w:rPr>
          <w:rFonts w:ascii="FrankRuehl" w:hAnsi="FrankRuehl" w:cs="FrankRuehl" w:hint="cs"/>
          <w:sz w:val="26"/>
          <w:szCs w:val="26"/>
          <w:rtl/>
        </w:rPr>
        <w:t>למשרד הביטחון ואת הוצאות השכר הנובעות מאיוש התקנים.</w:t>
      </w:r>
    </w:p>
    <w:p w14:paraId="50A8B9C6" w14:textId="77777777" w:rsidR="006F501A" w:rsidRDefault="006F501A" w:rsidP="00223DE0">
      <w:pPr>
        <w:contextualSpacing/>
        <w:jc w:val="both"/>
        <w:rPr>
          <w:rFonts w:ascii="FrankRuehl" w:hAnsi="FrankRuehl" w:cs="FrankRuehl"/>
          <w:sz w:val="26"/>
          <w:szCs w:val="26"/>
          <w:rtl/>
        </w:rPr>
      </w:pPr>
    </w:p>
    <w:p w14:paraId="73EBB944" w14:textId="77777777" w:rsidR="006F501A" w:rsidRDefault="006F501A" w:rsidP="00223DE0">
      <w:pPr>
        <w:contextualSpacing/>
        <w:jc w:val="both"/>
        <w:rPr>
          <w:rFonts w:ascii="FrankRuehl" w:hAnsi="FrankRuehl" w:cs="FrankRuehl"/>
          <w:b/>
          <w:bCs/>
          <w:sz w:val="26"/>
          <w:szCs w:val="26"/>
        </w:rPr>
      </w:pPr>
      <w:r>
        <w:rPr>
          <w:rFonts w:ascii="FrankRuehl" w:hAnsi="FrankRuehl" w:cs="FrankRuehl" w:hint="cs"/>
          <w:b/>
          <w:bCs/>
          <w:sz w:val="26"/>
          <w:szCs w:val="26"/>
          <w:rtl/>
        </w:rPr>
        <w:t xml:space="preserve">השפעה על </w:t>
      </w:r>
      <w:proofErr w:type="spellStart"/>
      <w:r>
        <w:rPr>
          <w:rFonts w:ascii="FrankRuehl" w:hAnsi="FrankRuehl" w:cs="FrankRuehl" w:hint="cs"/>
          <w:b/>
          <w:bCs/>
          <w:sz w:val="26"/>
          <w:szCs w:val="26"/>
          <w:rtl/>
        </w:rPr>
        <w:t>כח</w:t>
      </w:r>
      <w:proofErr w:type="spellEnd"/>
      <w:r>
        <w:rPr>
          <w:rFonts w:ascii="FrankRuehl" w:hAnsi="FrankRuehl" w:cs="FrankRuehl" w:hint="cs"/>
          <w:b/>
          <w:bCs/>
          <w:sz w:val="26"/>
          <w:szCs w:val="26"/>
          <w:rtl/>
        </w:rPr>
        <w:t xml:space="preserve"> אדם: </w:t>
      </w:r>
      <w:r>
        <w:rPr>
          <w:rFonts w:ascii="FrankRuehl" w:hAnsi="FrankRuehl" w:cs="FrankRuehl" w:hint="cs"/>
          <w:sz w:val="26"/>
          <w:szCs w:val="26"/>
          <w:rtl/>
        </w:rPr>
        <w:t xml:space="preserve">תקצוב סך של 48 תקני </w:t>
      </w:r>
      <w:proofErr w:type="spellStart"/>
      <w:r>
        <w:rPr>
          <w:rFonts w:cs="FrankRuehl" w:hint="cs"/>
          <w:sz w:val="26"/>
          <w:szCs w:val="26"/>
          <w:rtl/>
        </w:rPr>
        <w:t>כח</w:t>
      </w:r>
      <w:proofErr w:type="spellEnd"/>
      <w:r>
        <w:rPr>
          <w:rFonts w:cs="FrankRuehl" w:hint="cs"/>
          <w:sz w:val="26"/>
          <w:szCs w:val="26"/>
          <w:rtl/>
        </w:rPr>
        <w:t xml:space="preserve"> אדם</w:t>
      </w:r>
      <w:r>
        <w:rPr>
          <w:rFonts w:ascii="FrankRuehl" w:hAnsi="FrankRuehl" w:cs="FrankRuehl" w:hint="cs"/>
          <w:sz w:val="26"/>
          <w:szCs w:val="26"/>
          <w:rtl/>
        </w:rPr>
        <w:t xml:space="preserve"> כמפורט לעיל.</w:t>
      </w:r>
    </w:p>
    <w:p w14:paraId="4E76F0A6" w14:textId="13E0ED45" w:rsidR="005F4E5D" w:rsidRDefault="005F4E5D" w:rsidP="00223DE0">
      <w:pPr>
        <w:jc w:val="both"/>
        <w:rPr>
          <w:rFonts w:cs="FrankRuehl"/>
          <w:sz w:val="26"/>
          <w:szCs w:val="26"/>
          <w:rtl/>
        </w:rPr>
      </w:pPr>
    </w:p>
    <w:p w14:paraId="626F7D85" w14:textId="77777777" w:rsidR="006F4E62" w:rsidRDefault="006F4E62" w:rsidP="00223DE0">
      <w:pPr>
        <w:jc w:val="both"/>
        <w:rPr>
          <w:rFonts w:cs="FrankRuehl"/>
          <w:b/>
          <w:bCs/>
          <w:sz w:val="26"/>
          <w:szCs w:val="26"/>
          <w:u w:val="single"/>
          <w:rtl/>
        </w:rPr>
      </w:pPr>
      <w:r>
        <w:rPr>
          <w:rFonts w:cs="FrankRuehl"/>
          <w:b/>
          <w:bCs/>
          <w:sz w:val="26"/>
          <w:szCs w:val="26"/>
          <w:u w:val="single"/>
          <w:rtl/>
        </w:rPr>
        <w:br w:type="page"/>
      </w:r>
    </w:p>
    <w:p w14:paraId="5BA93C01" w14:textId="7EFD9CA6" w:rsidR="006F501A" w:rsidRDefault="006F501A" w:rsidP="00223DE0">
      <w:pPr>
        <w:jc w:val="both"/>
        <w:rPr>
          <w:rFonts w:cs="FrankRuehl"/>
          <w:b/>
          <w:bCs/>
          <w:sz w:val="26"/>
          <w:szCs w:val="26"/>
          <w:u w:val="single"/>
          <w:rtl/>
        </w:rPr>
      </w:pPr>
      <w:r>
        <w:rPr>
          <w:rFonts w:cs="FrankRuehl" w:hint="cs"/>
          <w:b/>
          <w:bCs/>
          <w:sz w:val="26"/>
          <w:szCs w:val="26"/>
          <w:u w:val="single"/>
          <w:rtl/>
        </w:rPr>
        <w:t>דברי הסבר לפנייה בסעיף תקציבי 68 – רשות האוכלוסין:</w:t>
      </w:r>
    </w:p>
    <w:p w14:paraId="066FCD08" w14:textId="77777777" w:rsidR="006F501A" w:rsidRPr="002E1D22" w:rsidRDefault="006F501A" w:rsidP="00223DE0">
      <w:pPr>
        <w:jc w:val="both"/>
        <w:rPr>
          <w:rFonts w:cs="FrankRuehl"/>
          <w:sz w:val="26"/>
          <w:szCs w:val="26"/>
          <w:rtl/>
        </w:rPr>
      </w:pPr>
    </w:p>
    <w:p w14:paraId="0A195725" w14:textId="2E1AB5A0" w:rsidR="006F501A" w:rsidRDefault="006F501A" w:rsidP="00223DE0">
      <w:pPr>
        <w:jc w:val="both"/>
        <w:rPr>
          <w:rFonts w:ascii="Narkisim" w:hAnsi="Narkisim" w:cs="FrankRuehl"/>
          <w:sz w:val="26"/>
          <w:szCs w:val="26"/>
          <w:lang w:eastAsia="en-US"/>
        </w:rPr>
      </w:pPr>
      <w:r>
        <w:rPr>
          <w:rFonts w:ascii="Narkisim" w:hAnsi="Narkisim" w:cs="FrankRuehl" w:hint="cs"/>
          <w:b/>
          <w:bCs/>
          <w:sz w:val="26"/>
          <w:szCs w:val="26"/>
          <w:rtl/>
        </w:rPr>
        <w:t>הבקשה דנה בסעיף תקציבי:</w:t>
      </w:r>
      <w:r>
        <w:rPr>
          <w:rFonts w:ascii="Narkisim" w:hAnsi="Narkisim" w:cs="FrankRuehl" w:hint="cs"/>
          <w:sz w:val="26"/>
          <w:szCs w:val="26"/>
          <w:rtl/>
        </w:rPr>
        <w:t xml:space="preserve"> 68 – רשות האוכלוסין</w:t>
      </w:r>
    </w:p>
    <w:p w14:paraId="0930D281" w14:textId="77777777" w:rsidR="006F501A" w:rsidRDefault="006F501A" w:rsidP="00223DE0">
      <w:pPr>
        <w:jc w:val="both"/>
        <w:rPr>
          <w:rFonts w:ascii="Narkisim" w:hAnsi="Narkisim" w:cs="FrankRuehl"/>
          <w:sz w:val="26"/>
          <w:szCs w:val="26"/>
          <w:rtl/>
        </w:rPr>
      </w:pPr>
    </w:p>
    <w:p w14:paraId="31084AD9" w14:textId="77777777" w:rsidR="006F501A" w:rsidRDefault="006F501A" w:rsidP="00223DE0">
      <w:pPr>
        <w:jc w:val="both"/>
        <w:rPr>
          <w:rFonts w:ascii="Narkisim" w:hAnsi="Narkisim" w:cs="FrankRuehl"/>
          <w:b/>
          <w:bCs/>
          <w:sz w:val="26"/>
          <w:szCs w:val="26"/>
          <w:rtl/>
        </w:rPr>
      </w:pPr>
      <w:r>
        <w:rPr>
          <w:rFonts w:ascii="Narkisim" w:hAnsi="Narkisim" w:cs="FrankRuehl" w:hint="cs"/>
          <w:b/>
          <w:bCs/>
          <w:sz w:val="26"/>
          <w:szCs w:val="26"/>
          <w:rtl/>
        </w:rPr>
        <w:t>עיקרי הפנייה:</w:t>
      </w:r>
    </w:p>
    <w:p w14:paraId="262C3236" w14:textId="6A2F42D6" w:rsidR="006F501A" w:rsidRDefault="006F501A" w:rsidP="00223DE0">
      <w:pPr>
        <w:jc w:val="both"/>
        <w:rPr>
          <w:rFonts w:ascii="Narkisim" w:hAnsi="Narkisim" w:cs="FrankRuehl"/>
          <w:sz w:val="26"/>
          <w:szCs w:val="26"/>
          <w:rtl/>
        </w:rPr>
      </w:pPr>
      <w:r>
        <w:rPr>
          <w:rFonts w:ascii="Narkisim" w:hAnsi="Narkisim" w:cs="FrankRuehl" w:hint="cs"/>
          <w:sz w:val="26"/>
          <w:szCs w:val="26"/>
          <w:rtl/>
        </w:rPr>
        <w:t xml:space="preserve">הפנייה התקציבית נועדה לתקצוב סך של 2,561 אלפי ש"ח בהוצאה עבור תגבור מערך הבודקים ברשות האוכלוסין לצורך בדיקת בקשות העלייה של העולים הממתינים באתיופיה לפי החלטת ממשלה מס' </w:t>
      </w:r>
      <w:hyperlink r:id="rId7" w:history="1">
        <w:r w:rsidRPr="008113B6">
          <w:rPr>
            <w:rStyle w:val="Hyperlink"/>
            <w:rFonts w:ascii="Narkisim" w:hAnsi="Narkisim" w:cs="FrankRuehl" w:hint="cs"/>
            <w:sz w:val="26"/>
            <w:szCs w:val="26"/>
            <w:rtl/>
          </w:rPr>
          <w:t>3812</w:t>
        </w:r>
      </w:hyperlink>
      <w:r>
        <w:rPr>
          <w:rFonts w:ascii="Narkisim" w:hAnsi="Narkisim" w:cs="FrankRuehl" w:hint="cs"/>
          <w:sz w:val="26"/>
          <w:szCs w:val="26"/>
          <w:rtl/>
        </w:rPr>
        <w:t>.</w:t>
      </w:r>
    </w:p>
    <w:p w14:paraId="088F111F" w14:textId="77777777" w:rsidR="006F501A" w:rsidRDefault="006F501A" w:rsidP="00223DE0">
      <w:pPr>
        <w:jc w:val="both"/>
        <w:rPr>
          <w:rFonts w:ascii="Narkisim" w:hAnsi="Narkisim" w:cs="FrankRuehl"/>
          <w:sz w:val="26"/>
          <w:szCs w:val="26"/>
          <w:rtl/>
        </w:rPr>
      </w:pPr>
    </w:p>
    <w:p w14:paraId="73907B05" w14:textId="77777777" w:rsidR="006F501A" w:rsidRDefault="006F501A" w:rsidP="00223DE0">
      <w:pPr>
        <w:jc w:val="both"/>
        <w:rPr>
          <w:rFonts w:ascii="Narkisim" w:hAnsi="Narkisim" w:cs="FrankRuehl"/>
          <w:sz w:val="26"/>
          <w:szCs w:val="26"/>
          <w:rtl/>
        </w:rPr>
      </w:pPr>
      <w:r>
        <w:rPr>
          <w:rFonts w:ascii="Narkisim" w:hAnsi="Narkisim" w:cs="FrankRuehl" w:hint="cs"/>
          <w:sz w:val="26"/>
          <w:szCs w:val="26"/>
          <w:rtl/>
        </w:rPr>
        <w:t xml:space="preserve">עיקרי הפנייה התקציבית בחלוקה </w:t>
      </w:r>
      <w:proofErr w:type="spellStart"/>
      <w:r>
        <w:rPr>
          <w:rFonts w:ascii="Narkisim" w:hAnsi="Narkisim" w:cs="FrankRuehl" w:hint="cs"/>
          <w:sz w:val="26"/>
          <w:szCs w:val="26"/>
          <w:rtl/>
        </w:rPr>
        <w:t>לתכניות</w:t>
      </w:r>
      <w:proofErr w:type="spellEnd"/>
      <w:r>
        <w:rPr>
          <w:rFonts w:ascii="Narkisim" w:hAnsi="Narkisim" w:cs="FrankRuehl" w:hint="cs"/>
          <w:sz w:val="26"/>
          <w:szCs w:val="26"/>
          <w:rtl/>
        </w:rPr>
        <w:t xml:space="preserve"> מובאים להלן:</w:t>
      </w:r>
    </w:p>
    <w:p w14:paraId="08CC67D4" w14:textId="77777777" w:rsidR="006F501A" w:rsidRDefault="006F501A" w:rsidP="00223DE0">
      <w:pPr>
        <w:jc w:val="both"/>
        <w:rPr>
          <w:rFonts w:ascii="Narkisim" w:hAnsi="Narkisim" w:cs="FrankRuehl"/>
          <w:b/>
          <w:bCs/>
          <w:sz w:val="26"/>
          <w:szCs w:val="26"/>
          <w:rtl/>
        </w:rPr>
      </w:pPr>
      <w:r>
        <w:rPr>
          <w:rFonts w:ascii="Narkisim" w:hAnsi="Narkisim" w:cs="FrankRuehl" w:hint="cs"/>
          <w:b/>
          <w:bCs/>
          <w:sz w:val="26"/>
          <w:szCs w:val="26"/>
          <w:rtl/>
        </w:rPr>
        <w:t>68-11-01 - מטה ולשכות אוכלוסין – תקצוב סך של 2,531 אלפי ש"ח בהוצאה</w:t>
      </w:r>
    </w:p>
    <w:p w14:paraId="24B7F0FB" w14:textId="77777777" w:rsidR="006F501A" w:rsidRDefault="006F501A" w:rsidP="00223DE0">
      <w:pPr>
        <w:jc w:val="both"/>
        <w:rPr>
          <w:rFonts w:ascii="Narkisim" w:hAnsi="Narkisim" w:cs="FrankRuehl"/>
          <w:b/>
          <w:bCs/>
          <w:sz w:val="26"/>
          <w:szCs w:val="26"/>
          <w:rtl/>
        </w:rPr>
      </w:pPr>
      <w:r>
        <w:rPr>
          <w:rFonts w:cs="FrankRuehl" w:hint="cs"/>
          <w:b/>
          <w:bCs/>
          <w:color w:val="000000"/>
          <w:sz w:val="26"/>
          <w:szCs w:val="26"/>
          <w:rtl/>
        </w:rPr>
        <w:t xml:space="preserve">תיאור </w:t>
      </w:r>
      <w:proofErr w:type="spellStart"/>
      <w:r>
        <w:rPr>
          <w:rFonts w:cs="FrankRuehl" w:hint="cs"/>
          <w:b/>
          <w:bCs/>
          <w:color w:val="000000"/>
          <w:sz w:val="26"/>
          <w:szCs w:val="26"/>
          <w:rtl/>
        </w:rPr>
        <w:t>התכנית</w:t>
      </w:r>
      <w:proofErr w:type="spellEnd"/>
      <w:r>
        <w:rPr>
          <w:rFonts w:cs="FrankRuehl" w:hint="cs"/>
          <w:b/>
          <w:bCs/>
          <w:color w:val="000000"/>
          <w:sz w:val="26"/>
          <w:szCs w:val="26"/>
          <w:rtl/>
        </w:rPr>
        <w:t>:</w:t>
      </w:r>
      <w:r>
        <w:rPr>
          <w:rFonts w:cs="FrankRuehl" w:hint="cs"/>
          <w:color w:val="000000"/>
          <w:sz w:val="26"/>
          <w:szCs w:val="26"/>
          <w:rtl/>
        </w:rPr>
        <w:t xml:space="preserve"> התוכנית מיועדת למימון שכר עובדים, מנהל הדיור, תחזוקה ותפעול ופעולות שונות של מנהל אוכלוסין האמון על הנפקת תיעוד ביומטרי, עדכון מרשם אוכלוסין בהתאם לשינויים באוכלוסייה, מתן אשרות ומעמד בהתאם לחוק, הרחבת נפח העבודה והפעילות וכן תחזוקת והפעלת כ-55 לשכות אוכלוסין למתן שירות לציבור, הפעלת מטה מרכזי לתמיכה ביחידות השונות כולל עובדי יחידת מחשוב ועובדי מחלקה משפטית, הפעלת מרכז מידע לציבור והכנת תשתיות לעמדות שירות לציבור. </w:t>
      </w:r>
    </w:p>
    <w:p w14:paraId="3FA4932B" w14:textId="77777777" w:rsidR="006F501A" w:rsidRDefault="006F501A" w:rsidP="00223DE0">
      <w:pPr>
        <w:jc w:val="both"/>
        <w:rPr>
          <w:rFonts w:ascii="Narkisim" w:hAnsi="Narkisim" w:cs="FrankRuehl"/>
          <w:sz w:val="26"/>
          <w:szCs w:val="26"/>
        </w:rPr>
      </w:pPr>
      <w:r>
        <w:rPr>
          <w:rFonts w:ascii="Narkisim" w:hAnsi="Narkisim" w:cs="FrankRuehl" w:hint="cs"/>
          <w:b/>
          <w:bCs/>
          <w:sz w:val="26"/>
          <w:szCs w:val="26"/>
          <w:rtl/>
        </w:rPr>
        <w:t>מטרת השינוי התקציבי:</w:t>
      </w:r>
      <w:r>
        <w:rPr>
          <w:rFonts w:ascii="Narkisim" w:hAnsi="Narkisim" w:cs="FrankRuehl" w:hint="cs"/>
          <w:sz w:val="26"/>
          <w:szCs w:val="26"/>
          <w:rtl/>
        </w:rPr>
        <w:t xml:space="preserve"> תקצוב הוספת 10 תקני בודקים ברשות האוכלוסין שיתגברו את מערך הבודקים של בקשות העלייה מאתיופיה.</w:t>
      </w:r>
    </w:p>
    <w:p w14:paraId="27AEA520" w14:textId="77777777" w:rsidR="006F501A" w:rsidRDefault="006F501A" w:rsidP="00223DE0">
      <w:pPr>
        <w:jc w:val="both"/>
        <w:rPr>
          <w:rFonts w:ascii="Narkisim" w:hAnsi="Narkisim" w:cs="FrankRuehl"/>
          <w:sz w:val="26"/>
          <w:szCs w:val="26"/>
          <w:rtl/>
        </w:rPr>
      </w:pPr>
    </w:p>
    <w:p w14:paraId="7201818E" w14:textId="77777777" w:rsidR="006F501A" w:rsidRDefault="006F501A" w:rsidP="00223DE0">
      <w:pPr>
        <w:jc w:val="both"/>
        <w:rPr>
          <w:rFonts w:ascii="Narkisim" w:hAnsi="Narkisim" w:cs="FrankRuehl"/>
          <w:sz w:val="26"/>
          <w:szCs w:val="26"/>
          <w:rtl/>
        </w:rPr>
      </w:pPr>
      <w:r>
        <w:rPr>
          <w:rFonts w:ascii="Narkisim" w:hAnsi="Narkisim" w:cs="FrankRuehl" w:hint="cs"/>
          <w:b/>
          <w:bCs/>
          <w:sz w:val="26"/>
          <w:szCs w:val="26"/>
          <w:rtl/>
        </w:rPr>
        <w:t xml:space="preserve">השפעה על </w:t>
      </w:r>
      <w:proofErr w:type="spellStart"/>
      <w:r>
        <w:rPr>
          <w:rFonts w:ascii="Narkisim" w:hAnsi="Narkisim" w:cs="FrankRuehl" w:hint="cs"/>
          <w:b/>
          <w:bCs/>
          <w:sz w:val="26"/>
          <w:szCs w:val="26"/>
          <w:rtl/>
        </w:rPr>
        <w:t>כח</w:t>
      </w:r>
      <w:proofErr w:type="spellEnd"/>
      <w:r>
        <w:rPr>
          <w:rFonts w:ascii="Narkisim" w:hAnsi="Narkisim" w:cs="FrankRuehl" w:hint="cs"/>
          <w:b/>
          <w:bCs/>
          <w:sz w:val="26"/>
          <w:szCs w:val="26"/>
          <w:rtl/>
        </w:rPr>
        <w:t xml:space="preserve"> אדם:</w:t>
      </w:r>
      <w:r>
        <w:rPr>
          <w:rFonts w:ascii="Narkisim" w:hAnsi="Narkisim" w:cs="FrankRuehl" w:hint="cs"/>
          <w:sz w:val="26"/>
          <w:szCs w:val="26"/>
          <w:rtl/>
        </w:rPr>
        <w:t xml:space="preserve"> תוספת של 10 תקני </w:t>
      </w:r>
      <w:proofErr w:type="spellStart"/>
      <w:r>
        <w:rPr>
          <w:rFonts w:ascii="Narkisim" w:hAnsi="Narkisim" w:cs="FrankRuehl" w:hint="cs"/>
          <w:sz w:val="26"/>
          <w:szCs w:val="26"/>
          <w:rtl/>
        </w:rPr>
        <w:t>כח</w:t>
      </w:r>
      <w:proofErr w:type="spellEnd"/>
      <w:r>
        <w:rPr>
          <w:rFonts w:ascii="Narkisim" w:hAnsi="Narkisim" w:cs="FrankRuehl" w:hint="cs"/>
          <w:sz w:val="26"/>
          <w:szCs w:val="26"/>
          <w:rtl/>
        </w:rPr>
        <w:t xml:space="preserve"> אדם כמפורט לעיל.</w:t>
      </w:r>
    </w:p>
    <w:p w14:paraId="36FB2438" w14:textId="77777777" w:rsidR="006F501A" w:rsidRPr="006F501A" w:rsidRDefault="006F501A" w:rsidP="006F501A">
      <w:pPr>
        <w:pStyle w:val="a0"/>
        <w:rPr>
          <w:rtl/>
        </w:rPr>
      </w:pPr>
    </w:p>
    <w:p w14:paraId="43FAE832" w14:textId="77777777" w:rsidR="005F4E5D" w:rsidRPr="002E1D22" w:rsidRDefault="005F4E5D" w:rsidP="005F4E5D">
      <w:pPr>
        <w:rPr>
          <w:rFonts w:cs="FrankRuehl"/>
          <w:sz w:val="26"/>
          <w:szCs w:val="26"/>
          <w:rtl/>
        </w:rPr>
      </w:pPr>
    </w:p>
    <w:p w14:paraId="0BAAA27B" w14:textId="77777777" w:rsidR="005F4E5D" w:rsidRPr="002E1D22" w:rsidRDefault="005F4E5D" w:rsidP="005F4E5D">
      <w:pPr>
        <w:tabs>
          <w:tab w:val="center" w:pos="6867"/>
        </w:tabs>
        <w:rPr>
          <w:rFonts w:cs="FrankRuehl"/>
          <w:sz w:val="26"/>
          <w:szCs w:val="26"/>
          <w:rtl/>
        </w:rPr>
      </w:pPr>
    </w:p>
    <w:p w14:paraId="2C27F3C5" w14:textId="77777777" w:rsidR="005F4E5D" w:rsidRPr="002E1D22" w:rsidRDefault="005F4E5D" w:rsidP="005F4E5D">
      <w:pPr>
        <w:tabs>
          <w:tab w:val="center" w:pos="6867"/>
        </w:tabs>
        <w:rPr>
          <w:rFonts w:cs="FrankRuehl"/>
          <w:sz w:val="26"/>
          <w:szCs w:val="26"/>
          <w:rtl/>
        </w:rPr>
      </w:pPr>
      <w:r w:rsidRPr="002E1D22">
        <w:rPr>
          <w:rFonts w:cs="FrankRuehl"/>
          <w:sz w:val="26"/>
          <w:szCs w:val="26"/>
          <w:rtl/>
        </w:rPr>
        <w:tab/>
        <w:t>בכבוד רב,</w:t>
      </w:r>
    </w:p>
    <w:p w14:paraId="13BF910E" w14:textId="77777777" w:rsidR="005F4E5D" w:rsidRDefault="005F4E5D" w:rsidP="005F4E5D">
      <w:pPr>
        <w:tabs>
          <w:tab w:val="center" w:pos="6867"/>
        </w:tabs>
        <w:rPr>
          <w:rFonts w:cs="FrankRuehl"/>
          <w:sz w:val="26"/>
          <w:szCs w:val="26"/>
          <w:rtl/>
        </w:rPr>
      </w:pPr>
      <w:r>
        <w:rPr>
          <w:rFonts w:cs="FrankRuehl"/>
          <w:sz w:val="26"/>
          <w:szCs w:val="26"/>
          <w:rtl/>
        </w:rPr>
        <w:tab/>
      </w:r>
    </w:p>
    <w:p w14:paraId="372C7A50" w14:textId="77777777" w:rsidR="005F4E5D" w:rsidRPr="002E1D22" w:rsidRDefault="005F4E5D" w:rsidP="005F4E5D">
      <w:pPr>
        <w:tabs>
          <w:tab w:val="center" w:pos="6867"/>
        </w:tabs>
        <w:rPr>
          <w:rFonts w:cs="FrankRuehl"/>
          <w:sz w:val="26"/>
          <w:szCs w:val="26"/>
        </w:rPr>
      </w:pPr>
      <w:r>
        <w:rPr>
          <w:rFonts w:cs="FrankRuehl"/>
          <w:sz w:val="26"/>
          <w:szCs w:val="26"/>
          <w:rtl/>
        </w:rPr>
        <w:tab/>
      </w:r>
      <w:bookmarkStart w:id="8" w:name="Sign_Image"/>
      <w:bookmarkEnd w:id="8"/>
    </w:p>
    <w:p w14:paraId="405D19B1" w14:textId="77777777" w:rsidR="005F4E5D" w:rsidRPr="002E1D22" w:rsidRDefault="005F4E5D" w:rsidP="005F4E5D">
      <w:pPr>
        <w:tabs>
          <w:tab w:val="center" w:pos="6867"/>
        </w:tabs>
        <w:rPr>
          <w:rFonts w:cs="FrankRuehl"/>
          <w:sz w:val="26"/>
          <w:szCs w:val="26"/>
          <w:rtl/>
        </w:rPr>
      </w:pPr>
      <w:r w:rsidRPr="002E1D22">
        <w:rPr>
          <w:rFonts w:cs="FrankRuehl"/>
          <w:sz w:val="26"/>
          <w:szCs w:val="26"/>
          <w:rtl/>
        </w:rPr>
        <w:tab/>
      </w:r>
    </w:p>
    <w:p w14:paraId="4EAF71D8" w14:textId="77777777" w:rsidR="005F4E5D" w:rsidRPr="002E1D22" w:rsidRDefault="005F4E5D" w:rsidP="005F4E5D">
      <w:pPr>
        <w:tabs>
          <w:tab w:val="center" w:pos="6867"/>
        </w:tabs>
        <w:rPr>
          <w:rFonts w:cs="FrankRuehl"/>
          <w:sz w:val="26"/>
          <w:szCs w:val="26"/>
          <w:rtl/>
        </w:rPr>
      </w:pPr>
      <w:r w:rsidRPr="002E1D22">
        <w:rPr>
          <w:rFonts w:cs="FrankRuehl"/>
          <w:sz w:val="26"/>
          <w:szCs w:val="26"/>
          <w:rtl/>
        </w:rPr>
        <w:tab/>
      </w:r>
    </w:p>
    <w:p w14:paraId="3BAF3D71" w14:textId="77777777" w:rsidR="005F4E5D" w:rsidRPr="002E1D22" w:rsidRDefault="005F4E5D" w:rsidP="005F4E5D">
      <w:pPr>
        <w:tabs>
          <w:tab w:val="center" w:pos="6867"/>
        </w:tabs>
        <w:rPr>
          <w:rFonts w:cs="FrankRuehl"/>
          <w:sz w:val="26"/>
          <w:szCs w:val="26"/>
          <w:rtl/>
        </w:rPr>
      </w:pPr>
      <w:r w:rsidRPr="002E1D22">
        <w:rPr>
          <w:rFonts w:cs="FrankRuehl"/>
          <w:sz w:val="26"/>
          <w:szCs w:val="26"/>
          <w:rtl/>
        </w:rPr>
        <w:tab/>
      </w:r>
    </w:p>
    <w:p w14:paraId="4CD4E6F3" w14:textId="77777777" w:rsidR="005F4E5D" w:rsidRPr="002E1D22" w:rsidRDefault="005F4E5D" w:rsidP="005F4E5D">
      <w:pPr>
        <w:rPr>
          <w:rFonts w:cs="FrankRuehl"/>
          <w:sz w:val="26"/>
          <w:szCs w:val="26"/>
          <w:rtl/>
        </w:rPr>
      </w:pPr>
      <w:r w:rsidRPr="002E1D22">
        <w:rPr>
          <w:rFonts w:cs="FrankRuehl"/>
          <w:sz w:val="26"/>
          <w:szCs w:val="26"/>
          <w:rtl/>
        </w:rPr>
        <w:t>העתק:</w:t>
      </w:r>
    </w:p>
    <w:p w14:paraId="1EACDC62" w14:textId="77777777" w:rsidR="005F4E5D" w:rsidRPr="002E1D22" w:rsidRDefault="005F4E5D" w:rsidP="005F4E5D">
      <w:pPr>
        <w:rPr>
          <w:rFonts w:cs="FrankRuehl"/>
          <w:sz w:val="26"/>
          <w:szCs w:val="26"/>
          <w:rtl/>
        </w:rPr>
      </w:pPr>
      <w:r w:rsidRPr="002E1D22">
        <w:rPr>
          <w:rFonts w:cs="FrankRuehl"/>
          <w:sz w:val="26"/>
          <w:szCs w:val="26"/>
          <w:rtl/>
        </w:rPr>
        <w:t>החשב הכללי</w:t>
      </w:r>
    </w:p>
    <w:p w14:paraId="688F68DA" w14:textId="77777777" w:rsidR="005F4E5D" w:rsidRPr="002E1D22" w:rsidRDefault="005F4E5D" w:rsidP="005F4E5D">
      <w:pPr>
        <w:rPr>
          <w:rFonts w:cs="FrankRuehl"/>
          <w:sz w:val="26"/>
          <w:szCs w:val="26"/>
          <w:rtl/>
        </w:rPr>
      </w:pPr>
      <w:r w:rsidRPr="002E1D22">
        <w:rPr>
          <w:rFonts w:cs="FrankRuehl"/>
          <w:sz w:val="26"/>
          <w:szCs w:val="26"/>
          <w:rtl/>
        </w:rPr>
        <w:t>מבקר המדינה (2)</w:t>
      </w:r>
    </w:p>
    <w:p w14:paraId="60B65773" w14:textId="77777777" w:rsidR="005F4E5D" w:rsidRDefault="005F4E5D" w:rsidP="005F4E5D">
      <w:pPr>
        <w:rPr>
          <w:rFonts w:cs="FrankRuehl"/>
          <w:sz w:val="26"/>
          <w:szCs w:val="26"/>
          <w:rtl/>
        </w:rPr>
      </w:pPr>
      <w:bookmarkStart w:id="9" w:name="TAKZIV22"/>
      <w:r>
        <w:rPr>
          <w:rFonts w:cs="FrankRuehl"/>
          <w:sz w:val="26"/>
          <w:szCs w:val="26"/>
          <w:rtl/>
        </w:rPr>
        <w:t>חשב החשב הכללי</w:t>
      </w:r>
    </w:p>
    <w:p w14:paraId="4E45B1F7" w14:textId="77777777" w:rsidR="005F4E5D" w:rsidRPr="002E1D22" w:rsidRDefault="005F4E5D" w:rsidP="005F4E5D">
      <w:pPr>
        <w:rPr>
          <w:rFonts w:cs="FrankRuehl"/>
          <w:sz w:val="26"/>
          <w:szCs w:val="26"/>
          <w:rtl/>
        </w:rPr>
      </w:pPr>
      <w:r>
        <w:rPr>
          <w:rFonts w:cs="FrankRuehl"/>
          <w:sz w:val="26"/>
          <w:szCs w:val="26"/>
          <w:rtl/>
        </w:rPr>
        <w:t>חשב משרד הבטחון</w:t>
      </w:r>
      <w:bookmarkEnd w:id="9"/>
    </w:p>
    <w:p w14:paraId="62C92CBE" w14:textId="77777777" w:rsidR="005F4E5D" w:rsidRPr="002E1D22" w:rsidRDefault="005F4E5D" w:rsidP="005F4E5D">
      <w:pPr>
        <w:rPr>
          <w:rFonts w:cs="FrankRuehl"/>
          <w:sz w:val="26"/>
          <w:szCs w:val="26"/>
          <w:rtl/>
        </w:rPr>
      </w:pPr>
      <w:r w:rsidRPr="002E1D22">
        <w:rPr>
          <w:rFonts w:cs="FrankRuehl"/>
          <w:sz w:val="26"/>
          <w:szCs w:val="26"/>
          <w:rtl/>
        </w:rPr>
        <w:t xml:space="preserve">קצין תקציבים </w:t>
      </w:r>
      <w:bookmarkStart w:id="10" w:name="TAKZIV6_1"/>
      <w:r>
        <w:rPr>
          <w:rFonts w:cs="FrankRuehl"/>
          <w:sz w:val="26"/>
          <w:szCs w:val="26"/>
          <w:rtl/>
        </w:rPr>
        <w:t>משרד הביטחון</w:t>
      </w:r>
      <w:bookmarkEnd w:id="10"/>
    </w:p>
    <w:p w14:paraId="5AC650F6" w14:textId="77777777" w:rsidR="005F4E5D" w:rsidRPr="002E1D22" w:rsidRDefault="005F4E5D" w:rsidP="005F4E5D">
      <w:pPr>
        <w:rPr>
          <w:rFonts w:cs="FrankRuehl"/>
          <w:sz w:val="26"/>
          <w:szCs w:val="26"/>
          <w:rtl/>
        </w:rPr>
      </w:pPr>
      <w:r w:rsidRPr="002E1D22">
        <w:rPr>
          <w:rFonts w:cs="FrankRuehl"/>
          <w:sz w:val="26"/>
          <w:szCs w:val="26"/>
          <w:rtl/>
        </w:rPr>
        <w:t xml:space="preserve">רפרנט </w:t>
      </w:r>
      <w:bookmarkStart w:id="11" w:name="TAKZIV6_2"/>
      <w:r>
        <w:rPr>
          <w:rFonts w:cs="FrankRuehl"/>
          <w:sz w:val="26"/>
          <w:szCs w:val="26"/>
          <w:rtl/>
        </w:rPr>
        <w:t>משרד הביטחון</w:t>
      </w:r>
      <w:bookmarkEnd w:id="11"/>
    </w:p>
    <w:p w14:paraId="051CC257" w14:textId="77777777" w:rsidR="005F4E5D" w:rsidRPr="002E1D22" w:rsidRDefault="005F4E5D" w:rsidP="005F4E5D">
      <w:pPr>
        <w:rPr>
          <w:rFonts w:cs="FrankRuehl"/>
          <w:sz w:val="26"/>
          <w:szCs w:val="26"/>
          <w:rtl/>
        </w:rPr>
      </w:pPr>
      <w:bookmarkStart w:id="12" w:name="TAKZIV23"/>
      <w:r>
        <w:rPr>
          <w:rFonts w:cs="FrankRuehl"/>
          <w:sz w:val="26"/>
          <w:szCs w:val="26"/>
          <w:rtl/>
        </w:rPr>
        <w:t>נציבות שירות המדינה</w:t>
      </w:r>
      <w:bookmarkEnd w:id="12"/>
    </w:p>
    <w:p w14:paraId="0C9F669F" w14:textId="3DA1C6AB" w:rsidR="00157BA4" w:rsidRDefault="00157BA4" w:rsidP="005F4E5D">
      <w:pPr>
        <w:rPr>
          <w:rtl/>
        </w:rPr>
      </w:pPr>
    </w:p>
    <w:p w14:paraId="281582FB" w14:textId="77777777" w:rsidR="00F31B52" w:rsidRDefault="00F31B52">
      <w:pPr>
        <w:bidi w:val="0"/>
      </w:pPr>
      <w:r>
        <w:br w:type="page"/>
      </w:r>
    </w:p>
    <w:tbl>
      <w:tblPr>
        <w:tblW w:w="9920" w:type="dxa"/>
        <w:jc w:val="center"/>
        <w:tblLook w:val="04A0" w:firstRow="1" w:lastRow="0" w:firstColumn="1" w:lastColumn="0" w:noHBand="0" w:noVBand="1"/>
      </w:tblPr>
      <w:tblGrid>
        <w:gridCol w:w="1135"/>
        <w:gridCol w:w="1420"/>
        <w:gridCol w:w="1000"/>
        <w:gridCol w:w="1140"/>
        <w:gridCol w:w="1000"/>
        <w:gridCol w:w="1140"/>
        <w:gridCol w:w="1000"/>
        <w:gridCol w:w="1140"/>
        <w:gridCol w:w="945"/>
      </w:tblGrid>
      <w:tr w:rsidR="0020133C" w14:paraId="1442D9C9" w14:textId="77777777" w:rsidTr="00F31B52">
        <w:trPr>
          <w:trHeight w:val="300"/>
          <w:jc w:val="center"/>
        </w:trPr>
        <w:tc>
          <w:tcPr>
            <w:tcW w:w="8975" w:type="dxa"/>
            <w:gridSpan w:val="8"/>
            <w:vAlign w:val="center"/>
            <w:hideMark/>
          </w:tcPr>
          <w:p w14:paraId="3A6864A5" w14:textId="5A346BB9" w:rsidR="0020133C" w:rsidRDefault="0020133C" w:rsidP="009B5216">
            <w:pPr>
              <w:jc w:val="center"/>
              <w:rPr>
                <w:rFonts w:ascii="Calibri" w:hAnsi="Calibri" w:cs="Calibri"/>
                <w:b/>
                <w:bCs/>
                <w:color w:val="000000"/>
                <w:szCs w:val="20"/>
                <w:rtl/>
              </w:rPr>
            </w:pPr>
            <w:r>
              <w:rPr>
                <w:rFonts w:ascii="Calibri" w:hAnsi="Calibri" w:cs="Calibri"/>
                <w:b/>
                <w:bCs/>
                <w:color w:val="000000"/>
                <w:szCs w:val="20"/>
                <w:rtl/>
              </w:rPr>
              <w:t>היסטוריה תקציבית של הפנייה - הוצאה נטו</w:t>
            </w:r>
          </w:p>
        </w:tc>
        <w:tc>
          <w:tcPr>
            <w:tcW w:w="945" w:type="dxa"/>
            <w:noWrap/>
            <w:vAlign w:val="bottom"/>
            <w:hideMark/>
          </w:tcPr>
          <w:p w14:paraId="51E9DFFD" w14:textId="77777777" w:rsidR="0020133C" w:rsidRDefault="0020133C" w:rsidP="009B5216">
            <w:pPr>
              <w:rPr>
                <w:rFonts w:ascii="Calibri" w:hAnsi="Calibri" w:cs="Calibri"/>
                <w:b/>
                <w:bCs/>
                <w:color w:val="000000"/>
                <w:szCs w:val="20"/>
              </w:rPr>
            </w:pPr>
          </w:p>
        </w:tc>
      </w:tr>
      <w:tr w:rsidR="0020133C" w14:paraId="7431225C" w14:textId="77777777" w:rsidTr="00F31B52">
        <w:trPr>
          <w:trHeight w:val="300"/>
          <w:jc w:val="center"/>
        </w:trPr>
        <w:tc>
          <w:tcPr>
            <w:tcW w:w="1135" w:type="dxa"/>
            <w:vAlign w:val="center"/>
            <w:hideMark/>
          </w:tcPr>
          <w:p w14:paraId="63A9A492" w14:textId="77777777" w:rsidR="0020133C" w:rsidRDefault="0020133C" w:rsidP="009B5216">
            <w:pPr>
              <w:bidi w:val="0"/>
              <w:rPr>
                <w:rFonts w:ascii="Calibri" w:hAnsi="Calibri" w:cs="Arial"/>
                <w:szCs w:val="20"/>
              </w:rPr>
            </w:pPr>
          </w:p>
        </w:tc>
        <w:tc>
          <w:tcPr>
            <w:tcW w:w="1420" w:type="dxa"/>
            <w:noWrap/>
            <w:vAlign w:val="bottom"/>
            <w:hideMark/>
          </w:tcPr>
          <w:p w14:paraId="7E1B69D9" w14:textId="77777777" w:rsidR="0020133C" w:rsidRDefault="0020133C" w:rsidP="009B5216">
            <w:pPr>
              <w:bidi w:val="0"/>
              <w:rPr>
                <w:rFonts w:ascii="Calibri" w:hAnsi="Calibri" w:cs="Arial"/>
                <w:szCs w:val="20"/>
              </w:rPr>
            </w:pPr>
          </w:p>
        </w:tc>
        <w:tc>
          <w:tcPr>
            <w:tcW w:w="1000" w:type="dxa"/>
            <w:noWrap/>
            <w:vAlign w:val="bottom"/>
            <w:hideMark/>
          </w:tcPr>
          <w:p w14:paraId="7CB8B0D9" w14:textId="77777777" w:rsidR="0020133C" w:rsidRDefault="0020133C" w:rsidP="009B5216">
            <w:pPr>
              <w:bidi w:val="0"/>
              <w:rPr>
                <w:rFonts w:ascii="Calibri" w:hAnsi="Calibri" w:cs="Arial"/>
                <w:szCs w:val="20"/>
              </w:rPr>
            </w:pPr>
          </w:p>
        </w:tc>
        <w:tc>
          <w:tcPr>
            <w:tcW w:w="1140" w:type="dxa"/>
            <w:noWrap/>
            <w:vAlign w:val="bottom"/>
            <w:hideMark/>
          </w:tcPr>
          <w:p w14:paraId="54658152" w14:textId="77777777" w:rsidR="0020133C" w:rsidRDefault="0020133C" w:rsidP="009B5216">
            <w:pPr>
              <w:bidi w:val="0"/>
              <w:rPr>
                <w:rFonts w:ascii="Calibri" w:hAnsi="Calibri" w:cs="Arial"/>
                <w:szCs w:val="20"/>
              </w:rPr>
            </w:pPr>
          </w:p>
        </w:tc>
        <w:tc>
          <w:tcPr>
            <w:tcW w:w="1000" w:type="dxa"/>
            <w:noWrap/>
            <w:vAlign w:val="bottom"/>
            <w:hideMark/>
          </w:tcPr>
          <w:p w14:paraId="551F16CE" w14:textId="77777777" w:rsidR="0020133C" w:rsidRDefault="0020133C" w:rsidP="009B5216">
            <w:pPr>
              <w:bidi w:val="0"/>
              <w:rPr>
                <w:rFonts w:ascii="Calibri" w:hAnsi="Calibri" w:cs="Arial"/>
                <w:szCs w:val="20"/>
              </w:rPr>
            </w:pPr>
          </w:p>
        </w:tc>
        <w:tc>
          <w:tcPr>
            <w:tcW w:w="1140" w:type="dxa"/>
            <w:noWrap/>
            <w:vAlign w:val="bottom"/>
            <w:hideMark/>
          </w:tcPr>
          <w:p w14:paraId="24BACBE2" w14:textId="77777777" w:rsidR="0020133C" w:rsidRDefault="0020133C" w:rsidP="009B5216">
            <w:pPr>
              <w:bidi w:val="0"/>
              <w:rPr>
                <w:rFonts w:ascii="Calibri" w:hAnsi="Calibri" w:cs="Arial"/>
                <w:szCs w:val="20"/>
              </w:rPr>
            </w:pPr>
          </w:p>
        </w:tc>
        <w:tc>
          <w:tcPr>
            <w:tcW w:w="1000" w:type="dxa"/>
            <w:noWrap/>
            <w:vAlign w:val="bottom"/>
            <w:hideMark/>
          </w:tcPr>
          <w:p w14:paraId="2D2C57EC" w14:textId="77777777" w:rsidR="0020133C" w:rsidRDefault="0020133C" w:rsidP="009B5216">
            <w:pPr>
              <w:bidi w:val="0"/>
              <w:rPr>
                <w:rFonts w:ascii="Calibri" w:hAnsi="Calibri" w:cs="Arial"/>
                <w:szCs w:val="20"/>
              </w:rPr>
            </w:pPr>
          </w:p>
        </w:tc>
        <w:tc>
          <w:tcPr>
            <w:tcW w:w="1140" w:type="dxa"/>
            <w:noWrap/>
            <w:vAlign w:val="bottom"/>
            <w:hideMark/>
          </w:tcPr>
          <w:p w14:paraId="1935C2C4" w14:textId="77777777" w:rsidR="0020133C" w:rsidRDefault="0020133C" w:rsidP="009B5216">
            <w:pPr>
              <w:bidi w:val="0"/>
              <w:rPr>
                <w:rFonts w:ascii="Calibri" w:hAnsi="Calibri" w:cs="Arial"/>
                <w:szCs w:val="20"/>
              </w:rPr>
            </w:pPr>
          </w:p>
        </w:tc>
        <w:tc>
          <w:tcPr>
            <w:tcW w:w="945" w:type="dxa"/>
            <w:noWrap/>
            <w:vAlign w:val="bottom"/>
            <w:hideMark/>
          </w:tcPr>
          <w:p w14:paraId="3E7D9E5D" w14:textId="77777777" w:rsidR="0020133C" w:rsidRDefault="0020133C" w:rsidP="009B5216">
            <w:pPr>
              <w:bidi w:val="0"/>
              <w:rPr>
                <w:rFonts w:ascii="Calibri" w:hAnsi="Calibri" w:cs="Arial"/>
                <w:szCs w:val="20"/>
              </w:rPr>
            </w:pPr>
          </w:p>
        </w:tc>
      </w:tr>
      <w:tr w:rsidR="0020133C" w14:paraId="6F38D50F" w14:textId="77777777" w:rsidTr="00F31B52">
        <w:trPr>
          <w:trHeight w:val="675"/>
          <w:jc w:val="center"/>
        </w:trPr>
        <w:tc>
          <w:tcPr>
            <w:tcW w:w="1135" w:type="dxa"/>
            <w:tcBorders>
              <w:top w:val="single" w:sz="4" w:space="0" w:color="979991"/>
              <w:left w:val="single" w:sz="4" w:space="0" w:color="979991"/>
              <w:bottom w:val="nil"/>
              <w:right w:val="nil"/>
            </w:tcBorders>
            <w:shd w:val="clear" w:color="auto" w:fill="F0F4FA"/>
            <w:vAlign w:val="center"/>
            <w:hideMark/>
          </w:tcPr>
          <w:p w14:paraId="1C0015B1" w14:textId="77777777" w:rsidR="0020133C" w:rsidRDefault="0020133C" w:rsidP="009B5216">
            <w:pPr>
              <w:jc w:val="center"/>
              <w:rPr>
                <w:rFonts w:ascii="Calibri" w:hAnsi="Calibri" w:cs="Calibri"/>
                <w:b/>
                <w:bCs/>
                <w:color w:val="000000"/>
                <w:sz w:val="16"/>
                <w:szCs w:val="16"/>
              </w:rPr>
            </w:pPr>
            <w:r>
              <w:rPr>
                <w:rFonts w:ascii="Calibri" w:hAnsi="Calibri" w:cs="Calibri"/>
                <w:b/>
                <w:bCs/>
                <w:color w:val="000000"/>
                <w:sz w:val="16"/>
                <w:szCs w:val="16"/>
                <w:rtl/>
              </w:rPr>
              <w:t>קוד תוכנית</w:t>
            </w:r>
          </w:p>
        </w:tc>
        <w:tc>
          <w:tcPr>
            <w:tcW w:w="1420" w:type="dxa"/>
            <w:tcBorders>
              <w:top w:val="single" w:sz="4" w:space="0" w:color="979991"/>
              <w:left w:val="single" w:sz="4" w:space="0" w:color="979991"/>
              <w:bottom w:val="single" w:sz="4" w:space="0" w:color="979991"/>
              <w:right w:val="nil"/>
            </w:tcBorders>
            <w:shd w:val="clear" w:color="auto" w:fill="F0F4FA"/>
            <w:vAlign w:val="center"/>
            <w:hideMark/>
          </w:tcPr>
          <w:p w14:paraId="4A4CDAED" w14:textId="77777777" w:rsidR="0020133C" w:rsidRDefault="0020133C" w:rsidP="009B5216">
            <w:pPr>
              <w:jc w:val="center"/>
              <w:rPr>
                <w:rFonts w:ascii="Calibri" w:hAnsi="Calibri" w:cs="Calibri"/>
                <w:b/>
                <w:bCs/>
                <w:color w:val="000000"/>
                <w:sz w:val="16"/>
                <w:szCs w:val="16"/>
              </w:rPr>
            </w:pPr>
            <w:r>
              <w:rPr>
                <w:rFonts w:ascii="Calibri" w:hAnsi="Calibri" w:cs="Calibri"/>
                <w:b/>
                <w:bCs/>
                <w:color w:val="000000"/>
                <w:sz w:val="16"/>
                <w:szCs w:val="16"/>
                <w:rtl/>
              </w:rPr>
              <w:t>השינוי התקציב המוצע בפנייה הוצאות נטו</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017795B6" w14:textId="77777777" w:rsidR="0020133C" w:rsidRDefault="0020133C" w:rsidP="009B5216">
            <w:pPr>
              <w:jc w:val="center"/>
              <w:rPr>
                <w:rFonts w:ascii="Calibri" w:hAnsi="Calibri" w:cs="Calibri"/>
                <w:b/>
                <w:bCs/>
                <w:color w:val="000000"/>
                <w:sz w:val="16"/>
                <w:szCs w:val="16"/>
                <w:rtl/>
              </w:rPr>
            </w:pPr>
            <w:r>
              <w:rPr>
                <w:rFonts w:ascii="Calibri" w:hAnsi="Calibri" w:cs="Calibri"/>
                <w:b/>
                <w:bCs/>
                <w:color w:val="000000"/>
                <w:sz w:val="16"/>
                <w:szCs w:val="16"/>
                <w:rtl/>
              </w:rPr>
              <w:t>מקורי 2026</w:t>
            </w:r>
          </w:p>
        </w:tc>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63B711E6" w14:textId="77777777" w:rsidR="0020133C" w:rsidRDefault="0020133C" w:rsidP="009B5216">
            <w:pPr>
              <w:jc w:val="center"/>
              <w:rPr>
                <w:rFonts w:ascii="Calibri" w:hAnsi="Calibri" w:cs="Calibri"/>
                <w:b/>
                <w:bCs/>
                <w:color w:val="000000"/>
                <w:sz w:val="16"/>
                <w:szCs w:val="16"/>
                <w:rtl/>
              </w:rPr>
            </w:pPr>
            <w:r>
              <w:rPr>
                <w:rFonts w:ascii="Calibri" w:hAnsi="Calibri" w:cs="Calibri"/>
                <w:b/>
                <w:bCs/>
                <w:color w:val="000000"/>
                <w:sz w:val="16"/>
                <w:szCs w:val="16"/>
                <w:rtl/>
              </w:rPr>
              <w:t xml:space="preserve">מאושר 2025 בניכוי עודפים שעברו ב-2025 </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013699E6" w14:textId="77777777" w:rsidR="0020133C" w:rsidRDefault="0020133C" w:rsidP="009B5216">
            <w:pPr>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26BAB65E" w14:textId="77777777" w:rsidR="0020133C" w:rsidRDefault="0020133C" w:rsidP="009B5216">
            <w:pPr>
              <w:jc w:val="center"/>
              <w:rPr>
                <w:rFonts w:ascii="Calibri" w:hAnsi="Calibri" w:cs="Calibri"/>
                <w:b/>
                <w:bCs/>
                <w:color w:val="000000"/>
                <w:sz w:val="16"/>
                <w:szCs w:val="16"/>
                <w:rtl/>
              </w:rPr>
            </w:pPr>
            <w:r>
              <w:rPr>
                <w:rFonts w:ascii="Calibri" w:hAnsi="Calibri" w:cs="Calibri"/>
                <w:b/>
                <w:bCs/>
                <w:color w:val="000000"/>
                <w:sz w:val="16"/>
                <w:szCs w:val="16"/>
                <w:rtl/>
              </w:rPr>
              <w:t>מאושר 2024 בניכוי עודפים שעברו ב-2024</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63F2F543" w14:textId="77777777" w:rsidR="0020133C" w:rsidRDefault="0020133C" w:rsidP="009B5216">
            <w:pPr>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7AB7EAC2" w14:textId="77777777" w:rsidR="0020133C" w:rsidRDefault="0020133C" w:rsidP="009B5216">
            <w:pPr>
              <w:jc w:val="center"/>
              <w:rPr>
                <w:rFonts w:ascii="Calibri" w:hAnsi="Calibri" w:cs="Calibri"/>
                <w:b/>
                <w:bCs/>
                <w:color w:val="000000"/>
                <w:sz w:val="16"/>
                <w:szCs w:val="16"/>
                <w:rtl/>
              </w:rPr>
            </w:pPr>
            <w:r>
              <w:rPr>
                <w:rFonts w:ascii="Calibri" w:hAnsi="Calibri" w:cs="Calibri"/>
                <w:b/>
                <w:bCs/>
                <w:color w:val="000000"/>
                <w:sz w:val="16"/>
                <w:szCs w:val="16"/>
                <w:rtl/>
              </w:rPr>
              <w:t>מאושר 2023 בניכוי עודפים שעברו ב-2023</w:t>
            </w:r>
          </w:p>
        </w:tc>
        <w:tc>
          <w:tcPr>
            <w:tcW w:w="945" w:type="dxa"/>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7CB60DB5" w14:textId="77777777" w:rsidR="0020133C" w:rsidRDefault="0020133C" w:rsidP="009B5216">
            <w:pPr>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20133C" w14:paraId="3A5BE4B6" w14:textId="77777777" w:rsidTr="00F31B52">
        <w:trPr>
          <w:trHeight w:val="300"/>
          <w:jc w:val="center"/>
        </w:trPr>
        <w:tc>
          <w:tcPr>
            <w:tcW w:w="1135" w:type="dxa"/>
            <w:tcBorders>
              <w:top w:val="single" w:sz="4" w:space="0" w:color="979991"/>
              <w:left w:val="single" w:sz="4" w:space="0" w:color="979991"/>
              <w:bottom w:val="single" w:sz="4" w:space="0" w:color="979991"/>
              <w:right w:val="nil"/>
            </w:tcBorders>
            <w:shd w:val="clear" w:color="auto" w:fill="F0F4FA"/>
            <w:vAlign w:val="center"/>
            <w:hideMark/>
          </w:tcPr>
          <w:p w14:paraId="72528779" w14:textId="77777777" w:rsidR="0020133C" w:rsidRDefault="0020133C" w:rsidP="009B5216">
            <w:pPr>
              <w:bidi w:val="0"/>
              <w:jc w:val="center"/>
              <w:rPr>
                <w:rFonts w:ascii="Calibri" w:hAnsi="Calibri" w:cs="Calibri"/>
                <w:color w:val="000000"/>
                <w:sz w:val="16"/>
                <w:szCs w:val="16"/>
                <w:rtl/>
              </w:rPr>
            </w:pPr>
            <w:r>
              <w:rPr>
                <w:rFonts w:ascii="Calibri" w:hAnsi="Calibri" w:cs="Calibri"/>
                <w:color w:val="000000"/>
                <w:sz w:val="16"/>
                <w:szCs w:val="16"/>
              </w:rPr>
              <w:t>151001</w:t>
            </w:r>
          </w:p>
        </w:tc>
        <w:tc>
          <w:tcPr>
            <w:tcW w:w="1420" w:type="dxa"/>
            <w:tcBorders>
              <w:top w:val="nil"/>
              <w:left w:val="single" w:sz="4" w:space="0" w:color="979991"/>
              <w:bottom w:val="single" w:sz="4" w:space="0" w:color="979991"/>
              <w:right w:val="nil"/>
            </w:tcBorders>
            <w:shd w:val="clear" w:color="auto" w:fill="FFFFFF"/>
            <w:vAlign w:val="center"/>
            <w:hideMark/>
          </w:tcPr>
          <w:p w14:paraId="632423DE" w14:textId="77777777" w:rsidR="0020133C" w:rsidRDefault="0020133C" w:rsidP="009B5216">
            <w:pPr>
              <w:bidi w:val="0"/>
              <w:jc w:val="center"/>
              <w:rPr>
                <w:rFonts w:ascii="Calibri" w:hAnsi="Calibri" w:cs="Calibri"/>
                <w:color w:val="000000"/>
                <w:sz w:val="16"/>
                <w:szCs w:val="16"/>
                <w:rtl/>
              </w:rPr>
            </w:pPr>
            <w:r>
              <w:rPr>
                <w:rFonts w:ascii="Calibri" w:hAnsi="Calibri" w:cs="Calibri"/>
                <w:color w:val="000000"/>
                <w:sz w:val="16"/>
                <w:szCs w:val="16"/>
              </w:rPr>
              <w:t>19,212</w:t>
            </w:r>
          </w:p>
        </w:tc>
        <w:tc>
          <w:tcPr>
            <w:tcW w:w="1000" w:type="dxa"/>
            <w:tcBorders>
              <w:top w:val="nil"/>
              <w:left w:val="single" w:sz="4" w:space="0" w:color="979991"/>
              <w:bottom w:val="single" w:sz="4" w:space="0" w:color="979991"/>
              <w:right w:val="nil"/>
            </w:tcBorders>
            <w:shd w:val="clear" w:color="auto" w:fill="FFFFFF"/>
            <w:vAlign w:val="center"/>
            <w:hideMark/>
          </w:tcPr>
          <w:p w14:paraId="7C80DFAD" w14:textId="77777777" w:rsidR="0020133C" w:rsidRDefault="0020133C" w:rsidP="009B5216">
            <w:pPr>
              <w:bidi w:val="0"/>
              <w:jc w:val="center"/>
              <w:rPr>
                <w:rFonts w:ascii="Calibri" w:hAnsi="Calibri" w:cs="Calibri"/>
                <w:color w:val="000000"/>
                <w:sz w:val="16"/>
                <w:szCs w:val="16"/>
              </w:rPr>
            </w:pPr>
            <w:r>
              <w:rPr>
                <w:rFonts w:ascii="Calibri" w:hAnsi="Calibri" w:cs="Calibri"/>
                <w:color w:val="000000"/>
                <w:sz w:val="16"/>
                <w:szCs w:val="16"/>
              </w:rPr>
              <w:t>50,404,922</w:t>
            </w:r>
          </w:p>
        </w:tc>
        <w:tc>
          <w:tcPr>
            <w:tcW w:w="1140" w:type="dxa"/>
            <w:tcBorders>
              <w:top w:val="nil"/>
              <w:left w:val="single" w:sz="4" w:space="0" w:color="979991"/>
              <w:bottom w:val="single" w:sz="4" w:space="0" w:color="979991"/>
              <w:right w:val="nil"/>
            </w:tcBorders>
            <w:shd w:val="clear" w:color="auto" w:fill="FFFFFF"/>
            <w:vAlign w:val="center"/>
            <w:hideMark/>
          </w:tcPr>
          <w:p w14:paraId="7711DC7E" w14:textId="77777777" w:rsidR="0020133C" w:rsidRDefault="0020133C" w:rsidP="009B5216">
            <w:pPr>
              <w:bidi w:val="0"/>
              <w:jc w:val="center"/>
              <w:rPr>
                <w:rFonts w:ascii="Calibri" w:hAnsi="Calibri" w:cs="Calibri"/>
                <w:color w:val="000000"/>
                <w:sz w:val="16"/>
                <w:szCs w:val="16"/>
              </w:rPr>
            </w:pPr>
            <w:r>
              <w:rPr>
                <w:rFonts w:ascii="Calibri" w:hAnsi="Calibri" w:cs="Calibri"/>
                <w:color w:val="000000"/>
                <w:sz w:val="16"/>
                <w:szCs w:val="16"/>
              </w:rPr>
              <w:t>56,889,809</w:t>
            </w:r>
          </w:p>
        </w:tc>
        <w:tc>
          <w:tcPr>
            <w:tcW w:w="1000" w:type="dxa"/>
            <w:tcBorders>
              <w:top w:val="nil"/>
              <w:left w:val="single" w:sz="4" w:space="0" w:color="979991"/>
              <w:bottom w:val="single" w:sz="4" w:space="0" w:color="979991"/>
              <w:right w:val="nil"/>
            </w:tcBorders>
            <w:shd w:val="clear" w:color="auto" w:fill="FFFFFF"/>
            <w:vAlign w:val="center"/>
            <w:hideMark/>
          </w:tcPr>
          <w:p w14:paraId="0344B64D" w14:textId="77777777" w:rsidR="0020133C" w:rsidRDefault="0020133C" w:rsidP="009B5216">
            <w:pPr>
              <w:bidi w:val="0"/>
              <w:jc w:val="center"/>
              <w:rPr>
                <w:rFonts w:ascii="Calibri" w:hAnsi="Calibri" w:cs="Calibri"/>
                <w:color w:val="000000"/>
                <w:sz w:val="16"/>
                <w:szCs w:val="16"/>
              </w:rPr>
            </w:pPr>
            <w:r>
              <w:rPr>
                <w:rFonts w:ascii="Calibri" w:hAnsi="Calibri" w:cs="Calibri"/>
                <w:color w:val="000000"/>
                <w:sz w:val="16"/>
                <w:szCs w:val="16"/>
              </w:rPr>
              <w:t>32,663,185</w:t>
            </w:r>
          </w:p>
        </w:tc>
        <w:tc>
          <w:tcPr>
            <w:tcW w:w="1140" w:type="dxa"/>
            <w:tcBorders>
              <w:top w:val="nil"/>
              <w:left w:val="single" w:sz="4" w:space="0" w:color="979991"/>
              <w:bottom w:val="single" w:sz="4" w:space="0" w:color="979991"/>
              <w:right w:val="nil"/>
            </w:tcBorders>
            <w:shd w:val="clear" w:color="auto" w:fill="FFFFFF"/>
            <w:vAlign w:val="center"/>
            <w:hideMark/>
          </w:tcPr>
          <w:p w14:paraId="7E126A6E" w14:textId="77777777" w:rsidR="0020133C" w:rsidRDefault="0020133C" w:rsidP="009B5216">
            <w:pPr>
              <w:bidi w:val="0"/>
              <w:jc w:val="center"/>
              <w:rPr>
                <w:rFonts w:ascii="Calibri" w:hAnsi="Calibri" w:cs="Calibri"/>
                <w:color w:val="000000"/>
                <w:sz w:val="16"/>
                <w:szCs w:val="16"/>
              </w:rPr>
            </w:pPr>
            <w:r>
              <w:rPr>
                <w:rFonts w:ascii="Calibri" w:hAnsi="Calibri" w:cs="Calibri"/>
                <w:color w:val="000000"/>
                <w:sz w:val="16"/>
                <w:szCs w:val="16"/>
              </w:rPr>
              <w:t>30,115,806</w:t>
            </w:r>
          </w:p>
        </w:tc>
        <w:tc>
          <w:tcPr>
            <w:tcW w:w="1000" w:type="dxa"/>
            <w:tcBorders>
              <w:top w:val="nil"/>
              <w:left w:val="single" w:sz="4" w:space="0" w:color="979991"/>
              <w:bottom w:val="single" w:sz="4" w:space="0" w:color="979991"/>
              <w:right w:val="nil"/>
            </w:tcBorders>
            <w:shd w:val="clear" w:color="auto" w:fill="FFFFFF"/>
            <w:vAlign w:val="center"/>
            <w:hideMark/>
          </w:tcPr>
          <w:p w14:paraId="238A0297" w14:textId="77777777" w:rsidR="0020133C" w:rsidRDefault="0020133C" w:rsidP="009B5216">
            <w:pPr>
              <w:bidi w:val="0"/>
              <w:jc w:val="center"/>
              <w:rPr>
                <w:rFonts w:ascii="Calibri" w:hAnsi="Calibri" w:cs="Calibri"/>
                <w:color w:val="000000"/>
                <w:sz w:val="16"/>
                <w:szCs w:val="16"/>
              </w:rPr>
            </w:pPr>
            <w:r>
              <w:rPr>
                <w:rFonts w:ascii="Calibri" w:hAnsi="Calibri" w:cs="Calibri"/>
                <w:color w:val="000000"/>
                <w:sz w:val="16"/>
                <w:szCs w:val="16"/>
              </w:rPr>
              <w:t>24,515,806</w:t>
            </w:r>
          </w:p>
        </w:tc>
        <w:tc>
          <w:tcPr>
            <w:tcW w:w="1140" w:type="dxa"/>
            <w:tcBorders>
              <w:top w:val="nil"/>
              <w:left w:val="single" w:sz="4" w:space="0" w:color="979991"/>
              <w:bottom w:val="single" w:sz="4" w:space="0" w:color="979991"/>
              <w:right w:val="nil"/>
            </w:tcBorders>
            <w:shd w:val="clear" w:color="auto" w:fill="FFFFFF"/>
            <w:vAlign w:val="center"/>
            <w:hideMark/>
          </w:tcPr>
          <w:p w14:paraId="00921262" w14:textId="77777777" w:rsidR="0020133C" w:rsidRDefault="0020133C" w:rsidP="009B5216">
            <w:pPr>
              <w:bidi w:val="0"/>
              <w:jc w:val="center"/>
              <w:rPr>
                <w:rFonts w:ascii="Calibri" w:hAnsi="Calibri" w:cs="Calibri"/>
                <w:color w:val="000000"/>
                <w:sz w:val="16"/>
                <w:szCs w:val="16"/>
              </w:rPr>
            </w:pPr>
            <w:r>
              <w:rPr>
                <w:rFonts w:ascii="Calibri" w:hAnsi="Calibri" w:cs="Calibri"/>
                <w:color w:val="000000"/>
                <w:sz w:val="16"/>
                <w:szCs w:val="16"/>
              </w:rPr>
              <w:t>21,341,578</w:t>
            </w:r>
          </w:p>
        </w:tc>
        <w:tc>
          <w:tcPr>
            <w:tcW w:w="945" w:type="dxa"/>
            <w:tcBorders>
              <w:top w:val="nil"/>
              <w:left w:val="single" w:sz="4" w:space="0" w:color="979991"/>
              <w:bottom w:val="single" w:sz="4" w:space="0" w:color="979991"/>
              <w:right w:val="single" w:sz="4" w:space="0" w:color="979991"/>
            </w:tcBorders>
            <w:shd w:val="clear" w:color="auto" w:fill="FFFFFF"/>
            <w:vAlign w:val="center"/>
            <w:hideMark/>
          </w:tcPr>
          <w:p w14:paraId="7ED7DD90" w14:textId="77777777" w:rsidR="0020133C" w:rsidRDefault="0020133C" w:rsidP="009B5216">
            <w:pPr>
              <w:bidi w:val="0"/>
              <w:jc w:val="center"/>
              <w:rPr>
                <w:rFonts w:ascii="Calibri" w:hAnsi="Calibri" w:cs="Calibri"/>
                <w:color w:val="000000"/>
                <w:sz w:val="16"/>
                <w:szCs w:val="16"/>
              </w:rPr>
            </w:pPr>
            <w:r>
              <w:rPr>
                <w:rFonts w:ascii="Calibri" w:hAnsi="Calibri" w:cs="Calibri"/>
                <w:color w:val="000000"/>
                <w:sz w:val="16"/>
                <w:szCs w:val="16"/>
              </w:rPr>
              <w:t>21,340,578</w:t>
            </w:r>
          </w:p>
        </w:tc>
      </w:tr>
    </w:tbl>
    <w:p w14:paraId="024F61D2" w14:textId="20B1E1DE" w:rsidR="0020133C" w:rsidRDefault="0020133C" w:rsidP="0020133C">
      <w:pPr>
        <w:pStyle w:val="a0"/>
        <w:rPr>
          <w:rtl/>
        </w:rPr>
      </w:pPr>
    </w:p>
    <w:p w14:paraId="6332CDA0" w14:textId="2F075402" w:rsidR="0020133C" w:rsidRDefault="0020133C" w:rsidP="0020133C">
      <w:pPr>
        <w:pStyle w:val="a0"/>
        <w:rPr>
          <w:rtl/>
        </w:rPr>
      </w:pPr>
    </w:p>
    <w:tbl>
      <w:tblPr>
        <w:tblW w:w="9840" w:type="dxa"/>
        <w:jc w:val="center"/>
        <w:tblLook w:val="04A0" w:firstRow="1" w:lastRow="0" w:firstColumn="1" w:lastColumn="0" w:noHBand="0" w:noVBand="1"/>
      </w:tblPr>
      <w:tblGrid>
        <w:gridCol w:w="1140"/>
        <w:gridCol w:w="1420"/>
        <w:gridCol w:w="980"/>
        <w:gridCol w:w="1140"/>
        <w:gridCol w:w="980"/>
        <w:gridCol w:w="1140"/>
        <w:gridCol w:w="980"/>
        <w:gridCol w:w="1140"/>
        <w:gridCol w:w="920"/>
      </w:tblGrid>
      <w:tr w:rsidR="0020133C" w14:paraId="26B09A0A" w14:textId="77777777" w:rsidTr="009B5216">
        <w:trPr>
          <w:trHeight w:val="300"/>
          <w:jc w:val="center"/>
        </w:trPr>
        <w:tc>
          <w:tcPr>
            <w:tcW w:w="8920" w:type="dxa"/>
            <w:gridSpan w:val="8"/>
            <w:vAlign w:val="center"/>
            <w:hideMark/>
          </w:tcPr>
          <w:p w14:paraId="63863787" w14:textId="77777777" w:rsidR="0020133C" w:rsidRDefault="0020133C" w:rsidP="009B5216">
            <w:pPr>
              <w:jc w:val="center"/>
              <w:rPr>
                <w:rFonts w:ascii="Calibri" w:hAnsi="Calibri" w:cs="Calibri"/>
                <w:b/>
                <w:bCs/>
                <w:color w:val="000000"/>
                <w:szCs w:val="20"/>
                <w:rtl/>
              </w:rPr>
            </w:pPr>
            <w:r>
              <w:rPr>
                <w:rFonts w:ascii="Calibri" w:hAnsi="Calibri" w:cs="Calibri"/>
                <w:b/>
                <w:bCs/>
                <w:color w:val="000000"/>
                <w:szCs w:val="20"/>
                <w:rtl/>
              </w:rPr>
              <w:t>היסטוריה תקציבית של הפנייה - הוצאה נטו</w:t>
            </w:r>
          </w:p>
        </w:tc>
        <w:tc>
          <w:tcPr>
            <w:tcW w:w="920" w:type="dxa"/>
            <w:noWrap/>
            <w:vAlign w:val="bottom"/>
            <w:hideMark/>
          </w:tcPr>
          <w:p w14:paraId="2F0D277C" w14:textId="77777777" w:rsidR="0020133C" w:rsidRDefault="0020133C" w:rsidP="009B5216">
            <w:pPr>
              <w:rPr>
                <w:rFonts w:ascii="Calibri" w:hAnsi="Calibri" w:cs="Calibri"/>
                <w:b/>
                <w:bCs/>
                <w:color w:val="000000"/>
                <w:szCs w:val="20"/>
              </w:rPr>
            </w:pPr>
          </w:p>
        </w:tc>
      </w:tr>
      <w:tr w:rsidR="0020133C" w14:paraId="4F5393F4" w14:textId="77777777" w:rsidTr="009B5216">
        <w:trPr>
          <w:trHeight w:val="300"/>
          <w:jc w:val="center"/>
        </w:trPr>
        <w:tc>
          <w:tcPr>
            <w:tcW w:w="1140" w:type="dxa"/>
            <w:vAlign w:val="center"/>
            <w:hideMark/>
          </w:tcPr>
          <w:p w14:paraId="60122AE0" w14:textId="77777777" w:rsidR="0020133C" w:rsidRDefault="0020133C" w:rsidP="009B5216">
            <w:pPr>
              <w:bidi w:val="0"/>
              <w:rPr>
                <w:rFonts w:ascii="Calibri" w:hAnsi="Calibri" w:cs="Arial"/>
                <w:szCs w:val="20"/>
              </w:rPr>
            </w:pPr>
          </w:p>
        </w:tc>
        <w:tc>
          <w:tcPr>
            <w:tcW w:w="1420" w:type="dxa"/>
            <w:noWrap/>
            <w:vAlign w:val="bottom"/>
            <w:hideMark/>
          </w:tcPr>
          <w:p w14:paraId="3403CAE3" w14:textId="77777777" w:rsidR="0020133C" w:rsidRDefault="0020133C" w:rsidP="009B5216">
            <w:pPr>
              <w:bidi w:val="0"/>
              <w:rPr>
                <w:rFonts w:ascii="Calibri" w:hAnsi="Calibri" w:cs="Arial"/>
                <w:szCs w:val="20"/>
              </w:rPr>
            </w:pPr>
          </w:p>
        </w:tc>
        <w:tc>
          <w:tcPr>
            <w:tcW w:w="980" w:type="dxa"/>
            <w:noWrap/>
            <w:vAlign w:val="bottom"/>
            <w:hideMark/>
          </w:tcPr>
          <w:p w14:paraId="108B3571" w14:textId="77777777" w:rsidR="0020133C" w:rsidRDefault="0020133C" w:rsidP="009B5216">
            <w:pPr>
              <w:bidi w:val="0"/>
              <w:rPr>
                <w:rFonts w:ascii="Calibri" w:hAnsi="Calibri" w:cs="Arial"/>
                <w:szCs w:val="20"/>
              </w:rPr>
            </w:pPr>
          </w:p>
        </w:tc>
        <w:tc>
          <w:tcPr>
            <w:tcW w:w="1140" w:type="dxa"/>
            <w:noWrap/>
            <w:vAlign w:val="bottom"/>
            <w:hideMark/>
          </w:tcPr>
          <w:p w14:paraId="478DF4C3" w14:textId="77777777" w:rsidR="0020133C" w:rsidRDefault="0020133C" w:rsidP="009B5216">
            <w:pPr>
              <w:bidi w:val="0"/>
              <w:rPr>
                <w:rFonts w:ascii="Calibri" w:hAnsi="Calibri" w:cs="Arial"/>
                <w:szCs w:val="20"/>
              </w:rPr>
            </w:pPr>
          </w:p>
        </w:tc>
        <w:tc>
          <w:tcPr>
            <w:tcW w:w="980" w:type="dxa"/>
            <w:noWrap/>
            <w:vAlign w:val="bottom"/>
            <w:hideMark/>
          </w:tcPr>
          <w:p w14:paraId="2BF3A5F9" w14:textId="77777777" w:rsidR="0020133C" w:rsidRDefault="0020133C" w:rsidP="009B5216">
            <w:pPr>
              <w:bidi w:val="0"/>
              <w:rPr>
                <w:rFonts w:ascii="Calibri" w:hAnsi="Calibri" w:cs="Arial"/>
                <w:szCs w:val="20"/>
              </w:rPr>
            </w:pPr>
          </w:p>
        </w:tc>
        <w:tc>
          <w:tcPr>
            <w:tcW w:w="1140" w:type="dxa"/>
            <w:noWrap/>
            <w:vAlign w:val="bottom"/>
            <w:hideMark/>
          </w:tcPr>
          <w:p w14:paraId="3D32FFB9" w14:textId="77777777" w:rsidR="0020133C" w:rsidRDefault="0020133C" w:rsidP="009B5216">
            <w:pPr>
              <w:bidi w:val="0"/>
              <w:rPr>
                <w:rFonts w:ascii="Calibri" w:hAnsi="Calibri" w:cs="Arial"/>
                <w:szCs w:val="20"/>
              </w:rPr>
            </w:pPr>
          </w:p>
        </w:tc>
        <w:tc>
          <w:tcPr>
            <w:tcW w:w="980" w:type="dxa"/>
            <w:noWrap/>
            <w:vAlign w:val="bottom"/>
            <w:hideMark/>
          </w:tcPr>
          <w:p w14:paraId="688933DF" w14:textId="77777777" w:rsidR="0020133C" w:rsidRDefault="0020133C" w:rsidP="009B5216">
            <w:pPr>
              <w:bidi w:val="0"/>
              <w:rPr>
                <w:rFonts w:ascii="Calibri" w:hAnsi="Calibri" w:cs="Arial"/>
                <w:szCs w:val="20"/>
              </w:rPr>
            </w:pPr>
          </w:p>
        </w:tc>
        <w:tc>
          <w:tcPr>
            <w:tcW w:w="1140" w:type="dxa"/>
            <w:noWrap/>
            <w:vAlign w:val="bottom"/>
            <w:hideMark/>
          </w:tcPr>
          <w:p w14:paraId="7297DFC7" w14:textId="77777777" w:rsidR="0020133C" w:rsidRDefault="0020133C" w:rsidP="009B5216">
            <w:pPr>
              <w:bidi w:val="0"/>
              <w:rPr>
                <w:rFonts w:ascii="Calibri" w:hAnsi="Calibri" w:cs="Arial"/>
                <w:szCs w:val="20"/>
              </w:rPr>
            </w:pPr>
          </w:p>
        </w:tc>
        <w:tc>
          <w:tcPr>
            <w:tcW w:w="920" w:type="dxa"/>
            <w:noWrap/>
            <w:vAlign w:val="bottom"/>
            <w:hideMark/>
          </w:tcPr>
          <w:p w14:paraId="4770D977" w14:textId="77777777" w:rsidR="0020133C" w:rsidRDefault="0020133C" w:rsidP="009B5216">
            <w:pPr>
              <w:bidi w:val="0"/>
              <w:rPr>
                <w:rFonts w:ascii="Calibri" w:hAnsi="Calibri" w:cs="Arial"/>
                <w:szCs w:val="20"/>
              </w:rPr>
            </w:pPr>
          </w:p>
        </w:tc>
      </w:tr>
      <w:tr w:rsidR="0020133C" w14:paraId="6EC391B9" w14:textId="77777777" w:rsidTr="009B5216">
        <w:trPr>
          <w:trHeight w:val="675"/>
          <w:jc w:val="center"/>
        </w:trPr>
        <w:tc>
          <w:tcPr>
            <w:tcW w:w="1140" w:type="dxa"/>
            <w:tcBorders>
              <w:top w:val="single" w:sz="4" w:space="0" w:color="979991"/>
              <w:left w:val="single" w:sz="4" w:space="0" w:color="979991"/>
              <w:bottom w:val="nil"/>
              <w:right w:val="nil"/>
            </w:tcBorders>
            <w:shd w:val="clear" w:color="auto" w:fill="F0F4FA"/>
            <w:vAlign w:val="center"/>
            <w:hideMark/>
          </w:tcPr>
          <w:p w14:paraId="545FDCCB" w14:textId="77777777" w:rsidR="0020133C" w:rsidRDefault="0020133C" w:rsidP="009B5216">
            <w:pPr>
              <w:jc w:val="center"/>
              <w:rPr>
                <w:rFonts w:ascii="Calibri" w:hAnsi="Calibri" w:cs="Calibri"/>
                <w:b/>
                <w:bCs/>
                <w:color w:val="000000"/>
                <w:sz w:val="16"/>
                <w:szCs w:val="16"/>
              </w:rPr>
            </w:pPr>
            <w:r>
              <w:rPr>
                <w:rFonts w:ascii="Calibri" w:hAnsi="Calibri" w:cs="Calibri"/>
                <w:b/>
                <w:bCs/>
                <w:color w:val="000000"/>
                <w:sz w:val="16"/>
                <w:szCs w:val="16"/>
                <w:rtl/>
              </w:rPr>
              <w:t>קוד תוכנית</w:t>
            </w:r>
          </w:p>
        </w:tc>
        <w:tc>
          <w:tcPr>
            <w:tcW w:w="1420" w:type="dxa"/>
            <w:tcBorders>
              <w:top w:val="single" w:sz="4" w:space="0" w:color="979991"/>
              <w:left w:val="single" w:sz="4" w:space="0" w:color="979991"/>
              <w:bottom w:val="single" w:sz="4" w:space="0" w:color="979991"/>
              <w:right w:val="nil"/>
            </w:tcBorders>
            <w:shd w:val="clear" w:color="auto" w:fill="F0F4FA"/>
            <w:vAlign w:val="center"/>
            <w:hideMark/>
          </w:tcPr>
          <w:p w14:paraId="7CA639D3" w14:textId="77777777" w:rsidR="0020133C" w:rsidRDefault="0020133C" w:rsidP="009B5216">
            <w:pPr>
              <w:jc w:val="center"/>
              <w:rPr>
                <w:rFonts w:ascii="Calibri" w:hAnsi="Calibri" w:cs="Calibri"/>
                <w:b/>
                <w:bCs/>
                <w:color w:val="000000"/>
                <w:sz w:val="16"/>
                <w:szCs w:val="16"/>
              </w:rPr>
            </w:pPr>
            <w:r>
              <w:rPr>
                <w:rFonts w:ascii="Calibri" w:hAnsi="Calibri" w:cs="Calibri"/>
                <w:b/>
                <w:bCs/>
                <w:color w:val="000000"/>
                <w:sz w:val="16"/>
                <w:szCs w:val="16"/>
                <w:rtl/>
              </w:rPr>
              <w:t>השינוי התקציב המוצע בפנייה הוצאות נטו</w:t>
            </w:r>
          </w:p>
        </w:tc>
        <w:tc>
          <w:tcPr>
            <w:tcW w:w="980" w:type="dxa"/>
            <w:tcBorders>
              <w:top w:val="single" w:sz="4" w:space="0" w:color="979991"/>
              <w:left w:val="single" w:sz="4" w:space="0" w:color="979991"/>
              <w:bottom w:val="single" w:sz="4" w:space="0" w:color="979991"/>
              <w:right w:val="nil"/>
            </w:tcBorders>
            <w:shd w:val="clear" w:color="auto" w:fill="F0F4FA"/>
            <w:vAlign w:val="center"/>
            <w:hideMark/>
          </w:tcPr>
          <w:p w14:paraId="10054AF1" w14:textId="77777777" w:rsidR="0020133C" w:rsidRDefault="0020133C" w:rsidP="009B5216">
            <w:pPr>
              <w:jc w:val="center"/>
              <w:rPr>
                <w:rFonts w:ascii="Calibri" w:hAnsi="Calibri" w:cs="Calibri"/>
                <w:b/>
                <w:bCs/>
                <w:color w:val="000000"/>
                <w:sz w:val="16"/>
                <w:szCs w:val="16"/>
                <w:rtl/>
              </w:rPr>
            </w:pPr>
            <w:r>
              <w:rPr>
                <w:rFonts w:ascii="Calibri" w:hAnsi="Calibri" w:cs="Calibri"/>
                <w:b/>
                <w:bCs/>
                <w:color w:val="000000"/>
                <w:sz w:val="16"/>
                <w:szCs w:val="16"/>
                <w:rtl/>
              </w:rPr>
              <w:t>מקורי 2026</w:t>
            </w:r>
          </w:p>
        </w:tc>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3618B99F" w14:textId="77777777" w:rsidR="0020133C" w:rsidRDefault="0020133C" w:rsidP="009B5216">
            <w:pPr>
              <w:jc w:val="center"/>
              <w:rPr>
                <w:rFonts w:ascii="Calibri" w:hAnsi="Calibri" w:cs="Calibri"/>
                <w:b/>
                <w:bCs/>
                <w:color w:val="000000"/>
                <w:sz w:val="16"/>
                <w:szCs w:val="16"/>
                <w:rtl/>
              </w:rPr>
            </w:pPr>
            <w:r>
              <w:rPr>
                <w:rFonts w:ascii="Calibri" w:hAnsi="Calibri" w:cs="Calibri"/>
                <w:b/>
                <w:bCs/>
                <w:color w:val="000000"/>
                <w:sz w:val="16"/>
                <w:szCs w:val="16"/>
                <w:rtl/>
              </w:rPr>
              <w:t xml:space="preserve">מאושר 2025 בניכוי עודפים שעברו ב-2025 </w:t>
            </w:r>
          </w:p>
        </w:tc>
        <w:tc>
          <w:tcPr>
            <w:tcW w:w="980" w:type="dxa"/>
            <w:tcBorders>
              <w:top w:val="single" w:sz="4" w:space="0" w:color="979991"/>
              <w:left w:val="single" w:sz="4" w:space="0" w:color="979991"/>
              <w:bottom w:val="single" w:sz="4" w:space="0" w:color="979991"/>
              <w:right w:val="nil"/>
            </w:tcBorders>
            <w:shd w:val="clear" w:color="auto" w:fill="F0F4FA"/>
            <w:vAlign w:val="center"/>
            <w:hideMark/>
          </w:tcPr>
          <w:p w14:paraId="6D95D9D5" w14:textId="77777777" w:rsidR="0020133C" w:rsidRDefault="0020133C" w:rsidP="009B5216">
            <w:pPr>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28D2AEC0" w14:textId="77777777" w:rsidR="0020133C" w:rsidRDefault="0020133C" w:rsidP="009B5216">
            <w:pPr>
              <w:jc w:val="center"/>
              <w:rPr>
                <w:rFonts w:ascii="Calibri" w:hAnsi="Calibri" w:cs="Calibri"/>
                <w:b/>
                <w:bCs/>
                <w:color w:val="000000"/>
                <w:sz w:val="16"/>
                <w:szCs w:val="16"/>
                <w:rtl/>
              </w:rPr>
            </w:pPr>
            <w:r>
              <w:rPr>
                <w:rFonts w:ascii="Calibri" w:hAnsi="Calibri" w:cs="Calibri"/>
                <w:b/>
                <w:bCs/>
                <w:color w:val="000000"/>
                <w:sz w:val="16"/>
                <w:szCs w:val="16"/>
                <w:rtl/>
              </w:rPr>
              <w:t>מאושר 2024 בניכוי עודפים שעברו ב-2024</w:t>
            </w:r>
          </w:p>
        </w:tc>
        <w:tc>
          <w:tcPr>
            <w:tcW w:w="980" w:type="dxa"/>
            <w:tcBorders>
              <w:top w:val="single" w:sz="4" w:space="0" w:color="979991"/>
              <w:left w:val="single" w:sz="4" w:space="0" w:color="979991"/>
              <w:bottom w:val="single" w:sz="4" w:space="0" w:color="979991"/>
              <w:right w:val="nil"/>
            </w:tcBorders>
            <w:shd w:val="clear" w:color="auto" w:fill="F0F4FA"/>
            <w:vAlign w:val="center"/>
            <w:hideMark/>
          </w:tcPr>
          <w:p w14:paraId="3586C4A8" w14:textId="77777777" w:rsidR="0020133C" w:rsidRDefault="0020133C" w:rsidP="009B5216">
            <w:pPr>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0E3330C2" w14:textId="77777777" w:rsidR="0020133C" w:rsidRDefault="0020133C" w:rsidP="009B5216">
            <w:pPr>
              <w:jc w:val="center"/>
              <w:rPr>
                <w:rFonts w:ascii="Calibri" w:hAnsi="Calibri" w:cs="Calibri"/>
                <w:b/>
                <w:bCs/>
                <w:color w:val="000000"/>
                <w:sz w:val="16"/>
                <w:szCs w:val="16"/>
                <w:rtl/>
              </w:rPr>
            </w:pPr>
            <w:r>
              <w:rPr>
                <w:rFonts w:ascii="Calibri" w:hAnsi="Calibri" w:cs="Calibri"/>
                <w:b/>
                <w:bCs/>
                <w:color w:val="000000"/>
                <w:sz w:val="16"/>
                <w:szCs w:val="16"/>
                <w:rtl/>
              </w:rPr>
              <w:t>מאושר 2023 בניכוי עודפים שעברו ב-2023</w:t>
            </w:r>
          </w:p>
        </w:tc>
        <w:tc>
          <w:tcPr>
            <w:tcW w:w="920" w:type="dxa"/>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5CE24024" w14:textId="77777777" w:rsidR="0020133C" w:rsidRDefault="0020133C" w:rsidP="009B5216">
            <w:pPr>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20133C" w14:paraId="49CA434D" w14:textId="77777777" w:rsidTr="009B5216">
        <w:trPr>
          <w:trHeight w:val="300"/>
          <w:jc w:val="center"/>
        </w:trPr>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5FBA4E95" w14:textId="77777777" w:rsidR="0020133C" w:rsidRDefault="0020133C" w:rsidP="009B5216">
            <w:pPr>
              <w:bidi w:val="0"/>
              <w:jc w:val="center"/>
              <w:rPr>
                <w:rFonts w:ascii="Calibri" w:hAnsi="Calibri" w:cs="Calibri"/>
                <w:color w:val="000000"/>
                <w:sz w:val="16"/>
                <w:szCs w:val="16"/>
                <w:rtl/>
              </w:rPr>
            </w:pPr>
            <w:r>
              <w:rPr>
                <w:rFonts w:ascii="Calibri" w:hAnsi="Calibri" w:cs="Calibri"/>
                <w:color w:val="000000"/>
                <w:sz w:val="16"/>
                <w:szCs w:val="16"/>
              </w:rPr>
              <w:t>681101</w:t>
            </w:r>
          </w:p>
        </w:tc>
        <w:tc>
          <w:tcPr>
            <w:tcW w:w="1420" w:type="dxa"/>
            <w:tcBorders>
              <w:top w:val="nil"/>
              <w:left w:val="single" w:sz="4" w:space="0" w:color="979991"/>
              <w:bottom w:val="single" w:sz="4" w:space="0" w:color="979991"/>
              <w:right w:val="nil"/>
            </w:tcBorders>
            <w:shd w:val="clear" w:color="auto" w:fill="FFFFFF"/>
            <w:vAlign w:val="center"/>
            <w:hideMark/>
          </w:tcPr>
          <w:p w14:paraId="09658505" w14:textId="77777777" w:rsidR="0020133C" w:rsidRDefault="0020133C" w:rsidP="009B5216">
            <w:pPr>
              <w:bidi w:val="0"/>
              <w:jc w:val="center"/>
              <w:rPr>
                <w:rFonts w:ascii="Calibri" w:hAnsi="Calibri" w:cs="Calibri"/>
                <w:color w:val="000000"/>
                <w:sz w:val="16"/>
                <w:szCs w:val="16"/>
                <w:rtl/>
              </w:rPr>
            </w:pPr>
            <w:r>
              <w:rPr>
                <w:rFonts w:ascii="Calibri" w:hAnsi="Calibri" w:cs="Calibri"/>
                <w:color w:val="000000"/>
                <w:sz w:val="16"/>
                <w:szCs w:val="16"/>
              </w:rPr>
              <w:t>2,561</w:t>
            </w:r>
          </w:p>
        </w:tc>
        <w:tc>
          <w:tcPr>
            <w:tcW w:w="980" w:type="dxa"/>
            <w:tcBorders>
              <w:top w:val="nil"/>
              <w:left w:val="single" w:sz="4" w:space="0" w:color="979991"/>
              <w:bottom w:val="single" w:sz="4" w:space="0" w:color="979991"/>
              <w:right w:val="nil"/>
            </w:tcBorders>
            <w:shd w:val="clear" w:color="auto" w:fill="FFFFFF"/>
            <w:vAlign w:val="center"/>
            <w:hideMark/>
          </w:tcPr>
          <w:p w14:paraId="16ACD0F5" w14:textId="77777777" w:rsidR="0020133C" w:rsidRDefault="0020133C" w:rsidP="009B5216">
            <w:pPr>
              <w:bidi w:val="0"/>
              <w:jc w:val="center"/>
              <w:rPr>
                <w:rFonts w:ascii="Calibri" w:hAnsi="Calibri" w:cs="Calibri"/>
                <w:color w:val="000000"/>
                <w:sz w:val="16"/>
                <w:szCs w:val="16"/>
              </w:rPr>
            </w:pPr>
            <w:r>
              <w:rPr>
                <w:rFonts w:ascii="Calibri" w:hAnsi="Calibri" w:cs="Calibri"/>
                <w:color w:val="000000"/>
                <w:sz w:val="16"/>
                <w:szCs w:val="16"/>
              </w:rPr>
              <w:t>391,583</w:t>
            </w:r>
          </w:p>
        </w:tc>
        <w:tc>
          <w:tcPr>
            <w:tcW w:w="1140" w:type="dxa"/>
            <w:tcBorders>
              <w:top w:val="nil"/>
              <w:left w:val="single" w:sz="4" w:space="0" w:color="979991"/>
              <w:bottom w:val="single" w:sz="4" w:space="0" w:color="979991"/>
              <w:right w:val="nil"/>
            </w:tcBorders>
            <w:shd w:val="clear" w:color="auto" w:fill="FFFFFF"/>
            <w:vAlign w:val="center"/>
            <w:hideMark/>
          </w:tcPr>
          <w:p w14:paraId="7ED90D0F" w14:textId="77777777" w:rsidR="0020133C" w:rsidRDefault="0020133C" w:rsidP="009B5216">
            <w:pPr>
              <w:bidi w:val="0"/>
              <w:jc w:val="center"/>
              <w:rPr>
                <w:rFonts w:ascii="Calibri" w:hAnsi="Calibri" w:cs="Calibri"/>
                <w:color w:val="000000"/>
                <w:sz w:val="16"/>
                <w:szCs w:val="16"/>
              </w:rPr>
            </w:pPr>
            <w:r>
              <w:rPr>
                <w:rFonts w:ascii="Calibri" w:hAnsi="Calibri" w:cs="Calibri"/>
                <w:color w:val="000000"/>
                <w:sz w:val="16"/>
                <w:szCs w:val="16"/>
              </w:rPr>
              <w:t>431,882</w:t>
            </w:r>
          </w:p>
        </w:tc>
        <w:tc>
          <w:tcPr>
            <w:tcW w:w="980" w:type="dxa"/>
            <w:tcBorders>
              <w:top w:val="nil"/>
              <w:left w:val="single" w:sz="4" w:space="0" w:color="979991"/>
              <w:bottom w:val="single" w:sz="4" w:space="0" w:color="979991"/>
              <w:right w:val="nil"/>
            </w:tcBorders>
            <w:shd w:val="clear" w:color="auto" w:fill="FFFFFF"/>
            <w:vAlign w:val="center"/>
            <w:hideMark/>
          </w:tcPr>
          <w:p w14:paraId="67D6F248" w14:textId="77777777" w:rsidR="0020133C" w:rsidRDefault="0020133C" w:rsidP="009B5216">
            <w:pPr>
              <w:bidi w:val="0"/>
              <w:jc w:val="center"/>
              <w:rPr>
                <w:rFonts w:ascii="Calibri" w:hAnsi="Calibri" w:cs="Calibri"/>
                <w:color w:val="000000"/>
                <w:sz w:val="16"/>
                <w:szCs w:val="16"/>
              </w:rPr>
            </w:pPr>
            <w:r>
              <w:rPr>
                <w:rFonts w:ascii="Calibri" w:hAnsi="Calibri" w:cs="Calibri"/>
                <w:color w:val="000000"/>
                <w:sz w:val="16"/>
                <w:szCs w:val="16"/>
              </w:rPr>
              <w:t>367,770</w:t>
            </w:r>
          </w:p>
        </w:tc>
        <w:tc>
          <w:tcPr>
            <w:tcW w:w="1140" w:type="dxa"/>
            <w:tcBorders>
              <w:top w:val="nil"/>
              <w:left w:val="single" w:sz="4" w:space="0" w:color="979991"/>
              <w:bottom w:val="single" w:sz="4" w:space="0" w:color="979991"/>
              <w:right w:val="nil"/>
            </w:tcBorders>
            <w:shd w:val="clear" w:color="auto" w:fill="FFFFFF"/>
            <w:vAlign w:val="center"/>
            <w:hideMark/>
          </w:tcPr>
          <w:p w14:paraId="3C199B7C" w14:textId="77777777" w:rsidR="0020133C" w:rsidRDefault="0020133C" w:rsidP="009B5216">
            <w:pPr>
              <w:bidi w:val="0"/>
              <w:jc w:val="center"/>
              <w:rPr>
                <w:rFonts w:ascii="Calibri" w:hAnsi="Calibri" w:cs="Calibri"/>
                <w:color w:val="000000"/>
                <w:sz w:val="16"/>
                <w:szCs w:val="16"/>
              </w:rPr>
            </w:pPr>
            <w:r>
              <w:rPr>
                <w:rFonts w:ascii="Calibri" w:hAnsi="Calibri" w:cs="Calibri"/>
                <w:color w:val="000000"/>
                <w:sz w:val="16"/>
                <w:szCs w:val="16"/>
              </w:rPr>
              <w:t>404,373</w:t>
            </w:r>
          </w:p>
        </w:tc>
        <w:tc>
          <w:tcPr>
            <w:tcW w:w="980" w:type="dxa"/>
            <w:tcBorders>
              <w:top w:val="nil"/>
              <w:left w:val="single" w:sz="4" w:space="0" w:color="979991"/>
              <w:bottom w:val="single" w:sz="4" w:space="0" w:color="979991"/>
              <w:right w:val="nil"/>
            </w:tcBorders>
            <w:shd w:val="clear" w:color="auto" w:fill="FFFFFF"/>
            <w:vAlign w:val="center"/>
            <w:hideMark/>
          </w:tcPr>
          <w:p w14:paraId="3D6EAA08" w14:textId="77777777" w:rsidR="0020133C" w:rsidRDefault="0020133C" w:rsidP="009B5216">
            <w:pPr>
              <w:bidi w:val="0"/>
              <w:jc w:val="center"/>
              <w:rPr>
                <w:rFonts w:ascii="Calibri" w:hAnsi="Calibri" w:cs="Calibri"/>
                <w:color w:val="000000"/>
                <w:sz w:val="16"/>
                <w:szCs w:val="16"/>
              </w:rPr>
            </w:pPr>
            <w:r>
              <w:rPr>
                <w:rFonts w:ascii="Calibri" w:hAnsi="Calibri" w:cs="Calibri"/>
                <w:color w:val="000000"/>
                <w:sz w:val="16"/>
                <w:szCs w:val="16"/>
              </w:rPr>
              <w:t>340,182</w:t>
            </w:r>
          </w:p>
        </w:tc>
        <w:tc>
          <w:tcPr>
            <w:tcW w:w="1140" w:type="dxa"/>
            <w:tcBorders>
              <w:top w:val="nil"/>
              <w:left w:val="single" w:sz="4" w:space="0" w:color="979991"/>
              <w:bottom w:val="single" w:sz="4" w:space="0" w:color="979991"/>
              <w:right w:val="nil"/>
            </w:tcBorders>
            <w:shd w:val="clear" w:color="auto" w:fill="FFFFFF"/>
            <w:vAlign w:val="center"/>
            <w:hideMark/>
          </w:tcPr>
          <w:p w14:paraId="597DC168" w14:textId="77777777" w:rsidR="0020133C" w:rsidRDefault="0020133C" w:rsidP="009B5216">
            <w:pPr>
              <w:bidi w:val="0"/>
              <w:jc w:val="center"/>
              <w:rPr>
                <w:rFonts w:ascii="Calibri" w:hAnsi="Calibri" w:cs="Calibri"/>
                <w:color w:val="000000"/>
                <w:sz w:val="16"/>
                <w:szCs w:val="16"/>
              </w:rPr>
            </w:pPr>
            <w:r>
              <w:rPr>
                <w:rFonts w:ascii="Calibri" w:hAnsi="Calibri" w:cs="Calibri"/>
                <w:color w:val="000000"/>
                <w:sz w:val="16"/>
                <w:szCs w:val="16"/>
              </w:rPr>
              <w:t>382,183</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48719E14" w14:textId="77777777" w:rsidR="0020133C" w:rsidRDefault="0020133C" w:rsidP="009B5216">
            <w:pPr>
              <w:bidi w:val="0"/>
              <w:jc w:val="center"/>
              <w:rPr>
                <w:rFonts w:ascii="Calibri" w:hAnsi="Calibri" w:cs="Calibri"/>
                <w:color w:val="000000"/>
                <w:sz w:val="16"/>
                <w:szCs w:val="16"/>
              </w:rPr>
            </w:pPr>
            <w:r>
              <w:rPr>
                <w:rFonts w:ascii="Calibri" w:hAnsi="Calibri" w:cs="Calibri"/>
                <w:color w:val="000000"/>
                <w:sz w:val="16"/>
                <w:szCs w:val="16"/>
              </w:rPr>
              <w:t>328,022</w:t>
            </w:r>
          </w:p>
        </w:tc>
      </w:tr>
    </w:tbl>
    <w:p w14:paraId="472EA53F" w14:textId="77777777" w:rsidR="0020133C" w:rsidRPr="0020133C" w:rsidRDefault="0020133C" w:rsidP="0020133C">
      <w:pPr>
        <w:pStyle w:val="a0"/>
      </w:pPr>
    </w:p>
    <w:sectPr w:rsidR="0020133C" w:rsidRPr="0020133C" w:rsidSect="00CE10E9">
      <w:headerReference w:type="even" r:id="rId8"/>
      <w:headerReference w:type="default" r:id="rId9"/>
      <w:footerReference w:type="even" r:id="rId10"/>
      <w:footerReference w:type="default" r:id="rId11"/>
      <w:headerReference w:type="first" r:id="rId12"/>
      <w:footerReference w:type="first" r:id="rId13"/>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D28A9" w14:textId="77777777" w:rsidR="00BF3D95" w:rsidRDefault="00BF3D95" w:rsidP="00CE10E9">
      <w:r>
        <w:separator/>
      </w:r>
    </w:p>
  </w:endnote>
  <w:endnote w:type="continuationSeparator" w:id="0">
    <w:p w14:paraId="4C687FDC" w14:textId="77777777" w:rsidR="00BF3D95" w:rsidRDefault="00BF3D95" w:rsidP="00CE1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B1"/>
    <w:family w:val="swiss"/>
    <w:pitch w:val="variable"/>
    <w:sig w:usb0="00000801" w:usb1="00000000" w:usb2="00000000" w:usb3="00000000" w:csb0="0000002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3BB69" w14:textId="77777777" w:rsidR="00B41A0C" w:rsidRDefault="00B41A0C">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CAD99" w14:textId="77777777" w:rsidR="00B41A0C" w:rsidRDefault="00B41A0C">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071F4" w14:textId="77777777" w:rsidR="00B41A0C" w:rsidRDefault="00B41A0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BFB8D" w14:textId="77777777" w:rsidR="00BF3D95" w:rsidRDefault="00BF3D95" w:rsidP="00CE10E9">
      <w:r>
        <w:separator/>
      </w:r>
    </w:p>
  </w:footnote>
  <w:footnote w:type="continuationSeparator" w:id="0">
    <w:p w14:paraId="6208D2A1" w14:textId="77777777" w:rsidR="00BF3D95" w:rsidRDefault="00BF3D95" w:rsidP="00CE1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84E40" w14:textId="77777777" w:rsidR="00B41A0C" w:rsidRDefault="00B41A0C">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F32B8" w14:textId="77777777" w:rsidR="00CE10E9" w:rsidRDefault="00BF3D95" w:rsidP="00CE10E9">
    <w:pPr>
      <w:pStyle w:val="a5"/>
    </w:pPr>
    <w:r>
      <w:rPr>
        <w:noProof/>
      </w:rPr>
      <w:pict w14:anchorId="70CE5D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left:0;text-align:left;margin-left:-88.4pt;margin-top:-71.25pt;width:594pt;height:71.35pt;z-index:1;mso-position-horizontal-relative:margin;mso-position-vertical-relative:margin">
          <v:imagedata r:id="rId1" o:title="Header"/>
          <w10:wrap type="square" anchorx="margin" anchory="margin"/>
        </v:shape>
      </w:pict>
    </w:r>
  </w:p>
  <w:p w14:paraId="5A99AF42" w14:textId="77777777" w:rsidR="00CE10E9" w:rsidRDefault="00CE10E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22226" w14:textId="77777777" w:rsidR="00B41A0C" w:rsidRDefault="00B41A0C">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B08A2"/>
    <w:rsid w:val="000103A7"/>
    <w:rsid w:val="00102EB2"/>
    <w:rsid w:val="00113195"/>
    <w:rsid w:val="001177D9"/>
    <w:rsid w:val="0012673D"/>
    <w:rsid w:val="00157BA4"/>
    <w:rsid w:val="001E3B5D"/>
    <w:rsid w:val="0020133C"/>
    <w:rsid w:val="00223DE0"/>
    <w:rsid w:val="002D08AC"/>
    <w:rsid w:val="00372F18"/>
    <w:rsid w:val="003D616A"/>
    <w:rsid w:val="0057769E"/>
    <w:rsid w:val="005A0419"/>
    <w:rsid w:val="005B2DE2"/>
    <w:rsid w:val="005F4E5D"/>
    <w:rsid w:val="0063345D"/>
    <w:rsid w:val="00667B21"/>
    <w:rsid w:val="006F4E62"/>
    <w:rsid w:val="006F501A"/>
    <w:rsid w:val="007038F8"/>
    <w:rsid w:val="0074686B"/>
    <w:rsid w:val="008633D3"/>
    <w:rsid w:val="008635E2"/>
    <w:rsid w:val="008C419F"/>
    <w:rsid w:val="009C3327"/>
    <w:rsid w:val="00B37D27"/>
    <w:rsid w:val="00B41A0C"/>
    <w:rsid w:val="00B5505B"/>
    <w:rsid w:val="00BB08A2"/>
    <w:rsid w:val="00BF3D95"/>
    <w:rsid w:val="00C223D3"/>
    <w:rsid w:val="00C70FB0"/>
    <w:rsid w:val="00C950B4"/>
    <w:rsid w:val="00CE10E9"/>
    <w:rsid w:val="00D03F76"/>
    <w:rsid w:val="00E927E2"/>
    <w:rsid w:val="00ED3058"/>
    <w:rsid w:val="00EE0FB4"/>
    <w:rsid w:val="00F31B52"/>
    <w:rsid w:val="00FB5C5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24DCABF3"/>
  <w15:chartTrackingRefBased/>
  <w15:docId w15:val="{40089202-9CE2-4601-AE7F-0A3A04D6F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indentnumberedinabullet">
    <w:name w:val="normal indent numbered in a bullet"/>
    <w:basedOn w:val="a4"/>
    <w:pPr>
      <w:tabs>
        <w:tab w:val="left" w:pos="851"/>
        <w:tab w:val="left" w:pos="1418"/>
        <w:tab w:val="left" w:pos="2472"/>
        <w:tab w:val="left" w:pos="4498"/>
        <w:tab w:val="left" w:pos="6796"/>
        <w:tab w:val="left" w:pos="8856"/>
      </w:tabs>
      <w:ind w:left="618" w:right="510" w:hanging="170"/>
    </w:pPr>
  </w:style>
  <w:style w:type="paragraph" w:styleId="a4">
    <w:name w:val="Normal Indent"/>
    <w:basedOn w:val="a"/>
    <w:semiHidden/>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5">
    <w:name w:val="header"/>
    <w:basedOn w:val="a"/>
    <w:link w:val="a6"/>
    <w:uiPriority w:val="99"/>
    <w:unhideWhenUsed/>
    <w:rsid w:val="00CE10E9"/>
    <w:pPr>
      <w:tabs>
        <w:tab w:val="center" w:pos="4153"/>
        <w:tab w:val="right" w:pos="8306"/>
      </w:tabs>
    </w:pPr>
  </w:style>
  <w:style w:type="paragraph" w:customStyle="1" w:styleId="a0">
    <w:name w:val="מדינת ישראל"/>
    <w:basedOn w:val="a"/>
    <w:pPr>
      <w:jc w:val="center"/>
    </w:pPr>
    <w:rPr>
      <w:b/>
      <w:bCs/>
      <w:szCs w:val="28"/>
    </w:rPr>
  </w:style>
  <w:style w:type="paragraph" w:customStyle="1" w:styleId="a7">
    <w:name w:val="כותרת נדון"/>
    <w:basedOn w:val="a"/>
    <w:rPr>
      <w:szCs w:val="26"/>
      <w:u w:val="single"/>
    </w:rPr>
  </w:style>
  <w:style w:type="character" w:customStyle="1" w:styleId="a6">
    <w:name w:val="כותרת עליונה תו"/>
    <w:link w:val="a5"/>
    <w:uiPriority w:val="99"/>
    <w:rsid w:val="00CE10E9"/>
    <w:rPr>
      <w:rFonts w:cs="Narkisim"/>
      <w:szCs w:val="24"/>
      <w:lang w:eastAsia="he-IL"/>
    </w:rPr>
  </w:style>
  <w:style w:type="paragraph" w:styleId="a8">
    <w:name w:val="footer"/>
    <w:basedOn w:val="a"/>
    <w:link w:val="a9"/>
    <w:uiPriority w:val="99"/>
    <w:unhideWhenUsed/>
    <w:rsid w:val="00CE10E9"/>
    <w:pPr>
      <w:tabs>
        <w:tab w:val="center" w:pos="4153"/>
        <w:tab w:val="right" w:pos="8306"/>
      </w:tabs>
    </w:pPr>
  </w:style>
  <w:style w:type="character" w:customStyle="1" w:styleId="a9">
    <w:name w:val="כותרת תחתונה תו"/>
    <w:link w:val="a8"/>
    <w:uiPriority w:val="99"/>
    <w:rsid w:val="00CE10E9"/>
    <w:rPr>
      <w:rFonts w:cs="Narkisim"/>
      <w:szCs w:val="24"/>
      <w:lang w:eastAsia="he-IL"/>
    </w:rPr>
  </w:style>
  <w:style w:type="character" w:styleId="Hyperlink">
    <w:name w:val="Hyperlink"/>
    <w:uiPriority w:val="99"/>
    <w:unhideWhenUsed/>
    <w:rsid w:val="005F4E5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www.gov.il/BlobFolder/pmopolicy/dec3812-2026a/he/Gov_Dec_dec3812250126.pdf"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il/BlobFolder/pmopolicy/dec3812-2026a/he/Gov_Dec_dec3812250126.pdf"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565</Words>
  <Characters>2829</Characters>
  <Application>Microsoft Office Word</Application>
  <DocSecurity>0</DocSecurity>
  <Lines>23</Lines>
  <Paragraphs>6</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יונית בן ציון</cp:lastModifiedBy>
  <cp:revision>18</cp:revision>
  <cp:lastPrinted>1899-12-31T22:00:00Z</cp:lastPrinted>
  <dcterms:created xsi:type="dcterms:W3CDTF">2026-05-14T12:11:00Z</dcterms:created>
  <dcterms:modified xsi:type="dcterms:W3CDTF">2026-05-14T13:33:00Z</dcterms:modified>
</cp:coreProperties>
</file>