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ECD8D6" w14:textId="77777777" w:rsidR="0051496B" w:rsidRDefault="0051496B">
      <w:pPr>
        <w:pStyle w:val="a7"/>
        <w:rPr>
          <w:rtl/>
        </w:rPr>
      </w:pPr>
      <w:r>
        <w:rPr>
          <w:rtl/>
        </w:rPr>
        <w:t>מדינת ישראל</w:t>
      </w:r>
    </w:p>
    <w:p w14:paraId="22473A5F" w14:textId="77777777" w:rsidR="0051496B" w:rsidRDefault="0051496B">
      <w:pPr>
        <w:pStyle w:val="a7"/>
        <w:rPr>
          <w:rtl/>
        </w:rPr>
      </w:pPr>
      <w:r>
        <w:rPr>
          <w:rtl/>
        </w:rPr>
        <w:t>האוצר - אגף התקציבים</w:t>
      </w:r>
    </w:p>
    <w:p w14:paraId="219723EF" w14:textId="77777777" w:rsidR="0051496B" w:rsidRDefault="0051496B">
      <w:pPr>
        <w:rPr>
          <w:rtl/>
        </w:rPr>
      </w:pPr>
    </w:p>
    <w:p w14:paraId="3E4A3DFF" w14:textId="77777777" w:rsidR="0051496B" w:rsidRDefault="0051496B">
      <w:pPr>
        <w:rPr>
          <w:rtl/>
        </w:rPr>
      </w:pPr>
    </w:p>
    <w:p w14:paraId="413945FD" w14:textId="77777777" w:rsidR="0051496B" w:rsidRPr="000A3FA0" w:rsidRDefault="0051496B">
      <w:pPr>
        <w:tabs>
          <w:tab w:val="left" w:pos="6300"/>
        </w:tabs>
        <w:rPr>
          <w:rFonts w:cs="FrankRuehl"/>
          <w:sz w:val="26"/>
          <w:szCs w:val="26"/>
          <w:rtl/>
        </w:rPr>
      </w:pPr>
      <w:r>
        <w:rPr>
          <w:rtl/>
        </w:rPr>
        <w:tab/>
      </w:r>
      <w:bookmarkStart w:id="0" w:name="TAKZIV8"/>
      <w:bookmarkEnd w:id="0"/>
    </w:p>
    <w:p w14:paraId="4D3ED965" w14:textId="77777777" w:rsidR="0051496B" w:rsidRPr="000A3FA0" w:rsidRDefault="0051496B">
      <w:pPr>
        <w:tabs>
          <w:tab w:val="left" w:pos="6300"/>
        </w:tabs>
        <w:rPr>
          <w:rFonts w:cs="FrankRuehl"/>
          <w:sz w:val="26"/>
          <w:szCs w:val="26"/>
          <w:rtl/>
        </w:rPr>
      </w:pPr>
      <w:r w:rsidRPr="000A3FA0">
        <w:rPr>
          <w:rFonts w:cs="FrankRuehl"/>
          <w:sz w:val="26"/>
          <w:szCs w:val="26"/>
          <w:rtl/>
        </w:rPr>
        <w:tab/>
      </w:r>
      <w:r w:rsidRPr="000A3FA0">
        <w:rPr>
          <w:rFonts w:cs="FrankRuehl"/>
          <w:sz w:val="26"/>
          <w:szCs w:val="26"/>
          <w:rtl/>
        </w:rPr>
        <w:tab/>
      </w:r>
    </w:p>
    <w:p w14:paraId="7F26D366" w14:textId="77777777" w:rsidR="0051496B" w:rsidRPr="000A3FA0" w:rsidRDefault="0051496B" w:rsidP="007332A2">
      <w:pPr>
        <w:rPr>
          <w:rFonts w:cs="FrankRuehl"/>
          <w:sz w:val="26"/>
          <w:szCs w:val="26"/>
          <w:rtl/>
        </w:rPr>
      </w:pPr>
      <w:r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Pr="000A3FA0">
        <w:rPr>
          <w:rFonts w:cs="FrankRuehl"/>
          <w:sz w:val="26"/>
          <w:szCs w:val="26"/>
          <w:rtl/>
        </w:rPr>
        <w:t xml:space="preserve">ירושלים, </w:t>
      </w:r>
      <w:bookmarkStart w:id="1" w:name="TAKZIV9"/>
      <w:bookmarkEnd w:id="1"/>
    </w:p>
    <w:p w14:paraId="0F88FCD9" w14:textId="1CA1FEDB" w:rsidR="0051496B" w:rsidRPr="000A3FA0" w:rsidRDefault="0051496B" w:rsidP="007332A2">
      <w:pPr>
        <w:tabs>
          <w:tab w:val="left" w:pos="6039"/>
        </w:tabs>
        <w:rPr>
          <w:rFonts w:cs="FrankRuehl"/>
          <w:sz w:val="26"/>
          <w:szCs w:val="26"/>
          <w:rtl/>
        </w:rPr>
      </w:pPr>
      <w:r w:rsidRPr="000A3FA0">
        <w:rPr>
          <w:rFonts w:cs="FrankRuehl"/>
          <w:sz w:val="26"/>
          <w:szCs w:val="26"/>
          <w:rtl/>
        </w:rPr>
        <w:tab/>
        <w:t xml:space="preserve">בקשה מספר </w:t>
      </w:r>
      <w:bookmarkStart w:id="2" w:name="TAKZIV4"/>
      <w:r w:rsidR="0041731B">
        <w:rPr>
          <w:rFonts w:cs="FrankRuehl"/>
          <w:sz w:val="26"/>
          <w:szCs w:val="26"/>
          <w:rtl/>
        </w:rPr>
        <w:t>202</w:t>
      </w:r>
      <w:bookmarkEnd w:id="2"/>
      <w:r w:rsidRPr="000A3FA0">
        <w:rPr>
          <w:rFonts w:cs="FrankRuehl"/>
          <w:sz w:val="26"/>
          <w:szCs w:val="26"/>
          <w:rtl/>
        </w:rPr>
        <w:t xml:space="preserve"> - </w:t>
      </w:r>
      <w:bookmarkStart w:id="3" w:name="TAKZIV3"/>
      <w:r w:rsidR="0041731B">
        <w:rPr>
          <w:rFonts w:cs="FrankRuehl"/>
          <w:sz w:val="26"/>
          <w:szCs w:val="26"/>
          <w:rtl/>
        </w:rPr>
        <w:t>09</w:t>
      </w:r>
      <w:bookmarkEnd w:id="3"/>
    </w:p>
    <w:p w14:paraId="1558D000" w14:textId="77777777" w:rsidR="0051496B" w:rsidRPr="000A3FA0" w:rsidRDefault="0051496B">
      <w:pPr>
        <w:tabs>
          <w:tab w:val="left" w:pos="6300"/>
        </w:tabs>
        <w:rPr>
          <w:rFonts w:cs="FrankRuehl"/>
          <w:sz w:val="26"/>
          <w:szCs w:val="26"/>
          <w:rtl/>
        </w:rPr>
      </w:pPr>
      <w:r w:rsidRPr="000A3FA0">
        <w:rPr>
          <w:rFonts w:cs="FrankRuehl"/>
          <w:sz w:val="26"/>
          <w:szCs w:val="26"/>
          <w:rtl/>
        </w:rPr>
        <w:tab/>
      </w:r>
    </w:p>
    <w:p w14:paraId="0B304833" w14:textId="77777777" w:rsidR="0051496B" w:rsidRPr="000A3FA0" w:rsidRDefault="0051496B">
      <w:pPr>
        <w:tabs>
          <w:tab w:val="left" w:pos="6300"/>
        </w:tabs>
        <w:rPr>
          <w:rFonts w:cs="FrankRuehl"/>
          <w:sz w:val="26"/>
          <w:szCs w:val="26"/>
          <w:rtl/>
        </w:rPr>
      </w:pPr>
      <w:r w:rsidRPr="000A3FA0">
        <w:rPr>
          <w:rFonts w:cs="FrankRuehl"/>
          <w:sz w:val="26"/>
          <w:szCs w:val="26"/>
          <w:rtl/>
        </w:rPr>
        <w:tab/>
      </w:r>
    </w:p>
    <w:p w14:paraId="564E88D8" w14:textId="77777777" w:rsidR="0051496B" w:rsidRPr="000A3FA0" w:rsidRDefault="0051496B">
      <w:pPr>
        <w:rPr>
          <w:rFonts w:cs="FrankRuehl"/>
          <w:sz w:val="26"/>
          <w:szCs w:val="26"/>
          <w:rtl/>
        </w:rPr>
      </w:pPr>
      <w:r w:rsidRPr="000A3FA0">
        <w:rPr>
          <w:rFonts w:cs="FrankRuehl"/>
          <w:sz w:val="26"/>
          <w:szCs w:val="26"/>
          <w:rtl/>
        </w:rPr>
        <w:t>לכבוד,</w:t>
      </w:r>
    </w:p>
    <w:p w14:paraId="1DE4A8C7" w14:textId="77777777" w:rsidR="0051496B" w:rsidRPr="000A3FA0" w:rsidRDefault="0051496B">
      <w:pPr>
        <w:rPr>
          <w:rFonts w:cs="FrankRuehl"/>
          <w:sz w:val="26"/>
          <w:szCs w:val="26"/>
          <w:rtl/>
        </w:rPr>
      </w:pPr>
      <w:r w:rsidRPr="000A3FA0">
        <w:rPr>
          <w:rFonts w:cs="FrankRuehl"/>
          <w:sz w:val="26"/>
          <w:szCs w:val="26"/>
          <w:rtl/>
        </w:rPr>
        <w:t>יו"ר ועדת הכספים</w:t>
      </w:r>
    </w:p>
    <w:p w14:paraId="682B99C1" w14:textId="77777777" w:rsidR="0051496B" w:rsidRPr="000A3FA0" w:rsidRDefault="0051496B">
      <w:pPr>
        <w:rPr>
          <w:rFonts w:cs="FrankRuehl"/>
          <w:sz w:val="26"/>
          <w:szCs w:val="26"/>
          <w:rtl/>
        </w:rPr>
      </w:pPr>
      <w:r w:rsidRPr="000A3FA0">
        <w:rPr>
          <w:rFonts w:cs="FrankRuehl"/>
          <w:sz w:val="26"/>
          <w:szCs w:val="26"/>
          <w:rtl/>
        </w:rPr>
        <w:t>הכנסת</w:t>
      </w:r>
    </w:p>
    <w:p w14:paraId="6BB67B8B" w14:textId="77777777" w:rsidR="0051496B" w:rsidRPr="000A3FA0" w:rsidRDefault="0051496B">
      <w:pPr>
        <w:rPr>
          <w:rFonts w:cs="FrankRuehl"/>
          <w:sz w:val="26"/>
          <w:szCs w:val="26"/>
          <w:rtl/>
        </w:rPr>
      </w:pPr>
    </w:p>
    <w:p w14:paraId="52AE7C0E" w14:textId="77777777" w:rsidR="0051496B" w:rsidRPr="000A3FA0" w:rsidRDefault="0051496B">
      <w:pPr>
        <w:rPr>
          <w:rFonts w:cs="FrankRuehl"/>
          <w:sz w:val="26"/>
          <w:szCs w:val="26"/>
          <w:rtl/>
        </w:rPr>
      </w:pPr>
      <w:r w:rsidRPr="000A3FA0">
        <w:rPr>
          <w:rFonts w:cs="FrankRuehl"/>
          <w:sz w:val="26"/>
          <w:szCs w:val="26"/>
          <w:rtl/>
        </w:rPr>
        <w:t>א.נ.,</w:t>
      </w:r>
    </w:p>
    <w:p w14:paraId="0ADA08F8" w14:textId="77777777" w:rsidR="0051496B" w:rsidRPr="000A3FA0" w:rsidRDefault="0051496B">
      <w:pPr>
        <w:rPr>
          <w:rFonts w:cs="FrankRuehl"/>
          <w:sz w:val="26"/>
          <w:szCs w:val="26"/>
          <w:rtl/>
        </w:rPr>
      </w:pPr>
    </w:p>
    <w:p w14:paraId="6996CA70" w14:textId="717AB4E5" w:rsidR="0051496B" w:rsidRPr="000A3FA0" w:rsidRDefault="0051496B">
      <w:pPr>
        <w:pStyle w:val="a6"/>
        <w:rPr>
          <w:rFonts w:cs="FrankRuehl"/>
          <w:sz w:val="26"/>
          <w:rtl/>
        </w:rPr>
      </w:pPr>
      <w:r w:rsidRPr="000A3FA0">
        <w:rPr>
          <w:rFonts w:cs="FrankRuehl"/>
          <w:bCs w:val="0"/>
          <w:sz w:val="26"/>
          <w:u w:val="none"/>
          <w:rtl/>
        </w:rPr>
        <w:t xml:space="preserve">הנדון: </w:t>
      </w:r>
      <w:r w:rsidRPr="000A3FA0">
        <w:rPr>
          <w:rFonts w:cs="FrankRuehl"/>
          <w:bCs w:val="0"/>
          <w:sz w:val="26"/>
          <w:rtl/>
        </w:rPr>
        <w:t>שימוש בעודפי תקציב לשנת</w:t>
      </w:r>
      <w:r w:rsidRPr="000A3FA0">
        <w:rPr>
          <w:rFonts w:cs="FrankRuehl"/>
          <w:sz w:val="26"/>
          <w:rtl/>
        </w:rPr>
        <w:t xml:space="preserve"> </w:t>
      </w:r>
      <w:bookmarkStart w:id="4" w:name="TAKZIV1_2"/>
      <w:bookmarkStart w:id="5" w:name="TAKZIV1_1"/>
      <w:bookmarkEnd w:id="4"/>
      <w:r w:rsidR="0041731B">
        <w:rPr>
          <w:rFonts w:cs="FrankRuehl"/>
          <w:sz w:val="26"/>
          <w:rtl/>
        </w:rPr>
        <w:t>2026</w:t>
      </w:r>
      <w:bookmarkEnd w:id="5"/>
      <w:r w:rsidRPr="000A3FA0">
        <w:rPr>
          <w:rFonts w:cs="FrankRuehl"/>
          <w:sz w:val="26"/>
          <w:rtl/>
        </w:rPr>
        <w:t xml:space="preserve">     </w:t>
      </w:r>
    </w:p>
    <w:p w14:paraId="58E11B4E" w14:textId="77777777" w:rsidR="0051496B" w:rsidRPr="000A3FA0" w:rsidRDefault="0051496B" w:rsidP="00A6761F">
      <w:pPr>
        <w:jc w:val="both"/>
        <w:rPr>
          <w:rFonts w:cs="FrankRuehl"/>
          <w:sz w:val="26"/>
          <w:szCs w:val="26"/>
          <w:rtl/>
        </w:rPr>
      </w:pPr>
    </w:p>
    <w:p w14:paraId="362F84A2" w14:textId="1EA23F61" w:rsidR="0051496B" w:rsidRDefault="0051496B" w:rsidP="00DE7D65">
      <w:pPr>
        <w:jc w:val="both"/>
        <w:rPr>
          <w:rFonts w:cs="FrankRuehl"/>
          <w:sz w:val="26"/>
          <w:szCs w:val="26"/>
          <w:rtl/>
        </w:rPr>
      </w:pPr>
      <w:r w:rsidRPr="000A3FA0">
        <w:rPr>
          <w:rFonts w:cs="FrankRuehl"/>
          <w:sz w:val="26"/>
          <w:szCs w:val="26"/>
          <w:rtl/>
        </w:rPr>
        <w:t>שר האוצר מתכבד להודיע לו</w:t>
      </w:r>
      <w:r w:rsidR="00A14A9C" w:rsidRPr="000A3FA0">
        <w:rPr>
          <w:rFonts w:cs="FrankRuehl" w:hint="cs"/>
          <w:sz w:val="26"/>
          <w:szCs w:val="26"/>
          <w:rtl/>
        </w:rPr>
        <w:t>ו</w:t>
      </w:r>
      <w:r w:rsidRPr="000A3FA0">
        <w:rPr>
          <w:rFonts w:cs="FrankRuehl"/>
          <w:sz w:val="26"/>
          <w:szCs w:val="26"/>
          <w:rtl/>
        </w:rPr>
        <w:t xml:space="preserve">עדת הכספים של הכנסת על העברת סכום של </w:t>
      </w:r>
      <w:bookmarkStart w:id="6" w:name="TAKZIV30"/>
      <w:r w:rsidR="0041731B">
        <w:rPr>
          <w:rFonts w:cs="FrankRuehl"/>
          <w:sz w:val="26"/>
          <w:szCs w:val="26"/>
          <w:rtl/>
        </w:rPr>
        <w:t>354,056</w:t>
      </w:r>
      <w:bookmarkEnd w:id="6"/>
      <w:r w:rsidRPr="000A3FA0">
        <w:rPr>
          <w:rFonts w:cs="FrankRuehl"/>
          <w:sz w:val="26"/>
          <w:szCs w:val="26"/>
          <w:rtl/>
        </w:rPr>
        <w:t xml:space="preserve"> אלפי שקלים חדשים מסעיף </w:t>
      </w:r>
      <w:bookmarkStart w:id="7" w:name="TAKZIV3_1"/>
      <w:r w:rsidR="0041731B">
        <w:rPr>
          <w:rFonts w:cs="FrankRuehl"/>
          <w:sz w:val="26"/>
          <w:szCs w:val="26"/>
          <w:rtl/>
        </w:rPr>
        <w:t>09</w:t>
      </w:r>
      <w:bookmarkEnd w:id="7"/>
      <w:r w:rsidRPr="000A3FA0">
        <w:rPr>
          <w:rFonts w:cs="FrankRuehl"/>
          <w:sz w:val="26"/>
          <w:szCs w:val="26"/>
          <w:rtl/>
        </w:rPr>
        <w:t xml:space="preserve"> - </w:t>
      </w:r>
      <w:bookmarkStart w:id="8" w:name="TAKZIV6_2"/>
      <w:r w:rsidR="0041731B">
        <w:rPr>
          <w:rFonts w:cs="FrankRuehl"/>
          <w:sz w:val="26"/>
          <w:szCs w:val="26"/>
          <w:rtl/>
        </w:rPr>
        <w:t>משרד החוץ</w:t>
      </w:r>
      <w:bookmarkEnd w:id="8"/>
      <w:r w:rsidRPr="000A3FA0">
        <w:rPr>
          <w:rFonts w:cs="FrankRuehl"/>
          <w:sz w:val="26"/>
          <w:szCs w:val="26"/>
          <w:rtl/>
        </w:rPr>
        <w:t xml:space="preserve"> משנת הכספים </w:t>
      </w:r>
      <w:bookmarkStart w:id="9" w:name="TAKZIV2_1"/>
      <w:r w:rsidR="0041731B">
        <w:rPr>
          <w:rFonts w:cs="FrankRuehl"/>
          <w:sz w:val="26"/>
          <w:szCs w:val="26"/>
          <w:rtl/>
        </w:rPr>
        <w:t>2025</w:t>
      </w:r>
      <w:bookmarkEnd w:id="9"/>
      <w:r w:rsidRPr="000A3FA0">
        <w:rPr>
          <w:rFonts w:cs="FrankRuehl"/>
          <w:sz w:val="26"/>
          <w:szCs w:val="26"/>
          <w:rtl/>
        </w:rPr>
        <w:t xml:space="preserve">, כעודף לשימוש בשנת הכספים </w:t>
      </w:r>
      <w:bookmarkStart w:id="10" w:name="TAKZIV1"/>
      <w:r w:rsidR="0041731B">
        <w:rPr>
          <w:rFonts w:cs="FrankRuehl"/>
          <w:sz w:val="26"/>
          <w:szCs w:val="26"/>
          <w:rtl/>
        </w:rPr>
        <w:t>2026</w:t>
      </w:r>
      <w:bookmarkEnd w:id="10"/>
      <w:r w:rsidRPr="000A3FA0">
        <w:rPr>
          <w:rFonts w:cs="FrankRuehl"/>
          <w:sz w:val="26"/>
          <w:szCs w:val="26"/>
          <w:rtl/>
        </w:rPr>
        <w:t xml:space="preserve">, בהתאם לסעיף 13 (א) לחוק יסודות התקציב </w:t>
      </w:r>
      <w:proofErr w:type="spellStart"/>
      <w:r w:rsidRPr="000A3FA0">
        <w:rPr>
          <w:rFonts w:cs="FrankRuehl"/>
          <w:sz w:val="26"/>
          <w:szCs w:val="26"/>
          <w:rtl/>
        </w:rPr>
        <w:t>התשמ"ה</w:t>
      </w:r>
      <w:proofErr w:type="spellEnd"/>
      <w:r w:rsidRPr="000A3FA0">
        <w:rPr>
          <w:rFonts w:cs="FrankRuehl"/>
          <w:sz w:val="26"/>
          <w:szCs w:val="26"/>
          <w:rtl/>
        </w:rPr>
        <w:t xml:space="preserve"> - 1985,</w:t>
      </w:r>
      <w:r w:rsidR="00DE7D65">
        <w:rPr>
          <w:rFonts w:cs="FrankRuehl" w:hint="cs"/>
          <w:sz w:val="26"/>
          <w:szCs w:val="26"/>
          <w:rtl/>
        </w:rPr>
        <w:t xml:space="preserve"> </w:t>
      </w:r>
      <w:r w:rsidRPr="000A3FA0">
        <w:rPr>
          <w:rFonts w:cs="FrankRuehl"/>
          <w:sz w:val="26"/>
          <w:szCs w:val="26"/>
          <w:rtl/>
        </w:rPr>
        <w:t>כמפורט בתדפיס המצורף בזה.</w:t>
      </w:r>
    </w:p>
    <w:p w14:paraId="10A15BD9" w14:textId="194D5F4A" w:rsidR="00DE7D65" w:rsidRDefault="00DE7D65" w:rsidP="00DE7D65">
      <w:pPr>
        <w:jc w:val="both"/>
        <w:rPr>
          <w:rFonts w:cs="FrankRuehl"/>
          <w:sz w:val="26"/>
          <w:szCs w:val="26"/>
          <w:rtl/>
        </w:rPr>
      </w:pPr>
    </w:p>
    <w:p w14:paraId="49F22FD8" w14:textId="77777777" w:rsidR="00DE7D65" w:rsidRDefault="00DE7D65" w:rsidP="00DE7D65">
      <w:pPr>
        <w:jc w:val="both"/>
        <w:rPr>
          <w:rFonts w:ascii="FrankRuehl" w:hAnsi="FrankRuehl" w:cs="FrankRuehl"/>
          <w:b/>
          <w:bCs/>
          <w:sz w:val="26"/>
          <w:szCs w:val="26"/>
          <w:lang w:eastAsia="en-US"/>
        </w:rPr>
      </w:pPr>
      <w:bookmarkStart w:id="11" w:name="DIVREY_HESBER"/>
      <w:bookmarkEnd w:id="11"/>
      <w:r>
        <w:rPr>
          <w:rFonts w:ascii="FrankRuehl" w:hAnsi="FrankRuehl" w:cs="FrankRuehl"/>
          <w:b/>
          <w:bCs/>
          <w:sz w:val="26"/>
          <w:szCs w:val="26"/>
          <w:rtl/>
        </w:rPr>
        <w:t>הבקשה דנה בסעיף תקציבי:</w:t>
      </w:r>
      <w:r>
        <w:rPr>
          <w:rFonts w:ascii="FrankRuehl" w:hAnsi="FrankRuehl" w:cs="FrankRuehl"/>
          <w:sz w:val="26"/>
          <w:szCs w:val="26"/>
          <w:rtl/>
        </w:rPr>
        <w:t xml:space="preserve"> 09 - משרד החוץ</w:t>
      </w:r>
    </w:p>
    <w:p w14:paraId="6B224337" w14:textId="77777777" w:rsidR="00DE7D65" w:rsidRDefault="00DE7D65" w:rsidP="00DE7D65">
      <w:pPr>
        <w:jc w:val="both"/>
        <w:rPr>
          <w:rFonts w:ascii="FrankRuehl" w:hAnsi="FrankRuehl" w:cs="FrankRuehl"/>
          <w:b/>
          <w:bCs/>
          <w:sz w:val="26"/>
          <w:szCs w:val="26"/>
        </w:rPr>
      </w:pPr>
    </w:p>
    <w:p w14:paraId="1C797557" w14:textId="77777777" w:rsidR="00DE7D65" w:rsidRDefault="00DE7D65" w:rsidP="00DE7D65">
      <w:pPr>
        <w:jc w:val="both"/>
        <w:rPr>
          <w:rFonts w:ascii="FrankRuehl" w:hAnsi="FrankRuehl" w:cs="FrankRuehl"/>
          <w:b/>
          <w:bCs/>
          <w:sz w:val="26"/>
          <w:szCs w:val="26"/>
        </w:rPr>
      </w:pPr>
      <w:r>
        <w:rPr>
          <w:rFonts w:ascii="FrankRuehl" w:hAnsi="FrankRuehl" w:cs="FrankRuehl"/>
          <w:b/>
          <w:bCs/>
          <w:sz w:val="26"/>
          <w:szCs w:val="26"/>
          <w:rtl/>
        </w:rPr>
        <w:t>עיקרי הפנייה:</w:t>
      </w:r>
    </w:p>
    <w:p w14:paraId="7A9754DB" w14:textId="77777777" w:rsidR="00DE7D65" w:rsidRDefault="00DE7D65" w:rsidP="00DE7D65">
      <w:pPr>
        <w:jc w:val="both"/>
        <w:rPr>
          <w:rFonts w:ascii="FrankRuehl" w:hAnsi="FrankRuehl" w:cs="FrankRuehl"/>
          <w:sz w:val="26"/>
          <w:szCs w:val="26"/>
        </w:rPr>
      </w:pPr>
      <w:r>
        <w:rPr>
          <w:rFonts w:ascii="FrankRuehl" w:hAnsi="FrankRuehl" w:cs="FrankRuehl"/>
          <w:sz w:val="26"/>
          <w:szCs w:val="26"/>
          <w:rtl/>
        </w:rPr>
        <w:t xml:space="preserve">הפנייה התקציבית נועדה להעברת עודפים משנת התקציב 2025 לשנת התקציב 2026 בסך של </w:t>
      </w:r>
      <w:r>
        <w:rPr>
          <w:rFonts w:cs="FrankRuehl"/>
          <w:sz w:val="26"/>
          <w:szCs w:val="26"/>
          <w:rtl/>
        </w:rPr>
        <w:t>354,056</w:t>
      </w:r>
      <w:r>
        <w:rPr>
          <w:rFonts w:ascii="FrankRuehl" w:hAnsi="FrankRuehl" w:cs="FrankRuehl"/>
          <w:sz w:val="26"/>
          <w:szCs w:val="26"/>
        </w:rPr>
        <w:t xml:space="preserve"> </w:t>
      </w:r>
      <w:r>
        <w:rPr>
          <w:rFonts w:ascii="FrankRuehl" w:hAnsi="FrankRuehl" w:cs="FrankRuehl"/>
          <w:sz w:val="26"/>
          <w:szCs w:val="26"/>
          <w:rtl/>
        </w:rPr>
        <w:t xml:space="preserve">אלפי ש"ח בהוצאה </w:t>
      </w:r>
      <w:proofErr w:type="spellStart"/>
      <w:r>
        <w:rPr>
          <w:rFonts w:ascii="FrankRuehl" w:hAnsi="FrankRuehl" w:cs="FrankRuehl"/>
          <w:sz w:val="26"/>
          <w:szCs w:val="26"/>
          <w:rtl/>
        </w:rPr>
        <w:t>לתכניות</w:t>
      </w:r>
      <w:proofErr w:type="spellEnd"/>
      <w:r>
        <w:rPr>
          <w:rFonts w:ascii="FrankRuehl" w:hAnsi="FrankRuehl" w:cs="FrankRuehl"/>
          <w:sz w:val="26"/>
          <w:szCs w:val="26"/>
          <w:rtl/>
        </w:rPr>
        <w:t xml:space="preserve"> התקציב הבאות, בהתאם לפירוט המובא מטה.</w:t>
      </w:r>
    </w:p>
    <w:p w14:paraId="1A9F55FD" w14:textId="77777777" w:rsidR="00DE7D65" w:rsidRDefault="00DE7D65" w:rsidP="00DE7D65">
      <w:pPr>
        <w:jc w:val="both"/>
        <w:rPr>
          <w:rFonts w:ascii="FrankRuehl" w:hAnsi="FrankRuehl" w:cs="FrankRuehl"/>
          <w:sz w:val="26"/>
          <w:szCs w:val="26"/>
        </w:rPr>
      </w:pPr>
    </w:p>
    <w:p w14:paraId="6DB28B45" w14:textId="77777777" w:rsidR="00DE7D65" w:rsidRDefault="00DE7D65" w:rsidP="00DE7D65">
      <w:pPr>
        <w:jc w:val="both"/>
        <w:rPr>
          <w:rFonts w:ascii="FrankRuehl" w:hAnsi="FrankRuehl" w:cs="FrankRuehl"/>
          <w:sz w:val="26"/>
          <w:szCs w:val="26"/>
          <w:rtl/>
        </w:rPr>
      </w:pPr>
      <w:r>
        <w:rPr>
          <w:rFonts w:ascii="FrankRuehl" w:hAnsi="FrankRuehl" w:cs="FrankRuehl"/>
          <w:sz w:val="26"/>
          <w:szCs w:val="26"/>
          <w:rtl/>
        </w:rPr>
        <w:t xml:space="preserve">עיקרי הפנייה התקציבית בחלוקה </w:t>
      </w:r>
      <w:proofErr w:type="spellStart"/>
      <w:r>
        <w:rPr>
          <w:rFonts w:ascii="FrankRuehl" w:hAnsi="FrankRuehl" w:cs="FrankRuehl"/>
          <w:sz w:val="26"/>
          <w:szCs w:val="26"/>
          <w:rtl/>
        </w:rPr>
        <w:t>לתכניות</w:t>
      </w:r>
      <w:proofErr w:type="spellEnd"/>
      <w:r>
        <w:rPr>
          <w:rFonts w:ascii="FrankRuehl" w:hAnsi="FrankRuehl" w:cs="FrankRuehl"/>
          <w:sz w:val="26"/>
          <w:szCs w:val="26"/>
          <w:rtl/>
        </w:rPr>
        <w:t xml:space="preserve"> מובאים להלן:</w:t>
      </w:r>
    </w:p>
    <w:p w14:paraId="7595D764" w14:textId="77777777" w:rsidR="00DE7D65" w:rsidRDefault="00DE7D65" w:rsidP="00DE7D65">
      <w:pPr>
        <w:jc w:val="both"/>
        <w:rPr>
          <w:rFonts w:ascii="FrankRuehl" w:hAnsi="FrankRuehl" w:cs="FrankRuehl"/>
          <w:b/>
          <w:bCs/>
          <w:sz w:val="26"/>
          <w:szCs w:val="26"/>
          <w:rtl/>
        </w:rPr>
      </w:pPr>
      <w:r>
        <w:rPr>
          <w:rFonts w:ascii="FrankRuehl" w:hAnsi="FrankRuehl" w:cs="FrankRuehl"/>
          <w:b/>
          <w:bCs/>
          <w:sz w:val="26"/>
          <w:szCs w:val="26"/>
          <w:rtl/>
        </w:rPr>
        <w:t>תכנית 095101: תפעול מטה בארץ – 57,989 אלפי ש"ח</w:t>
      </w:r>
    </w:p>
    <w:p w14:paraId="107504F4" w14:textId="77777777" w:rsidR="00DE7D65" w:rsidRDefault="00DE7D65" w:rsidP="00DE7D65">
      <w:pPr>
        <w:jc w:val="both"/>
        <w:rPr>
          <w:rFonts w:ascii="FrankRuehl" w:hAnsi="FrankRuehl" w:cs="FrankRuehl"/>
          <w:sz w:val="26"/>
          <w:szCs w:val="26"/>
          <w:rtl/>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w:t>
      </w:r>
      <w:r>
        <w:rPr>
          <w:rFonts w:ascii="FrankRuehl" w:hAnsi="FrankRuehl" w:cs="FrankRuehl"/>
          <w:sz w:val="26"/>
          <w:szCs w:val="26"/>
          <w:rtl/>
        </w:rPr>
        <w:t xml:space="preserve"> תכנית זו כוללת את תקציב השכר והתפעול של מטה משרד החוץ בארץ.</w:t>
      </w:r>
    </w:p>
    <w:p w14:paraId="744BAE39" w14:textId="77777777" w:rsidR="00DE7D65" w:rsidRDefault="00DE7D65" w:rsidP="00DE7D65">
      <w:pPr>
        <w:jc w:val="both"/>
        <w:rPr>
          <w:rFonts w:ascii="FrankRuehl" w:hAnsi="FrankRuehl" w:cs="FrankRuehl"/>
          <w:b/>
          <w:bCs/>
          <w:sz w:val="26"/>
          <w:szCs w:val="26"/>
          <w:rtl/>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w:t>
      </w:r>
    </w:p>
    <w:p w14:paraId="1667B9A5" w14:textId="77777777" w:rsidR="00DE7D65" w:rsidRDefault="00DE7D65" w:rsidP="00DE7D65">
      <w:pPr>
        <w:jc w:val="both"/>
        <w:rPr>
          <w:rFonts w:ascii="FrankRuehl" w:hAnsi="FrankRuehl" w:cs="FrankRuehl"/>
          <w:sz w:val="26"/>
          <w:szCs w:val="26"/>
          <w:rtl/>
        </w:rPr>
      </w:pPr>
      <w:r>
        <w:rPr>
          <w:rFonts w:ascii="FrankRuehl" w:hAnsi="FrankRuehl" w:cs="FrankRuehl"/>
          <w:sz w:val="26"/>
          <w:szCs w:val="26"/>
          <w:rtl/>
        </w:rPr>
        <w:t>תשלומים עבור פעילויות חוצות שנה שהתקיימו בשנת 2025 שהמשרד התחייב בגינם לספקים והתשלום עבור יתרת ההזמנות משולם בשנה העוקבת. מדובר בהוצאות בין היתר בגין אחזקת המבנה בארץ (תחזוקת מעליות, תחזוקת מערכות מיזוג, ניקיון וכו'), מערכות המחשוב והתחזוקה השוטפת והוצאות אבטחה.</w:t>
      </w:r>
    </w:p>
    <w:p w14:paraId="2449A903" w14:textId="77777777" w:rsidR="00DE7D65" w:rsidRDefault="00DE7D65" w:rsidP="00DE7D65">
      <w:pPr>
        <w:jc w:val="both"/>
        <w:rPr>
          <w:rFonts w:cs="David"/>
          <w:sz w:val="24"/>
          <w:rtl/>
        </w:rPr>
      </w:pPr>
    </w:p>
    <w:p w14:paraId="38E5A92A" w14:textId="77777777" w:rsidR="00DE7D65" w:rsidRDefault="00DE7D65" w:rsidP="00DE7D65">
      <w:pPr>
        <w:jc w:val="both"/>
        <w:rPr>
          <w:rFonts w:ascii="FrankRuehl" w:hAnsi="FrankRuehl" w:cs="FrankRuehl"/>
          <w:b/>
          <w:bCs/>
          <w:sz w:val="26"/>
          <w:szCs w:val="26"/>
          <w:rtl/>
        </w:rPr>
      </w:pPr>
      <w:r>
        <w:rPr>
          <w:rFonts w:ascii="FrankRuehl" w:hAnsi="FrankRuehl" w:cs="FrankRuehl"/>
          <w:b/>
          <w:bCs/>
          <w:sz w:val="26"/>
          <w:szCs w:val="26"/>
          <w:rtl/>
        </w:rPr>
        <w:t>תכנית 095102: תפעול הנציגויות בחו"ל –  296,067 אלפי ש"ח</w:t>
      </w:r>
    </w:p>
    <w:p w14:paraId="5D977843" w14:textId="77777777" w:rsidR="00DE7D65" w:rsidRDefault="00DE7D65" w:rsidP="00DE7D65">
      <w:pPr>
        <w:jc w:val="both"/>
        <w:rPr>
          <w:rFonts w:ascii="FrankRuehl" w:hAnsi="FrankRuehl" w:cs="FrankRuehl"/>
          <w:sz w:val="26"/>
          <w:szCs w:val="26"/>
          <w:rtl/>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sz w:val="26"/>
          <w:szCs w:val="26"/>
          <w:rtl/>
        </w:rPr>
        <w:t>: תכנית זו כוללת את תקציב התפעול של נציגויות ובתי השרד של ישראל בחו"ל, לרבות שכר דירה, אחזקה, ופיתוח ובינוי נציגויות בחו"ל, וכן את תקציב הפעילות של משרד החוץ בחו"ל ותשלומים לאו"ם ולכוחות השלום.</w:t>
      </w:r>
    </w:p>
    <w:p w14:paraId="16ED9189" w14:textId="77777777" w:rsidR="00DE7D65" w:rsidRDefault="00DE7D65" w:rsidP="00DE7D65">
      <w:pPr>
        <w:tabs>
          <w:tab w:val="center" w:pos="4153"/>
        </w:tabs>
        <w:jc w:val="both"/>
        <w:rPr>
          <w:rFonts w:ascii="FrankRuehl" w:hAnsi="FrankRuehl" w:cs="FrankRuehl"/>
          <w:b/>
          <w:bCs/>
          <w:sz w:val="26"/>
          <w:szCs w:val="26"/>
          <w:rtl/>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w:t>
      </w:r>
      <w:r>
        <w:rPr>
          <w:rFonts w:ascii="FrankRuehl" w:hAnsi="FrankRuehl" w:cs="FrankRuehl"/>
          <w:b/>
          <w:bCs/>
          <w:sz w:val="26"/>
          <w:szCs w:val="26"/>
          <w:rtl/>
        </w:rPr>
        <w:tab/>
      </w:r>
    </w:p>
    <w:p w14:paraId="32F4FD87" w14:textId="77777777" w:rsidR="00DE7D65" w:rsidRDefault="00DE7D65" w:rsidP="00DE7D65">
      <w:pPr>
        <w:tabs>
          <w:tab w:val="center" w:pos="4153"/>
        </w:tabs>
        <w:jc w:val="both"/>
        <w:rPr>
          <w:rFonts w:ascii="FrankRuehl" w:hAnsi="FrankRuehl" w:cs="FrankRuehl"/>
          <w:sz w:val="26"/>
          <w:szCs w:val="26"/>
          <w:rtl/>
        </w:rPr>
      </w:pPr>
      <w:r>
        <w:rPr>
          <w:rFonts w:ascii="FrankRuehl" w:hAnsi="FrankRuehl" w:cs="FrankRuehl"/>
          <w:sz w:val="26"/>
          <w:szCs w:val="26"/>
          <w:rtl/>
        </w:rPr>
        <w:t xml:space="preserve">העודפים </w:t>
      </w:r>
      <w:proofErr w:type="spellStart"/>
      <w:r>
        <w:rPr>
          <w:rFonts w:ascii="FrankRuehl" w:hAnsi="FrankRuehl" w:cs="FrankRuehl"/>
          <w:sz w:val="26"/>
          <w:szCs w:val="26"/>
          <w:rtl/>
        </w:rPr>
        <w:t>בתכנית</w:t>
      </w:r>
      <w:proofErr w:type="spellEnd"/>
      <w:r>
        <w:rPr>
          <w:rFonts w:ascii="FrankRuehl" w:hAnsi="FrankRuehl" w:cs="FrankRuehl"/>
          <w:sz w:val="26"/>
          <w:szCs w:val="26"/>
          <w:rtl/>
        </w:rPr>
        <w:t xml:space="preserve"> נוצרו מהתקשרויות שוטפות חוצות שנה כמפורט בין היתר:</w:t>
      </w:r>
    </w:p>
    <w:p w14:paraId="7BAEE5D4" w14:textId="77777777" w:rsidR="00DE7D65" w:rsidRDefault="00DE7D65" w:rsidP="00DE7D65">
      <w:pPr>
        <w:numPr>
          <w:ilvl w:val="0"/>
          <w:numId w:val="1"/>
        </w:numPr>
        <w:tabs>
          <w:tab w:val="center" w:pos="4153"/>
        </w:tabs>
        <w:contextualSpacing/>
        <w:jc w:val="both"/>
        <w:rPr>
          <w:rFonts w:ascii="FrankRuehl" w:eastAsia="Calibri" w:hAnsi="FrankRuehl" w:cs="FrankRuehl"/>
          <w:sz w:val="26"/>
          <w:szCs w:val="26"/>
          <w:rtl/>
          <w:lang w:eastAsia="en-US"/>
        </w:rPr>
      </w:pPr>
      <w:r>
        <w:rPr>
          <w:rFonts w:ascii="FrankRuehl" w:hAnsi="FrankRuehl" w:cs="FrankRuehl"/>
          <w:sz w:val="26"/>
          <w:szCs w:val="26"/>
          <w:rtl/>
        </w:rPr>
        <w:t>תקציב הפעילות והאחזקה השוטפת של הנציגויות מאופיין בחוזים והתקשרויות חוצי שנים כגון: תשלומים עבור חוזי שכירויות מבנים, תשתיות תקשוב ואינטרנט, הוצאות אבטחה בנציגויות, תחזוקה והחלפת כלי רכב בחו"ל והוצאות שילוח דואר דיפלומטי.</w:t>
      </w:r>
    </w:p>
    <w:p w14:paraId="7FB3E249" w14:textId="77777777" w:rsidR="00DE7D65" w:rsidRDefault="00DE7D65" w:rsidP="00DE7D65">
      <w:pPr>
        <w:numPr>
          <w:ilvl w:val="0"/>
          <w:numId w:val="1"/>
        </w:numPr>
        <w:contextualSpacing/>
        <w:jc w:val="both"/>
        <w:rPr>
          <w:rFonts w:ascii="FrankRuehl" w:hAnsi="FrankRuehl" w:cs="FrankRuehl"/>
          <w:sz w:val="26"/>
          <w:szCs w:val="26"/>
          <w:rtl/>
        </w:rPr>
      </w:pPr>
      <w:r>
        <w:rPr>
          <w:rFonts w:ascii="FrankRuehl" w:hAnsi="FrankRuehl" w:cs="FrankRuehl"/>
          <w:sz w:val="26"/>
          <w:szCs w:val="26"/>
          <w:rtl/>
        </w:rPr>
        <w:t xml:space="preserve">פרויקטים של שיפוץ מבנים, בינוי ומעבר של נציגויות בחו"ל הינם פרויקטים חוצי שנים והתשלום בגינם מועבר בהתאם לאבני דרך שנקבעו בחוזים מול הספקים או קבלני הביצוע. </w:t>
      </w:r>
    </w:p>
    <w:p w14:paraId="143B1217" w14:textId="77777777" w:rsidR="007332A2" w:rsidRPr="000A3FA0" w:rsidRDefault="007332A2" w:rsidP="00DE7D65">
      <w:pPr>
        <w:jc w:val="both"/>
        <w:rPr>
          <w:rFonts w:cs="FrankRuehl"/>
          <w:sz w:val="26"/>
          <w:szCs w:val="26"/>
          <w:rtl/>
        </w:rPr>
      </w:pPr>
    </w:p>
    <w:p w14:paraId="3931BD8B" w14:textId="77777777" w:rsidR="0051496B" w:rsidRPr="000A3FA0" w:rsidRDefault="0051496B" w:rsidP="00DE7D65">
      <w:pPr>
        <w:jc w:val="both"/>
        <w:rPr>
          <w:rFonts w:cs="FrankRuehl"/>
          <w:sz w:val="26"/>
          <w:szCs w:val="26"/>
          <w:rtl/>
        </w:rPr>
      </w:pPr>
      <w:r w:rsidRPr="000A3FA0">
        <w:rPr>
          <w:rFonts w:cs="FrankRuehl"/>
          <w:sz w:val="26"/>
          <w:szCs w:val="26"/>
          <w:rtl/>
        </w:rPr>
        <w:t>האישור ייכנס לתקפו, אם לא יעוכב ע"י ועדת הכספים של הכנסת, לאחר 21 יום מתאריך מכתב זה.</w:t>
      </w:r>
    </w:p>
    <w:p w14:paraId="44415862" w14:textId="77777777" w:rsidR="0051496B" w:rsidRPr="000A3FA0" w:rsidRDefault="0051496B" w:rsidP="00A6761F">
      <w:pPr>
        <w:jc w:val="both"/>
        <w:rPr>
          <w:rFonts w:cs="FrankRuehl"/>
          <w:sz w:val="26"/>
          <w:szCs w:val="26"/>
          <w:rtl/>
        </w:rPr>
      </w:pPr>
    </w:p>
    <w:p w14:paraId="19E88E1B" w14:textId="77777777" w:rsidR="0051496B" w:rsidRPr="000A3FA0" w:rsidRDefault="0051496B" w:rsidP="00A6761F">
      <w:pPr>
        <w:jc w:val="both"/>
        <w:rPr>
          <w:rFonts w:cs="FrankRuehl"/>
          <w:sz w:val="26"/>
          <w:szCs w:val="26"/>
          <w:rtl/>
        </w:rPr>
      </w:pPr>
    </w:p>
    <w:p w14:paraId="09A067DF" w14:textId="77777777" w:rsidR="0051496B" w:rsidRPr="000A3FA0" w:rsidRDefault="0051496B" w:rsidP="00AC0FB8">
      <w:pPr>
        <w:tabs>
          <w:tab w:val="left" w:pos="6416"/>
          <w:tab w:val="center" w:pos="6867"/>
        </w:tabs>
        <w:rPr>
          <w:rFonts w:cs="FrankRuehl"/>
          <w:sz w:val="26"/>
          <w:szCs w:val="26"/>
          <w:rtl/>
        </w:rPr>
      </w:pPr>
      <w:r w:rsidRPr="000A3FA0">
        <w:rPr>
          <w:rFonts w:cs="FrankRuehl"/>
          <w:sz w:val="26"/>
          <w:szCs w:val="26"/>
          <w:rtl/>
        </w:rPr>
        <w:lastRenderedPageBreak/>
        <w:tab/>
      </w:r>
      <w:r w:rsidR="00AC0FB8">
        <w:rPr>
          <w:rFonts w:cs="FrankRuehl"/>
          <w:sz w:val="26"/>
          <w:szCs w:val="26"/>
          <w:rtl/>
        </w:rPr>
        <w:tab/>
      </w:r>
      <w:r w:rsidRPr="000A3FA0">
        <w:rPr>
          <w:rFonts w:cs="FrankRuehl"/>
          <w:sz w:val="26"/>
          <w:szCs w:val="26"/>
          <w:rtl/>
        </w:rPr>
        <w:t>בכבוד רב,</w:t>
      </w:r>
    </w:p>
    <w:p w14:paraId="69BD831E" w14:textId="77777777" w:rsidR="0051496B" w:rsidRDefault="0051496B">
      <w:pPr>
        <w:tabs>
          <w:tab w:val="center" w:pos="6867"/>
        </w:tabs>
        <w:rPr>
          <w:rFonts w:cs="FrankRuehl"/>
          <w:sz w:val="26"/>
          <w:szCs w:val="26"/>
          <w:rtl/>
        </w:rPr>
      </w:pPr>
    </w:p>
    <w:p w14:paraId="265BFD14" w14:textId="77777777" w:rsidR="00AC0FB8" w:rsidRPr="000A3FA0" w:rsidRDefault="00AC0FB8">
      <w:pPr>
        <w:tabs>
          <w:tab w:val="center" w:pos="6867"/>
        </w:tabs>
        <w:rPr>
          <w:rFonts w:cs="FrankRuehl"/>
          <w:sz w:val="26"/>
          <w:szCs w:val="26"/>
        </w:rPr>
      </w:pPr>
      <w:r>
        <w:rPr>
          <w:rFonts w:cs="FrankRuehl"/>
          <w:sz w:val="26"/>
          <w:szCs w:val="26"/>
          <w:rtl/>
        </w:rPr>
        <w:tab/>
      </w:r>
      <w:bookmarkStart w:id="12" w:name="Sign_Image"/>
      <w:bookmarkEnd w:id="12"/>
    </w:p>
    <w:p w14:paraId="3208A050" w14:textId="77777777" w:rsidR="0051496B" w:rsidRPr="000A3FA0" w:rsidRDefault="0051496B">
      <w:pPr>
        <w:tabs>
          <w:tab w:val="center" w:pos="6867"/>
        </w:tabs>
        <w:rPr>
          <w:rFonts w:cs="FrankRuehl"/>
          <w:sz w:val="26"/>
          <w:szCs w:val="26"/>
          <w:rtl/>
        </w:rPr>
      </w:pPr>
    </w:p>
    <w:p w14:paraId="0FFAF1CF" w14:textId="77777777" w:rsidR="0051496B" w:rsidRPr="000A3FA0" w:rsidRDefault="0051496B">
      <w:pPr>
        <w:tabs>
          <w:tab w:val="center" w:pos="6867"/>
        </w:tabs>
        <w:rPr>
          <w:rFonts w:cs="FrankRuehl"/>
          <w:sz w:val="26"/>
          <w:szCs w:val="26"/>
        </w:rPr>
      </w:pPr>
      <w:r w:rsidRPr="000A3FA0">
        <w:rPr>
          <w:rFonts w:cs="FrankRuehl"/>
          <w:sz w:val="26"/>
          <w:szCs w:val="26"/>
          <w:rtl/>
        </w:rPr>
        <w:tab/>
      </w:r>
    </w:p>
    <w:p w14:paraId="291B5663" w14:textId="77777777" w:rsidR="0051496B" w:rsidRPr="000A3FA0" w:rsidRDefault="0051496B" w:rsidP="000062C3">
      <w:pPr>
        <w:tabs>
          <w:tab w:val="center" w:pos="6867"/>
        </w:tabs>
        <w:rPr>
          <w:rFonts w:cs="FrankRuehl"/>
          <w:sz w:val="26"/>
          <w:szCs w:val="26"/>
          <w:rtl/>
        </w:rPr>
      </w:pPr>
      <w:r w:rsidRPr="000A3FA0">
        <w:rPr>
          <w:rFonts w:cs="FrankRuehl"/>
          <w:sz w:val="26"/>
          <w:szCs w:val="26"/>
          <w:rtl/>
        </w:rPr>
        <w:tab/>
      </w:r>
    </w:p>
    <w:p w14:paraId="18CDD2AF" w14:textId="77777777" w:rsidR="0051496B" w:rsidRPr="000A3FA0" w:rsidRDefault="0051496B">
      <w:pPr>
        <w:rPr>
          <w:rFonts w:cs="FrankRuehl"/>
          <w:sz w:val="26"/>
          <w:szCs w:val="26"/>
          <w:rtl/>
        </w:rPr>
      </w:pPr>
    </w:p>
    <w:p w14:paraId="2B183853" w14:textId="77777777" w:rsidR="0051496B" w:rsidRPr="000A3FA0" w:rsidRDefault="0051496B">
      <w:pPr>
        <w:rPr>
          <w:rFonts w:cs="FrankRuehl"/>
          <w:sz w:val="26"/>
          <w:szCs w:val="26"/>
          <w:rtl/>
        </w:rPr>
      </w:pPr>
      <w:r w:rsidRPr="000A3FA0">
        <w:rPr>
          <w:rFonts w:cs="FrankRuehl"/>
          <w:sz w:val="26"/>
          <w:szCs w:val="26"/>
          <w:rtl/>
        </w:rPr>
        <w:t>העתק:</w:t>
      </w:r>
    </w:p>
    <w:p w14:paraId="5B359D32" w14:textId="77777777" w:rsidR="0051496B" w:rsidRPr="000A3FA0" w:rsidRDefault="0051496B">
      <w:pPr>
        <w:rPr>
          <w:rFonts w:cs="FrankRuehl"/>
          <w:sz w:val="26"/>
          <w:szCs w:val="26"/>
          <w:rtl/>
        </w:rPr>
      </w:pPr>
      <w:r w:rsidRPr="000A3FA0">
        <w:rPr>
          <w:rFonts w:cs="FrankRuehl"/>
          <w:sz w:val="26"/>
          <w:szCs w:val="26"/>
          <w:rtl/>
        </w:rPr>
        <w:t>החשב הכללי</w:t>
      </w:r>
    </w:p>
    <w:p w14:paraId="32DC6739" w14:textId="77777777" w:rsidR="0051496B" w:rsidRPr="000A3FA0" w:rsidRDefault="0051496B">
      <w:pPr>
        <w:rPr>
          <w:rFonts w:cs="FrankRuehl"/>
          <w:sz w:val="26"/>
          <w:szCs w:val="26"/>
          <w:rtl/>
        </w:rPr>
      </w:pPr>
      <w:r w:rsidRPr="000A3FA0">
        <w:rPr>
          <w:rFonts w:cs="FrankRuehl"/>
          <w:sz w:val="26"/>
          <w:szCs w:val="26"/>
          <w:rtl/>
        </w:rPr>
        <w:t>מבקר המדינה (2)</w:t>
      </w:r>
    </w:p>
    <w:p w14:paraId="4C70CA4D" w14:textId="1E509339" w:rsidR="0051496B" w:rsidRPr="000A3FA0" w:rsidRDefault="0041731B">
      <w:pPr>
        <w:rPr>
          <w:rFonts w:cs="FrankRuehl"/>
          <w:sz w:val="26"/>
          <w:szCs w:val="26"/>
          <w:rtl/>
        </w:rPr>
      </w:pPr>
      <w:bookmarkStart w:id="13" w:name="TAKZIV22"/>
      <w:r>
        <w:rPr>
          <w:rFonts w:cs="FrankRuehl"/>
          <w:sz w:val="26"/>
          <w:szCs w:val="26"/>
          <w:rtl/>
        </w:rPr>
        <w:t>חשב משרד החוץ</w:t>
      </w:r>
      <w:bookmarkEnd w:id="13"/>
    </w:p>
    <w:p w14:paraId="1E0DC896" w14:textId="0DBAC7AA" w:rsidR="0051496B" w:rsidRPr="000A3FA0" w:rsidRDefault="0051496B">
      <w:pPr>
        <w:rPr>
          <w:rFonts w:cs="FrankRuehl"/>
          <w:sz w:val="26"/>
          <w:szCs w:val="26"/>
          <w:rtl/>
        </w:rPr>
      </w:pPr>
      <w:r w:rsidRPr="000A3FA0">
        <w:rPr>
          <w:rFonts w:cs="FrankRuehl"/>
          <w:sz w:val="26"/>
          <w:szCs w:val="26"/>
          <w:rtl/>
        </w:rPr>
        <w:t xml:space="preserve">קצין תקציבים </w:t>
      </w:r>
      <w:bookmarkStart w:id="14" w:name="TAKZIV6"/>
      <w:r w:rsidR="0041731B">
        <w:rPr>
          <w:rFonts w:cs="FrankRuehl"/>
          <w:sz w:val="26"/>
          <w:szCs w:val="26"/>
          <w:rtl/>
        </w:rPr>
        <w:t>משרד החוץ</w:t>
      </w:r>
      <w:bookmarkEnd w:id="14"/>
    </w:p>
    <w:p w14:paraId="11D4E974" w14:textId="518A8FC3" w:rsidR="0051496B" w:rsidRPr="000A3FA0" w:rsidRDefault="0051496B">
      <w:pPr>
        <w:rPr>
          <w:rFonts w:cs="FrankRuehl"/>
          <w:sz w:val="26"/>
          <w:szCs w:val="26"/>
          <w:rtl/>
        </w:rPr>
      </w:pPr>
      <w:r w:rsidRPr="000A3FA0">
        <w:rPr>
          <w:rFonts w:cs="FrankRuehl"/>
          <w:sz w:val="26"/>
          <w:szCs w:val="26"/>
          <w:rtl/>
        </w:rPr>
        <w:t xml:space="preserve">רפרנט </w:t>
      </w:r>
      <w:bookmarkStart w:id="15" w:name="TAKZIV6_1"/>
      <w:r w:rsidR="0041731B">
        <w:rPr>
          <w:rFonts w:cs="FrankRuehl"/>
          <w:sz w:val="26"/>
          <w:szCs w:val="26"/>
          <w:rtl/>
        </w:rPr>
        <w:t>משרד החוץ</w:t>
      </w:r>
      <w:bookmarkEnd w:id="15"/>
    </w:p>
    <w:p w14:paraId="300CBB24" w14:textId="10DED472" w:rsidR="0051496B" w:rsidRPr="000A3FA0" w:rsidRDefault="0041731B">
      <w:pPr>
        <w:rPr>
          <w:rFonts w:cs="FrankRuehl"/>
          <w:sz w:val="26"/>
          <w:szCs w:val="26"/>
          <w:rtl/>
        </w:rPr>
      </w:pPr>
      <w:bookmarkStart w:id="16" w:name="TAKZIV23"/>
      <w:r>
        <w:rPr>
          <w:rFonts w:cs="FrankRuehl"/>
          <w:sz w:val="26"/>
          <w:szCs w:val="26"/>
          <w:rtl/>
        </w:rPr>
        <w:t>נציבות שירות המדינה</w:t>
      </w:r>
      <w:bookmarkEnd w:id="16"/>
    </w:p>
    <w:p w14:paraId="7374302A" w14:textId="77777777" w:rsidR="0051496B" w:rsidRPr="000A3FA0" w:rsidRDefault="0051496B">
      <w:pPr>
        <w:rPr>
          <w:rFonts w:cs="FrankRuehl"/>
          <w:sz w:val="26"/>
          <w:szCs w:val="26"/>
          <w:rtl/>
        </w:rPr>
      </w:pPr>
    </w:p>
    <w:p w14:paraId="4B689E2A" w14:textId="575866AC" w:rsidR="0051496B" w:rsidRDefault="0051496B">
      <w:pPr>
        <w:rPr>
          <w:rFonts w:cs="FrankRuehl"/>
          <w:sz w:val="26"/>
          <w:szCs w:val="26"/>
          <w:rtl/>
        </w:rPr>
      </w:pPr>
      <w:bookmarkStart w:id="17" w:name="TAKZIV25"/>
      <w:bookmarkEnd w:id="17"/>
    </w:p>
    <w:p w14:paraId="7567AB40" w14:textId="6BE4891B" w:rsidR="00615D59" w:rsidRDefault="00615D59">
      <w:pPr>
        <w:rPr>
          <w:rFonts w:cs="FrankRuehl"/>
          <w:sz w:val="26"/>
          <w:szCs w:val="26"/>
          <w:rtl/>
        </w:rPr>
      </w:pPr>
    </w:p>
    <w:p w14:paraId="396CCE9D" w14:textId="1E3F35FA" w:rsidR="00615D59" w:rsidRDefault="00615D59">
      <w:pPr>
        <w:rPr>
          <w:rFonts w:cs="FrankRuehl"/>
          <w:sz w:val="26"/>
          <w:szCs w:val="26"/>
          <w:rtl/>
        </w:rPr>
      </w:pPr>
    </w:p>
    <w:p w14:paraId="7A068298" w14:textId="66CD0C0F" w:rsidR="00615D59" w:rsidRDefault="00615D59">
      <w:pPr>
        <w:rPr>
          <w:rFonts w:cs="FrankRuehl"/>
          <w:sz w:val="26"/>
          <w:szCs w:val="26"/>
          <w:rtl/>
        </w:rPr>
      </w:pPr>
    </w:p>
    <w:p w14:paraId="63548B9D" w14:textId="3D7D0304" w:rsidR="00615D59" w:rsidRDefault="00615D59">
      <w:pPr>
        <w:rPr>
          <w:rFonts w:cs="FrankRuehl"/>
          <w:sz w:val="26"/>
          <w:szCs w:val="26"/>
          <w:rtl/>
        </w:rPr>
      </w:pPr>
    </w:p>
    <w:p w14:paraId="7FE98964" w14:textId="3D48B278" w:rsidR="00615D59" w:rsidRDefault="00615D59">
      <w:pPr>
        <w:rPr>
          <w:rFonts w:cs="FrankRuehl"/>
          <w:sz w:val="26"/>
          <w:szCs w:val="26"/>
          <w:rtl/>
        </w:rPr>
      </w:pPr>
    </w:p>
    <w:p w14:paraId="28F38A39" w14:textId="220A8460" w:rsidR="00615D59" w:rsidRDefault="00615D59">
      <w:pPr>
        <w:rPr>
          <w:rFonts w:cs="FrankRuehl"/>
          <w:sz w:val="26"/>
          <w:szCs w:val="26"/>
          <w:rtl/>
        </w:rPr>
      </w:pPr>
    </w:p>
    <w:p w14:paraId="08851E49" w14:textId="75E78DF7" w:rsidR="00615D59" w:rsidRDefault="00615D59">
      <w:pPr>
        <w:rPr>
          <w:rFonts w:cs="FrankRuehl"/>
          <w:sz w:val="26"/>
          <w:szCs w:val="26"/>
          <w:rtl/>
        </w:rPr>
      </w:pPr>
    </w:p>
    <w:p w14:paraId="4F3E2674" w14:textId="1E56155F" w:rsidR="00615D59" w:rsidRDefault="00615D59">
      <w:pPr>
        <w:rPr>
          <w:rFonts w:cs="FrankRuehl"/>
          <w:sz w:val="26"/>
          <w:szCs w:val="26"/>
          <w:rtl/>
        </w:rPr>
      </w:pPr>
    </w:p>
    <w:p w14:paraId="677EA032" w14:textId="7FD49153" w:rsidR="00615D59" w:rsidRDefault="00615D59">
      <w:pPr>
        <w:rPr>
          <w:rFonts w:cs="FrankRuehl"/>
          <w:sz w:val="26"/>
          <w:szCs w:val="26"/>
          <w:rtl/>
        </w:rPr>
      </w:pPr>
    </w:p>
    <w:p w14:paraId="18D82453" w14:textId="36F651B4" w:rsidR="00615D59" w:rsidRDefault="00615D59">
      <w:pPr>
        <w:rPr>
          <w:rFonts w:cs="FrankRuehl"/>
          <w:sz w:val="26"/>
          <w:szCs w:val="26"/>
          <w:rtl/>
        </w:rPr>
      </w:pPr>
    </w:p>
    <w:p w14:paraId="22A94028" w14:textId="520F093C" w:rsidR="00615D59" w:rsidRDefault="00615D59">
      <w:pPr>
        <w:rPr>
          <w:rFonts w:cs="FrankRuehl"/>
          <w:sz w:val="26"/>
          <w:szCs w:val="26"/>
          <w:rtl/>
        </w:rPr>
      </w:pPr>
    </w:p>
    <w:p w14:paraId="25E2204F" w14:textId="6EFE448C" w:rsidR="00615D59" w:rsidRDefault="00615D59">
      <w:pPr>
        <w:rPr>
          <w:rFonts w:cs="FrankRuehl"/>
          <w:sz w:val="26"/>
          <w:szCs w:val="26"/>
          <w:rtl/>
        </w:rPr>
      </w:pPr>
    </w:p>
    <w:p w14:paraId="2B98A480" w14:textId="19EB7CDF" w:rsidR="00615D59" w:rsidRDefault="00615D59">
      <w:pPr>
        <w:rPr>
          <w:rFonts w:cs="FrankRuehl"/>
          <w:sz w:val="26"/>
          <w:szCs w:val="26"/>
          <w:rtl/>
        </w:rPr>
      </w:pPr>
    </w:p>
    <w:p w14:paraId="7A223D97" w14:textId="0EA1CE1B" w:rsidR="00615D59" w:rsidRDefault="00615D59">
      <w:pPr>
        <w:rPr>
          <w:rFonts w:cs="FrankRuehl"/>
          <w:sz w:val="26"/>
          <w:szCs w:val="26"/>
          <w:rtl/>
        </w:rPr>
      </w:pPr>
    </w:p>
    <w:p w14:paraId="706CAC36" w14:textId="14177B9F" w:rsidR="00615D59" w:rsidRDefault="00615D59">
      <w:pPr>
        <w:rPr>
          <w:rFonts w:cs="FrankRuehl"/>
          <w:sz w:val="26"/>
          <w:szCs w:val="26"/>
          <w:rtl/>
        </w:rPr>
      </w:pPr>
    </w:p>
    <w:p w14:paraId="63EE3ABB" w14:textId="45500C13" w:rsidR="00615D59" w:rsidRDefault="00615D59">
      <w:pPr>
        <w:rPr>
          <w:rFonts w:cs="FrankRuehl"/>
          <w:sz w:val="26"/>
          <w:szCs w:val="26"/>
          <w:rtl/>
        </w:rPr>
      </w:pPr>
    </w:p>
    <w:p w14:paraId="2AEBFD36" w14:textId="3A5DBEF5" w:rsidR="00615D59" w:rsidRDefault="00615D59">
      <w:pPr>
        <w:rPr>
          <w:rFonts w:cs="FrankRuehl"/>
          <w:sz w:val="26"/>
          <w:szCs w:val="26"/>
          <w:rtl/>
        </w:rPr>
      </w:pPr>
    </w:p>
    <w:p w14:paraId="39739BA4" w14:textId="2326A5DE" w:rsidR="00615D59" w:rsidRDefault="00615D59">
      <w:pPr>
        <w:rPr>
          <w:rFonts w:cs="FrankRuehl"/>
          <w:sz w:val="26"/>
          <w:szCs w:val="26"/>
          <w:rtl/>
        </w:rPr>
      </w:pPr>
    </w:p>
    <w:p w14:paraId="1CB5ED79" w14:textId="0A63FACD" w:rsidR="00615D59" w:rsidRDefault="00615D59">
      <w:pPr>
        <w:rPr>
          <w:rFonts w:cs="FrankRuehl"/>
          <w:sz w:val="26"/>
          <w:szCs w:val="26"/>
          <w:rtl/>
        </w:rPr>
      </w:pPr>
    </w:p>
    <w:p w14:paraId="389934A8" w14:textId="6885F4FC" w:rsidR="00615D59" w:rsidRDefault="00615D59">
      <w:pPr>
        <w:rPr>
          <w:rFonts w:cs="FrankRuehl"/>
          <w:sz w:val="26"/>
          <w:szCs w:val="26"/>
          <w:rtl/>
        </w:rPr>
      </w:pPr>
    </w:p>
    <w:p w14:paraId="76144D39" w14:textId="03E37035" w:rsidR="00615D59" w:rsidRDefault="00615D59">
      <w:pPr>
        <w:rPr>
          <w:rFonts w:cs="FrankRuehl"/>
          <w:sz w:val="26"/>
          <w:szCs w:val="26"/>
          <w:rtl/>
        </w:rPr>
      </w:pPr>
    </w:p>
    <w:p w14:paraId="47545554" w14:textId="095A5A93" w:rsidR="00615D59" w:rsidRDefault="00615D59">
      <w:pPr>
        <w:rPr>
          <w:rFonts w:cs="FrankRuehl"/>
          <w:sz w:val="26"/>
          <w:szCs w:val="26"/>
          <w:rtl/>
        </w:rPr>
      </w:pPr>
    </w:p>
    <w:p w14:paraId="6A5171D2" w14:textId="51887CE0" w:rsidR="00615D59" w:rsidRDefault="00615D59">
      <w:pPr>
        <w:rPr>
          <w:rFonts w:cs="FrankRuehl"/>
          <w:sz w:val="26"/>
          <w:szCs w:val="26"/>
          <w:rtl/>
        </w:rPr>
      </w:pPr>
    </w:p>
    <w:p w14:paraId="7C2B7350" w14:textId="29F3D161" w:rsidR="00615D59" w:rsidRDefault="00615D59">
      <w:pPr>
        <w:rPr>
          <w:rFonts w:cs="FrankRuehl"/>
          <w:sz w:val="26"/>
          <w:szCs w:val="26"/>
          <w:rtl/>
        </w:rPr>
      </w:pPr>
    </w:p>
    <w:p w14:paraId="09B43FE5" w14:textId="6303FCDF" w:rsidR="00615D59" w:rsidRDefault="00615D59">
      <w:pPr>
        <w:rPr>
          <w:rFonts w:cs="FrankRuehl"/>
          <w:sz w:val="26"/>
          <w:szCs w:val="26"/>
          <w:rtl/>
        </w:rPr>
      </w:pPr>
    </w:p>
    <w:p w14:paraId="2B08D832" w14:textId="0D5AC032" w:rsidR="00615D59" w:rsidRDefault="00615D59">
      <w:pPr>
        <w:rPr>
          <w:rFonts w:cs="FrankRuehl"/>
          <w:sz w:val="26"/>
          <w:szCs w:val="26"/>
          <w:rtl/>
        </w:rPr>
      </w:pPr>
    </w:p>
    <w:p w14:paraId="6D8C0352" w14:textId="2F6853BB" w:rsidR="00615D59" w:rsidRDefault="00615D59">
      <w:pPr>
        <w:rPr>
          <w:rFonts w:cs="FrankRuehl"/>
          <w:sz w:val="26"/>
          <w:szCs w:val="26"/>
          <w:rtl/>
        </w:rPr>
      </w:pPr>
    </w:p>
    <w:p w14:paraId="5060F8FC" w14:textId="333CC366" w:rsidR="00615D59" w:rsidRDefault="00615D59">
      <w:pPr>
        <w:rPr>
          <w:rFonts w:cs="FrankRuehl"/>
          <w:sz w:val="26"/>
          <w:szCs w:val="26"/>
          <w:rtl/>
        </w:rPr>
      </w:pPr>
    </w:p>
    <w:p w14:paraId="3D20F074" w14:textId="33B56829" w:rsidR="00615D59" w:rsidRDefault="00615D59">
      <w:pPr>
        <w:rPr>
          <w:rFonts w:cs="FrankRuehl"/>
          <w:sz w:val="26"/>
          <w:szCs w:val="26"/>
          <w:rtl/>
        </w:rPr>
      </w:pPr>
    </w:p>
    <w:p w14:paraId="5169B473" w14:textId="5F3C8B86" w:rsidR="00615D59" w:rsidRDefault="00615D59">
      <w:pPr>
        <w:rPr>
          <w:rFonts w:cs="FrankRuehl"/>
          <w:sz w:val="26"/>
          <w:szCs w:val="26"/>
          <w:rtl/>
        </w:rPr>
      </w:pPr>
    </w:p>
    <w:p w14:paraId="30C1752A" w14:textId="08B88BCD" w:rsidR="00615D59" w:rsidRDefault="00615D59">
      <w:pPr>
        <w:rPr>
          <w:rFonts w:cs="FrankRuehl"/>
          <w:sz w:val="26"/>
          <w:szCs w:val="26"/>
          <w:rtl/>
        </w:rPr>
      </w:pPr>
    </w:p>
    <w:p w14:paraId="2AD7EC26" w14:textId="388B3BE1" w:rsidR="00615D59" w:rsidRDefault="00615D59">
      <w:pPr>
        <w:rPr>
          <w:rFonts w:cs="FrankRuehl"/>
          <w:sz w:val="26"/>
          <w:szCs w:val="26"/>
          <w:rtl/>
        </w:rPr>
      </w:pPr>
    </w:p>
    <w:p w14:paraId="50850AEB" w14:textId="1B00AD98" w:rsidR="00615D59" w:rsidRDefault="00615D59">
      <w:pPr>
        <w:rPr>
          <w:rFonts w:cs="FrankRuehl"/>
          <w:sz w:val="26"/>
          <w:szCs w:val="26"/>
          <w:rtl/>
        </w:rPr>
      </w:pPr>
    </w:p>
    <w:p w14:paraId="041059FE" w14:textId="02591A7A" w:rsidR="00615D59" w:rsidRDefault="00615D59">
      <w:pPr>
        <w:rPr>
          <w:rFonts w:cs="FrankRuehl"/>
          <w:sz w:val="26"/>
          <w:szCs w:val="26"/>
          <w:rtl/>
        </w:rPr>
      </w:pPr>
    </w:p>
    <w:p w14:paraId="2F596C73" w14:textId="14A23F1D" w:rsidR="00615D59" w:rsidRDefault="00615D59">
      <w:pPr>
        <w:rPr>
          <w:rFonts w:cs="FrankRuehl"/>
          <w:sz w:val="26"/>
          <w:szCs w:val="26"/>
          <w:rtl/>
        </w:rPr>
      </w:pPr>
    </w:p>
    <w:p w14:paraId="2F5C0305" w14:textId="77EC953B" w:rsidR="00615D59" w:rsidRDefault="00615D59">
      <w:pPr>
        <w:rPr>
          <w:rFonts w:cs="FrankRuehl"/>
          <w:sz w:val="26"/>
          <w:szCs w:val="26"/>
          <w:rtl/>
        </w:rPr>
      </w:pPr>
    </w:p>
    <w:p w14:paraId="03D97523" w14:textId="77777777" w:rsidR="00615D59" w:rsidRDefault="00615D59" w:rsidP="00615D59">
      <w:pPr>
        <w:jc w:val="center"/>
        <w:rPr>
          <w:rFonts w:cs="FrankRuehl"/>
          <w:b/>
          <w:bCs/>
          <w:sz w:val="26"/>
          <w:szCs w:val="26"/>
          <w:u w:val="single"/>
          <w:lang w:eastAsia="en-US"/>
        </w:rPr>
      </w:pPr>
      <w:r>
        <w:rPr>
          <w:rFonts w:cs="FrankRuehl"/>
          <w:b/>
          <w:bCs/>
          <w:sz w:val="26"/>
          <w:szCs w:val="26"/>
          <w:u w:val="single"/>
          <w:rtl/>
        </w:rPr>
        <w:lastRenderedPageBreak/>
        <w:t>נספח לדברי ההסבר</w:t>
      </w:r>
    </w:p>
    <w:p w14:paraId="486F754A" w14:textId="77777777" w:rsidR="00615D59" w:rsidRDefault="00615D59" w:rsidP="00615D59">
      <w:pPr>
        <w:jc w:val="center"/>
        <w:rPr>
          <w:rFonts w:cs="FrankRuehl"/>
          <w:b/>
          <w:bCs/>
          <w:sz w:val="26"/>
          <w:szCs w:val="26"/>
          <w:u w:val="single"/>
        </w:rPr>
      </w:pPr>
    </w:p>
    <w:p w14:paraId="76F36CD9" w14:textId="77777777" w:rsidR="00615D59" w:rsidRDefault="00615D59" w:rsidP="00615D59">
      <w:pPr>
        <w:jc w:val="center"/>
        <w:rPr>
          <w:rFonts w:cs="FrankRuehl"/>
          <w:b/>
          <w:bCs/>
          <w:sz w:val="26"/>
          <w:szCs w:val="26"/>
          <w:rtl/>
        </w:rPr>
      </w:pPr>
      <w:r>
        <w:rPr>
          <w:rFonts w:cs="FrankRuehl"/>
          <w:b/>
          <w:bCs/>
          <w:sz w:val="26"/>
          <w:szCs w:val="26"/>
          <w:rtl/>
        </w:rPr>
        <w:t>היסטוריה תקציבית של הפנייה</w:t>
      </w:r>
    </w:p>
    <w:p w14:paraId="4A25DE09" w14:textId="7A1F1957" w:rsidR="00615D59" w:rsidRDefault="00615D59">
      <w:pPr>
        <w:rPr>
          <w:rFonts w:cs="FrankRuehl"/>
          <w:sz w:val="26"/>
          <w:szCs w:val="26"/>
          <w:rtl/>
        </w:rPr>
      </w:pPr>
    </w:p>
    <w:tbl>
      <w:tblPr>
        <w:tblW w:w="5000" w:type="pct"/>
        <w:tblLook w:val="04A0" w:firstRow="1" w:lastRow="0" w:firstColumn="1" w:lastColumn="0" w:noHBand="0" w:noVBand="1"/>
      </w:tblPr>
      <w:tblGrid>
        <w:gridCol w:w="1650"/>
        <w:gridCol w:w="1894"/>
        <w:gridCol w:w="1650"/>
        <w:gridCol w:w="1650"/>
        <w:gridCol w:w="1679"/>
      </w:tblGrid>
      <w:tr w:rsidR="00615D59" w:rsidRPr="00615D59" w14:paraId="38DF9EE4" w14:textId="77777777" w:rsidTr="00615D59">
        <w:trPr>
          <w:trHeight w:val="675"/>
        </w:trPr>
        <w:tc>
          <w:tcPr>
            <w:tcW w:w="968" w:type="pct"/>
            <w:tcBorders>
              <w:top w:val="single" w:sz="4" w:space="0" w:color="979991"/>
              <w:left w:val="single" w:sz="4" w:space="0" w:color="979991"/>
              <w:bottom w:val="nil"/>
              <w:right w:val="nil"/>
            </w:tcBorders>
            <w:shd w:val="clear" w:color="000000" w:fill="F0F4FA"/>
            <w:vAlign w:val="center"/>
            <w:hideMark/>
          </w:tcPr>
          <w:p w14:paraId="49D68084" w14:textId="77777777" w:rsidR="00615D59" w:rsidRPr="00615D59" w:rsidRDefault="00615D59" w:rsidP="00615D59">
            <w:pPr>
              <w:overflowPunct/>
              <w:autoSpaceDE/>
              <w:autoSpaceDN/>
              <w:adjustRightInd/>
              <w:jc w:val="center"/>
              <w:textAlignment w:val="auto"/>
              <w:rPr>
                <w:rFonts w:ascii="Calibri" w:hAnsi="Calibri" w:cs="Calibri"/>
                <w:b/>
                <w:bCs/>
                <w:color w:val="000000"/>
                <w:sz w:val="16"/>
                <w:szCs w:val="16"/>
                <w:lang w:eastAsia="en-US"/>
              </w:rPr>
            </w:pPr>
            <w:r w:rsidRPr="00615D59">
              <w:rPr>
                <w:rFonts w:ascii="Calibri" w:hAnsi="Calibri" w:cs="Calibri"/>
                <w:b/>
                <w:bCs/>
                <w:color w:val="000000"/>
                <w:sz w:val="16"/>
                <w:szCs w:val="16"/>
                <w:rtl/>
                <w:lang w:eastAsia="en-US"/>
              </w:rPr>
              <w:t>קוד תוכנית</w:t>
            </w:r>
          </w:p>
        </w:tc>
        <w:tc>
          <w:tcPr>
            <w:tcW w:w="1111" w:type="pct"/>
            <w:tcBorders>
              <w:top w:val="single" w:sz="4" w:space="0" w:color="979991"/>
              <w:left w:val="single" w:sz="4" w:space="0" w:color="979991"/>
              <w:bottom w:val="single" w:sz="4" w:space="0" w:color="979991"/>
              <w:right w:val="nil"/>
            </w:tcBorders>
            <w:shd w:val="clear" w:color="000000" w:fill="F0F4FA"/>
            <w:vAlign w:val="center"/>
            <w:hideMark/>
          </w:tcPr>
          <w:p w14:paraId="450D26F6" w14:textId="77777777" w:rsidR="00615D59" w:rsidRPr="00615D59" w:rsidRDefault="00615D59" w:rsidP="00615D59">
            <w:pPr>
              <w:overflowPunct/>
              <w:autoSpaceDE/>
              <w:autoSpaceDN/>
              <w:adjustRightInd/>
              <w:jc w:val="center"/>
              <w:textAlignment w:val="auto"/>
              <w:rPr>
                <w:rFonts w:ascii="Calibri" w:hAnsi="Calibri" w:cs="Calibri"/>
                <w:b/>
                <w:bCs/>
                <w:color w:val="000000"/>
                <w:sz w:val="16"/>
                <w:szCs w:val="16"/>
                <w:rtl/>
                <w:lang w:eastAsia="en-US"/>
              </w:rPr>
            </w:pPr>
            <w:r w:rsidRPr="00615D59">
              <w:rPr>
                <w:rFonts w:ascii="Calibri" w:hAnsi="Calibri" w:cs="Calibri"/>
                <w:b/>
                <w:bCs/>
                <w:color w:val="000000"/>
                <w:sz w:val="16"/>
                <w:szCs w:val="16"/>
                <w:rtl/>
                <w:lang w:eastAsia="en-US"/>
              </w:rPr>
              <w:t>השינוי התקציבי של העודף המוצע בפניה</w:t>
            </w:r>
          </w:p>
        </w:tc>
        <w:tc>
          <w:tcPr>
            <w:tcW w:w="968" w:type="pct"/>
            <w:tcBorders>
              <w:top w:val="single" w:sz="4" w:space="0" w:color="979991"/>
              <w:left w:val="single" w:sz="4" w:space="0" w:color="979991"/>
              <w:bottom w:val="single" w:sz="4" w:space="0" w:color="979991"/>
              <w:right w:val="nil"/>
            </w:tcBorders>
            <w:shd w:val="clear" w:color="000000" w:fill="F0F4FA"/>
            <w:vAlign w:val="center"/>
            <w:hideMark/>
          </w:tcPr>
          <w:p w14:paraId="249C917F" w14:textId="77777777" w:rsidR="00615D59" w:rsidRPr="00615D59" w:rsidRDefault="00615D59" w:rsidP="00615D59">
            <w:pPr>
              <w:overflowPunct/>
              <w:autoSpaceDE/>
              <w:autoSpaceDN/>
              <w:adjustRightInd/>
              <w:jc w:val="center"/>
              <w:textAlignment w:val="auto"/>
              <w:rPr>
                <w:rFonts w:ascii="Calibri" w:hAnsi="Calibri" w:cs="Calibri"/>
                <w:b/>
                <w:bCs/>
                <w:color w:val="000000"/>
                <w:sz w:val="16"/>
                <w:szCs w:val="16"/>
                <w:rtl/>
                <w:lang w:eastAsia="en-US"/>
              </w:rPr>
            </w:pPr>
            <w:r w:rsidRPr="00615D59">
              <w:rPr>
                <w:rFonts w:ascii="Calibri" w:hAnsi="Calibri" w:cs="Calibri"/>
                <w:b/>
                <w:bCs/>
                <w:color w:val="000000"/>
                <w:sz w:val="16"/>
                <w:szCs w:val="16"/>
                <w:rtl/>
                <w:lang w:eastAsia="en-US"/>
              </w:rPr>
              <w:t>סך עודף שהועבר ב-2025</w:t>
            </w:r>
          </w:p>
        </w:tc>
        <w:tc>
          <w:tcPr>
            <w:tcW w:w="968" w:type="pct"/>
            <w:tcBorders>
              <w:top w:val="single" w:sz="4" w:space="0" w:color="979991"/>
              <w:left w:val="single" w:sz="4" w:space="0" w:color="979991"/>
              <w:bottom w:val="single" w:sz="4" w:space="0" w:color="979991"/>
              <w:right w:val="nil"/>
            </w:tcBorders>
            <w:shd w:val="clear" w:color="000000" w:fill="F0F4FA"/>
            <w:vAlign w:val="center"/>
            <w:hideMark/>
          </w:tcPr>
          <w:p w14:paraId="25867EB8" w14:textId="77777777" w:rsidR="00615D59" w:rsidRPr="00615D59" w:rsidRDefault="00615D59" w:rsidP="00615D59">
            <w:pPr>
              <w:overflowPunct/>
              <w:autoSpaceDE/>
              <w:autoSpaceDN/>
              <w:adjustRightInd/>
              <w:jc w:val="center"/>
              <w:textAlignment w:val="auto"/>
              <w:rPr>
                <w:rFonts w:ascii="Calibri" w:hAnsi="Calibri" w:cs="Calibri"/>
                <w:b/>
                <w:bCs/>
                <w:color w:val="000000"/>
                <w:sz w:val="16"/>
                <w:szCs w:val="16"/>
                <w:rtl/>
                <w:lang w:eastAsia="en-US"/>
              </w:rPr>
            </w:pPr>
            <w:r w:rsidRPr="00615D59">
              <w:rPr>
                <w:rFonts w:ascii="Calibri" w:hAnsi="Calibri" w:cs="Calibri"/>
                <w:b/>
                <w:bCs/>
                <w:color w:val="000000"/>
                <w:sz w:val="16"/>
                <w:szCs w:val="16"/>
                <w:rtl/>
                <w:lang w:eastAsia="en-US"/>
              </w:rPr>
              <w:t>סך עודף שהועבר ב-2024</w:t>
            </w:r>
          </w:p>
        </w:tc>
        <w:tc>
          <w:tcPr>
            <w:tcW w:w="986" w:type="pct"/>
            <w:tcBorders>
              <w:top w:val="single" w:sz="4" w:space="0" w:color="979991"/>
              <w:left w:val="single" w:sz="4" w:space="0" w:color="979991"/>
              <w:bottom w:val="single" w:sz="4" w:space="0" w:color="979991"/>
              <w:right w:val="single" w:sz="4" w:space="0" w:color="979991"/>
            </w:tcBorders>
            <w:shd w:val="clear" w:color="000000" w:fill="F0F4FA"/>
            <w:vAlign w:val="center"/>
            <w:hideMark/>
          </w:tcPr>
          <w:p w14:paraId="33B81A8F" w14:textId="77777777" w:rsidR="00615D59" w:rsidRPr="00615D59" w:rsidRDefault="00615D59" w:rsidP="00615D59">
            <w:pPr>
              <w:overflowPunct/>
              <w:autoSpaceDE/>
              <w:autoSpaceDN/>
              <w:adjustRightInd/>
              <w:jc w:val="center"/>
              <w:textAlignment w:val="auto"/>
              <w:rPr>
                <w:rFonts w:ascii="Calibri" w:hAnsi="Calibri" w:cs="Calibri"/>
                <w:b/>
                <w:bCs/>
                <w:color w:val="000000"/>
                <w:sz w:val="16"/>
                <w:szCs w:val="16"/>
                <w:rtl/>
                <w:lang w:eastAsia="en-US"/>
              </w:rPr>
            </w:pPr>
            <w:r w:rsidRPr="00615D59">
              <w:rPr>
                <w:rFonts w:ascii="Calibri" w:hAnsi="Calibri" w:cs="Calibri"/>
                <w:b/>
                <w:bCs/>
                <w:color w:val="000000"/>
                <w:sz w:val="16"/>
                <w:szCs w:val="16"/>
                <w:rtl/>
                <w:lang w:eastAsia="en-US"/>
              </w:rPr>
              <w:t>סך עודף שהועבר ב-2023</w:t>
            </w:r>
          </w:p>
        </w:tc>
      </w:tr>
      <w:tr w:rsidR="00615D59" w:rsidRPr="00615D59" w14:paraId="6B1175ED" w14:textId="77777777" w:rsidTr="00615D59">
        <w:trPr>
          <w:trHeight w:val="300"/>
        </w:trPr>
        <w:tc>
          <w:tcPr>
            <w:tcW w:w="968" w:type="pct"/>
            <w:tcBorders>
              <w:top w:val="single" w:sz="4" w:space="0" w:color="979991"/>
              <w:left w:val="single" w:sz="4" w:space="0" w:color="979991"/>
              <w:bottom w:val="single" w:sz="4" w:space="0" w:color="979991"/>
              <w:right w:val="nil"/>
            </w:tcBorders>
            <w:shd w:val="clear" w:color="000000" w:fill="F0F4FA"/>
            <w:vAlign w:val="center"/>
            <w:hideMark/>
          </w:tcPr>
          <w:p w14:paraId="75DF5A7B" w14:textId="77777777" w:rsidR="00615D59" w:rsidRPr="00615D59" w:rsidRDefault="00615D59" w:rsidP="00615D59">
            <w:pPr>
              <w:overflowPunct/>
              <w:autoSpaceDE/>
              <w:autoSpaceDN/>
              <w:bidi w:val="0"/>
              <w:adjustRightInd/>
              <w:jc w:val="center"/>
              <w:textAlignment w:val="auto"/>
              <w:rPr>
                <w:rFonts w:ascii="Calibri" w:hAnsi="Calibri" w:cs="Calibri"/>
                <w:color w:val="000000"/>
                <w:sz w:val="16"/>
                <w:szCs w:val="16"/>
                <w:rtl/>
                <w:lang w:eastAsia="en-US"/>
              </w:rPr>
            </w:pPr>
            <w:r w:rsidRPr="00615D59">
              <w:rPr>
                <w:rFonts w:ascii="Calibri" w:hAnsi="Calibri" w:cs="Calibri"/>
                <w:color w:val="000000"/>
                <w:sz w:val="16"/>
                <w:szCs w:val="16"/>
                <w:lang w:eastAsia="en-US"/>
              </w:rPr>
              <w:t>095101</w:t>
            </w:r>
          </w:p>
        </w:tc>
        <w:tc>
          <w:tcPr>
            <w:tcW w:w="1111" w:type="pct"/>
            <w:tcBorders>
              <w:top w:val="nil"/>
              <w:left w:val="single" w:sz="4" w:space="0" w:color="979991"/>
              <w:bottom w:val="single" w:sz="4" w:space="0" w:color="979991"/>
              <w:right w:val="nil"/>
            </w:tcBorders>
            <w:shd w:val="clear" w:color="000000" w:fill="FFFFFF"/>
            <w:vAlign w:val="center"/>
            <w:hideMark/>
          </w:tcPr>
          <w:p w14:paraId="149F0FBB" w14:textId="77777777" w:rsidR="00615D59" w:rsidRPr="00615D59" w:rsidRDefault="00615D59" w:rsidP="00615D59">
            <w:pPr>
              <w:overflowPunct/>
              <w:autoSpaceDE/>
              <w:autoSpaceDN/>
              <w:bidi w:val="0"/>
              <w:adjustRightInd/>
              <w:jc w:val="center"/>
              <w:textAlignment w:val="auto"/>
              <w:rPr>
                <w:rFonts w:ascii="Calibri" w:hAnsi="Calibri" w:cs="Calibri"/>
                <w:color w:val="000000"/>
                <w:sz w:val="16"/>
                <w:szCs w:val="16"/>
                <w:lang w:eastAsia="en-US"/>
              </w:rPr>
            </w:pPr>
            <w:r w:rsidRPr="00615D59">
              <w:rPr>
                <w:rFonts w:ascii="Calibri" w:hAnsi="Calibri" w:cs="Calibri"/>
                <w:color w:val="000000"/>
                <w:sz w:val="16"/>
                <w:szCs w:val="16"/>
                <w:lang w:eastAsia="en-US"/>
              </w:rPr>
              <w:t>57,989</w:t>
            </w:r>
          </w:p>
        </w:tc>
        <w:tc>
          <w:tcPr>
            <w:tcW w:w="968" w:type="pct"/>
            <w:tcBorders>
              <w:top w:val="nil"/>
              <w:left w:val="single" w:sz="4" w:space="0" w:color="979991"/>
              <w:bottom w:val="single" w:sz="4" w:space="0" w:color="979991"/>
              <w:right w:val="nil"/>
            </w:tcBorders>
            <w:shd w:val="clear" w:color="000000" w:fill="FFFFFF"/>
            <w:vAlign w:val="center"/>
            <w:hideMark/>
          </w:tcPr>
          <w:p w14:paraId="352B33E7" w14:textId="77777777" w:rsidR="00615D59" w:rsidRPr="00615D59" w:rsidRDefault="00615D59" w:rsidP="00615D59">
            <w:pPr>
              <w:overflowPunct/>
              <w:autoSpaceDE/>
              <w:autoSpaceDN/>
              <w:bidi w:val="0"/>
              <w:adjustRightInd/>
              <w:jc w:val="center"/>
              <w:textAlignment w:val="auto"/>
              <w:rPr>
                <w:rFonts w:ascii="Calibri" w:hAnsi="Calibri" w:cs="Calibri"/>
                <w:color w:val="000000"/>
                <w:sz w:val="16"/>
                <w:szCs w:val="16"/>
                <w:lang w:eastAsia="en-US"/>
              </w:rPr>
            </w:pPr>
            <w:r w:rsidRPr="00615D59">
              <w:rPr>
                <w:rFonts w:ascii="Calibri" w:hAnsi="Calibri" w:cs="Calibri"/>
                <w:color w:val="000000"/>
                <w:sz w:val="16"/>
                <w:szCs w:val="16"/>
                <w:lang w:eastAsia="en-US"/>
              </w:rPr>
              <w:t>25,641</w:t>
            </w:r>
          </w:p>
        </w:tc>
        <w:tc>
          <w:tcPr>
            <w:tcW w:w="968" w:type="pct"/>
            <w:tcBorders>
              <w:top w:val="nil"/>
              <w:left w:val="single" w:sz="4" w:space="0" w:color="979991"/>
              <w:bottom w:val="single" w:sz="4" w:space="0" w:color="979991"/>
              <w:right w:val="nil"/>
            </w:tcBorders>
            <w:shd w:val="clear" w:color="000000" w:fill="FFFFFF"/>
            <w:vAlign w:val="center"/>
            <w:hideMark/>
          </w:tcPr>
          <w:p w14:paraId="5572FCE2" w14:textId="77777777" w:rsidR="00615D59" w:rsidRPr="00615D59" w:rsidRDefault="00615D59" w:rsidP="00615D59">
            <w:pPr>
              <w:overflowPunct/>
              <w:autoSpaceDE/>
              <w:autoSpaceDN/>
              <w:bidi w:val="0"/>
              <w:adjustRightInd/>
              <w:jc w:val="center"/>
              <w:textAlignment w:val="auto"/>
              <w:rPr>
                <w:rFonts w:ascii="Calibri" w:hAnsi="Calibri" w:cs="Calibri"/>
                <w:color w:val="000000"/>
                <w:sz w:val="16"/>
                <w:szCs w:val="16"/>
                <w:lang w:eastAsia="en-US"/>
              </w:rPr>
            </w:pPr>
            <w:r w:rsidRPr="00615D59">
              <w:rPr>
                <w:rFonts w:ascii="Calibri" w:hAnsi="Calibri" w:cs="Calibri"/>
                <w:color w:val="000000"/>
                <w:sz w:val="16"/>
                <w:szCs w:val="16"/>
                <w:lang w:eastAsia="en-US"/>
              </w:rPr>
              <w:t>42,391</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375C4D62" w14:textId="77777777" w:rsidR="00615D59" w:rsidRPr="00615D59" w:rsidRDefault="00615D59" w:rsidP="00615D59">
            <w:pPr>
              <w:overflowPunct/>
              <w:autoSpaceDE/>
              <w:autoSpaceDN/>
              <w:bidi w:val="0"/>
              <w:adjustRightInd/>
              <w:jc w:val="center"/>
              <w:textAlignment w:val="auto"/>
              <w:rPr>
                <w:rFonts w:ascii="Calibri" w:hAnsi="Calibri" w:cs="Calibri"/>
                <w:color w:val="000000"/>
                <w:sz w:val="16"/>
                <w:szCs w:val="16"/>
                <w:lang w:eastAsia="en-US"/>
              </w:rPr>
            </w:pPr>
            <w:r w:rsidRPr="00615D59">
              <w:rPr>
                <w:rFonts w:ascii="Calibri" w:hAnsi="Calibri" w:cs="Calibri"/>
                <w:color w:val="000000"/>
                <w:sz w:val="16"/>
                <w:szCs w:val="16"/>
                <w:lang w:eastAsia="en-US"/>
              </w:rPr>
              <w:t>83,555</w:t>
            </w:r>
          </w:p>
        </w:tc>
      </w:tr>
      <w:tr w:rsidR="00615D59" w:rsidRPr="00615D59" w14:paraId="43DDE6A3" w14:textId="77777777" w:rsidTr="00615D59">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17E5F053" w14:textId="77777777" w:rsidR="00615D59" w:rsidRPr="00615D59" w:rsidRDefault="00615D59" w:rsidP="00615D59">
            <w:pPr>
              <w:overflowPunct/>
              <w:autoSpaceDE/>
              <w:autoSpaceDN/>
              <w:bidi w:val="0"/>
              <w:adjustRightInd/>
              <w:jc w:val="center"/>
              <w:textAlignment w:val="auto"/>
              <w:rPr>
                <w:rFonts w:ascii="Calibri" w:hAnsi="Calibri" w:cs="Calibri"/>
                <w:color w:val="000000"/>
                <w:sz w:val="16"/>
                <w:szCs w:val="16"/>
                <w:lang w:eastAsia="en-US"/>
              </w:rPr>
            </w:pPr>
            <w:r w:rsidRPr="00615D59">
              <w:rPr>
                <w:rFonts w:ascii="Calibri" w:hAnsi="Calibri" w:cs="Calibri"/>
                <w:color w:val="000000"/>
                <w:sz w:val="16"/>
                <w:szCs w:val="16"/>
                <w:lang w:eastAsia="en-US"/>
              </w:rPr>
              <w:t>095102</w:t>
            </w:r>
          </w:p>
        </w:tc>
        <w:tc>
          <w:tcPr>
            <w:tcW w:w="1111" w:type="pct"/>
            <w:tcBorders>
              <w:top w:val="nil"/>
              <w:left w:val="single" w:sz="4" w:space="0" w:color="979991"/>
              <w:bottom w:val="single" w:sz="4" w:space="0" w:color="979991"/>
              <w:right w:val="nil"/>
            </w:tcBorders>
            <w:shd w:val="clear" w:color="000000" w:fill="FFFFFF"/>
            <w:vAlign w:val="center"/>
            <w:hideMark/>
          </w:tcPr>
          <w:p w14:paraId="6B4150EE" w14:textId="77777777" w:rsidR="00615D59" w:rsidRPr="00615D59" w:rsidRDefault="00615D59" w:rsidP="00615D59">
            <w:pPr>
              <w:overflowPunct/>
              <w:autoSpaceDE/>
              <w:autoSpaceDN/>
              <w:bidi w:val="0"/>
              <w:adjustRightInd/>
              <w:jc w:val="center"/>
              <w:textAlignment w:val="auto"/>
              <w:rPr>
                <w:rFonts w:ascii="Calibri" w:hAnsi="Calibri" w:cs="Calibri"/>
                <w:color w:val="000000"/>
                <w:sz w:val="16"/>
                <w:szCs w:val="16"/>
                <w:lang w:eastAsia="en-US"/>
              </w:rPr>
            </w:pPr>
            <w:r w:rsidRPr="00615D59">
              <w:rPr>
                <w:rFonts w:ascii="Calibri" w:hAnsi="Calibri" w:cs="Calibri"/>
                <w:color w:val="000000"/>
                <w:sz w:val="16"/>
                <w:szCs w:val="16"/>
                <w:lang w:eastAsia="en-US"/>
              </w:rPr>
              <w:t>296,067</w:t>
            </w:r>
          </w:p>
        </w:tc>
        <w:tc>
          <w:tcPr>
            <w:tcW w:w="968" w:type="pct"/>
            <w:tcBorders>
              <w:top w:val="nil"/>
              <w:left w:val="single" w:sz="4" w:space="0" w:color="979991"/>
              <w:bottom w:val="single" w:sz="4" w:space="0" w:color="979991"/>
              <w:right w:val="nil"/>
            </w:tcBorders>
            <w:shd w:val="clear" w:color="000000" w:fill="FFFFFF"/>
            <w:vAlign w:val="center"/>
            <w:hideMark/>
          </w:tcPr>
          <w:p w14:paraId="43CA9DD1" w14:textId="77777777" w:rsidR="00615D59" w:rsidRPr="00615D59" w:rsidRDefault="00615D59" w:rsidP="00615D59">
            <w:pPr>
              <w:overflowPunct/>
              <w:autoSpaceDE/>
              <w:autoSpaceDN/>
              <w:bidi w:val="0"/>
              <w:adjustRightInd/>
              <w:jc w:val="center"/>
              <w:textAlignment w:val="auto"/>
              <w:rPr>
                <w:rFonts w:ascii="Calibri" w:hAnsi="Calibri" w:cs="Calibri"/>
                <w:color w:val="000000"/>
                <w:sz w:val="16"/>
                <w:szCs w:val="16"/>
                <w:lang w:eastAsia="en-US"/>
              </w:rPr>
            </w:pPr>
            <w:r w:rsidRPr="00615D59">
              <w:rPr>
                <w:rFonts w:ascii="Calibri" w:hAnsi="Calibri" w:cs="Calibri"/>
                <w:color w:val="000000"/>
                <w:sz w:val="16"/>
                <w:szCs w:val="16"/>
                <w:lang w:eastAsia="en-US"/>
              </w:rPr>
              <w:t>94,825</w:t>
            </w:r>
          </w:p>
        </w:tc>
        <w:tc>
          <w:tcPr>
            <w:tcW w:w="968" w:type="pct"/>
            <w:tcBorders>
              <w:top w:val="nil"/>
              <w:left w:val="single" w:sz="4" w:space="0" w:color="979991"/>
              <w:bottom w:val="single" w:sz="4" w:space="0" w:color="979991"/>
              <w:right w:val="nil"/>
            </w:tcBorders>
            <w:shd w:val="clear" w:color="000000" w:fill="FFFFFF"/>
            <w:vAlign w:val="center"/>
            <w:hideMark/>
          </w:tcPr>
          <w:p w14:paraId="4F152F5F" w14:textId="77777777" w:rsidR="00615D59" w:rsidRPr="00615D59" w:rsidRDefault="00615D59" w:rsidP="00615D59">
            <w:pPr>
              <w:overflowPunct/>
              <w:autoSpaceDE/>
              <w:autoSpaceDN/>
              <w:bidi w:val="0"/>
              <w:adjustRightInd/>
              <w:jc w:val="center"/>
              <w:textAlignment w:val="auto"/>
              <w:rPr>
                <w:rFonts w:ascii="Calibri" w:hAnsi="Calibri" w:cs="Calibri"/>
                <w:color w:val="000000"/>
                <w:sz w:val="16"/>
                <w:szCs w:val="16"/>
                <w:lang w:eastAsia="en-US"/>
              </w:rPr>
            </w:pPr>
            <w:r w:rsidRPr="00615D59">
              <w:rPr>
                <w:rFonts w:ascii="Calibri" w:hAnsi="Calibri" w:cs="Calibri"/>
                <w:color w:val="000000"/>
                <w:sz w:val="16"/>
                <w:szCs w:val="16"/>
                <w:lang w:eastAsia="en-US"/>
              </w:rPr>
              <w:t>92,277</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7AC71E2F" w14:textId="77777777" w:rsidR="00615D59" w:rsidRPr="00615D59" w:rsidRDefault="00615D59" w:rsidP="00615D59">
            <w:pPr>
              <w:overflowPunct/>
              <w:autoSpaceDE/>
              <w:autoSpaceDN/>
              <w:bidi w:val="0"/>
              <w:adjustRightInd/>
              <w:jc w:val="center"/>
              <w:textAlignment w:val="auto"/>
              <w:rPr>
                <w:rFonts w:ascii="Calibri" w:hAnsi="Calibri" w:cs="Calibri"/>
                <w:color w:val="000000"/>
                <w:sz w:val="16"/>
                <w:szCs w:val="16"/>
                <w:lang w:eastAsia="en-US"/>
              </w:rPr>
            </w:pPr>
            <w:r w:rsidRPr="00615D59">
              <w:rPr>
                <w:rFonts w:ascii="Calibri" w:hAnsi="Calibri" w:cs="Calibri"/>
                <w:color w:val="000000"/>
                <w:sz w:val="16"/>
                <w:szCs w:val="16"/>
                <w:lang w:eastAsia="en-US"/>
              </w:rPr>
              <w:t>96,153</w:t>
            </w:r>
          </w:p>
        </w:tc>
      </w:tr>
    </w:tbl>
    <w:p w14:paraId="161C0E07" w14:textId="77777777" w:rsidR="00615D59" w:rsidRDefault="00615D59">
      <w:pPr>
        <w:rPr>
          <w:rFonts w:cs="FrankRuehl"/>
          <w:sz w:val="26"/>
          <w:szCs w:val="26"/>
          <w:rtl/>
        </w:rPr>
      </w:pPr>
    </w:p>
    <w:p w14:paraId="5B2D44AB" w14:textId="72B036CD" w:rsidR="00615D59" w:rsidRDefault="00615D59">
      <w:pPr>
        <w:rPr>
          <w:rFonts w:cs="FrankRuehl"/>
          <w:sz w:val="26"/>
          <w:szCs w:val="26"/>
          <w:rtl/>
        </w:rPr>
      </w:pPr>
    </w:p>
    <w:p w14:paraId="6D3338C7" w14:textId="6116101E" w:rsidR="00615D59" w:rsidRDefault="00615D59">
      <w:pPr>
        <w:rPr>
          <w:rFonts w:cs="FrankRuehl"/>
          <w:sz w:val="26"/>
          <w:szCs w:val="26"/>
          <w:rtl/>
        </w:rPr>
      </w:pPr>
    </w:p>
    <w:p w14:paraId="26754968" w14:textId="7C8DF3F1" w:rsidR="00615D59" w:rsidRDefault="00615D59">
      <w:pPr>
        <w:rPr>
          <w:rFonts w:cs="FrankRuehl"/>
          <w:sz w:val="26"/>
          <w:szCs w:val="26"/>
          <w:rtl/>
        </w:rPr>
      </w:pPr>
    </w:p>
    <w:p w14:paraId="6CD46A98" w14:textId="2C0A47C6" w:rsidR="00615D59" w:rsidRDefault="00615D59">
      <w:pPr>
        <w:rPr>
          <w:rFonts w:cs="FrankRuehl"/>
          <w:sz w:val="26"/>
          <w:szCs w:val="26"/>
          <w:rtl/>
        </w:rPr>
      </w:pPr>
    </w:p>
    <w:p w14:paraId="217048D4" w14:textId="6BA6B4F2" w:rsidR="00615D59" w:rsidRDefault="00615D59">
      <w:pPr>
        <w:rPr>
          <w:rFonts w:cs="FrankRuehl"/>
          <w:sz w:val="26"/>
          <w:szCs w:val="26"/>
          <w:rtl/>
        </w:rPr>
      </w:pPr>
    </w:p>
    <w:p w14:paraId="75789023" w14:textId="2D3E8208" w:rsidR="00615D59" w:rsidRDefault="00615D59">
      <w:pPr>
        <w:rPr>
          <w:rFonts w:cs="FrankRuehl"/>
          <w:sz w:val="26"/>
          <w:szCs w:val="26"/>
          <w:rtl/>
        </w:rPr>
      </w:pPr>
    </w:p>
    <w:p w14:paraId="520F355C" w14:textId="2C7EFD10" w:rsidR="00615D59" w:rsidRDefault="00615D59">
      <w:pPr>
        <w:rPr>
          <w:rFonts w:cs="FrankRuehl"/>
          <w:sz w:val="26"/>
          <w:szCs w:val="26"/>
          <w:rtl/>
        </w:rPr>
      </w:pPr>
    </w:p>
    <w:p w14:paraId="1EBF2535" w14:textId="2603264A" w:rsidR="00615D59" w:rsidRDefault="00615D59">
      <w:pPr>
        <w:rPr>
          <w:rFonts w:cs="FrankRuehl"/>
          <w:sz w:val="26"/>
          <w:szCs w:val="26"/>
          <w:rtl/>
        </w:rPr>
      </w:pPr>
    </w:p>
    <w:p w14:paraId="61E0BC06" w14:textId="059A158A" w:rsidR="00615D59" w:rsidRDefault="00615D59">
      <w:pPr>
        <w:rPr>
          <w:rFonts w:cs="FrankRuehl"/>
          <w:sz w:val="26"/>
          <w:szCs w:val="26"/>
          <w:rtl/>
        </w:rPr>
      </w:pPr>
    </w:p>
    <w:p w14:paraId="0338FD11" w14:textId="3C5135EA" w:rsidR="00615D59" w:rsidRDefault="00615D59">
      <w:pPr>
        <w:rPr>
          <w:rFonts w:cs="FrankRuehl"/>
          <w:sz w:val="26"/>
          <w:szCs w:val="26"/>
          <w:rtl/>
        </w:rPr>
      </w:pPr>
    </w:p>
    <w:p w14:paraId="128E2974" w14:textId="72D910A4" w:rsidR="00615D59" w:rsidRDefault="00615D59">
      <w:pPr>
        <w:rPr>
          <w:rFonts w:cs="FrankRuehl"/>
          <w:sz w:val="26"/>
          <w:szCs w:val="26"/>
          <w:rtl/>
        </w:rPr>
      </w:pPr>
    </w:p>
    <w:p w14:paraId="0C606B0D" w14:textId="69F794C8" w:rsidR="00615D59" w:rsidRDefault="00615D59">
      <w:pPr>
        <w:rPr>
          <w:rFonts w:cs="FrankRuehl"/>
          <w:sz w:val="26"/>
          <w:szCs w:val="26"/>
          <w:rtl/>
        </w:rPr>
      </w:pPr>
    </w:p>
    <w:p w14:paraId="5A13AC4C" w14:textId="3FC5D22D" w:rsidR="00615D59" w:rsidRDefault="00615D59">
      <w:pPr>
        <w:rPr>
          <w:rFonts w:cs="FrankRuehl"/>
          <w:sz w:val="26"/>
          <w:szCs w:val="26"/>
          <w:rtl/>
        </w:rPr>
      </w:pPr>
    </w:p>
    <w:p w14:paraId="231CD7C6" w14:textId="77777777" w:rsidR="00615D59" w:rsidRPr="000A3FA0" w:rsidRDefault="00615D59">
      <w:pPr>
        <w:rPr>
          <w:rFonts w:cs="FrankRuehl"/>
          <w:sz w:val="26"/>
          <w:szCs w:val="26"/>
          <w:rtl/>
        </w:rPr>
      </w:pPr>
    </w:p>
    <w:sectPr w:rsidR="00615D59" w:rsidRPr="000A3FA0" w:rsidSect="00A32326">
      <w:headerReference w:type="even" r:id="rId7"/>
      <w:headerReference w:type="default" r:id="rId8"/>
      <w:footerReference w:type="even" r:id="rId9"/>
      <w:footerReference w:type="default" r:id="rId10"/>
      <w:headerReference w:type="first" r:id="rId11"/>
      <w:footerReference w:type="first" r:id="rId12"/>
      <w:endnotePr>
        <w:numFmt w:val="lowerLetter"/>
      </w:endnotePr>
      <w:pgSz w:w="11907" w:h="16839" w:code="9"/>
      <w:pgMar w:top="1440" w:right="1800" w:bottom="1440" w:left="1800" w:header="720" w:footer="720" w:gutter="0"/>
      <w:cols w:space="720"/>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72EC7" w14:textId="77777777" w:rsidR="005A6E40" w:rsidRDefault="005A6E40" w:rsidP="00A32326">
      <w:r>
        <w:separator/>
      </w:r>
    </w:p>
  </w:endnote>
  <w:endnote w:type="continuationSeparator" w:id="0">
    <w:p w14:paraId="7860175E" w14:textId="77777777" w:rsidR="005A6E40" w:rsidRDefault="005A6E40" w:rsidP="00A32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arkisim">
    <w:altName w:val="FrankRuehl"/>
    <w:panose1 w:val="020E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Guttman Kav">
    <w:panose1 w:val="02010401010101010101"/>
    <w:charset w:val="B1"/>
    <w:family w:val="auto"/>
    <w:pitch w:val="variable"/>
    <w:sig w:usb0="00000801" w:usb1="40000000" w:usb2="00000000" w:usb3="00000000" w:csb0="00000020" w:csb1="00000000"/>
  </w:font>
  <w:font w:name="Guttman Haim-Condensed">
    <w:panose1 w:val="02010401010101010101"/>
    <w:charset w:val="B1"/>
    <w:family w:val="auto"/>
    <w:pitch w:val="variable"/>
    <w:sig w:usb0="00000801" w:usb1="40000000" w:usb2="00000000" w:usb3="00000000" w:csb0="00000020" w:csb1="00000000"/>
  </w:font>
  <w:font w:name="FrankRuehl">
    <w:panose1 w:val="020E0503060101010101"/>
    <w:charset w:val="00"/>
    <w:family w:val="swiss"/>
    <w:pitch w:val="variable"/>
    <w:sig w:usb0="00000803" w:usb1="00000000" w:usb2="00000000" w:usb3="00000000" w:csb0="00000021"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62C3B" w14:textId="77777777" w:rsidR="0096594F" w:rsidRDefault="0096594F">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69928" w14:textId="77777777" w:rsidR="0096594F" w:rsidRDefault="0096594F">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FA5D9" w14:textId="77777777" w:rsidR="0096594F" w:rsidRDefault="0096594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0EDFA" w14:textId="77777777" w:rsidR="005A6E40" w:rsidRDefault="005A6E40" w:rsidP="00A32326">
      <w:r>
        <w:separator/>
      </w:r>
    </w:p>
  </w:footnote>
  <w:footnote w:type="continuationSeparator" w:id="0">
    <w:p w14:paraId="6FD1E48F" w14:textId="77777777" w:rsidR="005A6E40" w:rsidRDefault="005A6E40" w:rsidP="00A32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8EF9C" w14:textId="77777777" w:rsidR="0096594F" w:rsidRDefault="0096594F">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99D42" w14:textId="77777777" w:rsidR="00A32326" w:rsidRPr="00CB5FFD" w:rsidRDefault="005A6E40" w:rsidP="00A32326">
    <w:pPr>
      <w:pStyle w:val="a4"/>
      <w:jc w:val="right"/>
      <w:rPr>
        <w:color w:val="4F81BD"/>
        <w:rtl/>
        <w:cs/>
      </w:rPr>
    </w:pPr>
    <w:r>
      <w:rPr>
        <w:noProof/>
        <w:rtl/>
      </w:rPr>
      <w:pict w14:anchorId="2C0C0F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margin-left:-90pt;margin-top:-88.05pt;width:594.75pt;height:87.3pt;z-index:1;mso-position-horizontal-relative:margin;mso-position-vertical-relative:margin">
          <v:imagedata r:id="rId1" o:title="Header"/>
          <w10:wrap type="square" anchorx="margin" anchory="margin"/>
        </v:shape>
      </w:pict>
    </w:r>
  </w:p>
  <w:p w14:paraId="5072DB0C" w14:textId="77777777" w:rsidR="00A32326" w:rsidRPr="00CB5FFD" w:rsidRDefault="00A32326" w:rsidP="00A32326">
    <w:pPr>
      <w:pStyle w:val="a4"/>
      <w:jc w:val="right"/>
      <w:rPr>
        <w:color w:val="4F81BD"/>
        <w:rtl/>
        <w:cs/>
      </w:rPr>
    </w:pPr>
  </w:p>
  <w:p w14:paraId="614A2EC1" w14:textId="77777777" w:rsidR="00A32326" w:rsidRDefault="00A32326" w:rsidP="00A32326">
    <w:pPr>
      <w:pStyle w:val="a4"/>
    </w:pPr>
  </w:p>
  <w:p w14:paraId="75F08251" w14:textId="77777777" w:rsidR="00A32326" w:rsidRDefault="00A3232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E0792" w14:textId="77777777" w:rsidR="0096594F" w:rsidRDefault="0096594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B0160"/>
    <w:multiLevelType w:val="multilevel"/>
    <w:tmpl w:val="077ED0C8"/>
    <w:lvl w:ilvl="0">
      <w:start w:val="1"/>
      <w:numFmt w:val="decimal"/>
      <w:lvlText w:val="%1 ."/>
      <w:lvlJc w:val="left"/>
      <w:pPr>
        <w:tabs>
          <w:tab w:val="num" w:pos="397"/>
        </w:tabs>
        <w:ind w:left="397" w:hanging="397"/>
      </w:pPr>
    </w:lvl>
    <w:lvl w:ilvl="1">
      <w:start w:val="1"/>
      <w:numFmt w:val="hebrew1"/>
      <w:lvlText w:val="%2."/>
      <w:lvlJc w:val="left"/>
      <w:pPr>
        <w:tabs>
          <w:tab w:val="num" w:pos="794"/>
        </w:tabs>
        <w:ind w:left="794" w:hanging="397"/>
      </w:pPr>
    </w:lvl>
    <w:lvl w:ilvl="2">
      <w:start w:val="1"/>
      <w:numFmt w:val="decimal"/>
      <w:lvlText w:val="%3)"/>
      <w:lvlJc w:val="left"/>
      <w:pPr>
        <w:tabs>
          <w:tab w:val="num" w:pos="1247"/>
        </w:tabs>
        <w:ind w:left="1247" w:hanging="453"/>
      </w:pPr>
    </w:lvl>
    <w:lvl w:ilvl="3">
      <w:start w:val="1"/>
      <w:numFmt w:val="hebrew1"/>
      <w:lvlText w:val="%4)"/>
      <w:lvlJc w:val="left"/>
      <w:pPr>
        <w:tabs>
          <w:tab w:val="num" w:pos="1701"/>
        </w:tabs>
        <w:ind w:left="1701" w:hanging="454"/>
      </w:pPr>
    </w:lvl>
    <w:lvl w:ilvl="4">
      <w:start w:val="1"/>
      <w:numFmt w:val="decimal"/>
      <w:lvlText w:val="(%5)"/>
      <w:lvlJc w:val="left"/>
      <w:pPr>
        <w:tabs>
          <w:tab w:val="num" w:pos="2211"/>
        </w:tabs>
        <w:ind w:left="2211" w:hanging="510"/>
      </w:pPr>
    </w:lvl>
    <w:lvl w:ilvl="5">
      <w:start w:val="1"/>
      <w:numFmt w:val="hebrew1"/>
      <w:lvlText w:val="(%6)"/>
      <w:lvlJc w:val="left"/>
      <w:pPr>
        <w:tabs>
          <w:tab w:val="num" w:pos="2721"/>
        </w:tabs>
        <w:ind w:left="2721" w:hanging="510"/>
      </w:pPr>
    </w:lvl>
    <w:lvl w:ilvl="6">
      <w:start w:val="1"/>
      <w:numFmt w:val="upperLetter"/>
      <w:lvlText w:val="%7."/>
      <w:lvlJc w:val="left"/>
      <w:pPr>
        <w:tabs>
          <w:tab w:val="num" w:pos="3118"/>
        </w:tabs>
        <w:ind w:left="3118" w:hanging="397"/>
      </w:pPr>
    </w:lvl>
    <w:lvl w:ilvl="7">
      <w:start w:val="1"/>
      <w:numFmt w:val="lowerLetter"/>
      <w:lvlText w:val="%8."/>
      <w:lvlJc w:val="left"/>
      <w:pPr>
        <w:tabs>
          <w:tab w:val="num" w:pos="3685"/>
        </w:tabs>
        <w:ind w:left="3685" w:hanging="567"/>
      </w:pPr>
    </w:lvl>
    <w:lvl w:ilvl="8">
      <w:start w:val="1"/>
      <w:numFmt w:val="lowerRoman"/>
      <w:lvlText w:val="%9."/>
      <w:lvlJc w:val="left"/>
      <w:pPr>
        <w:tabs>
          <w:tab w:val="num" w:pos="4252"/>
        </w:tabs>
        <w:ind w:left="4252" w:hanging="567"/>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numFmt w:val="lowerLette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1496B"/>
    <w:rsid w:val="000062C3"/>
    <w:rsid w:val="000A3FA0"/>
    <w:rsid w:val="00286EC8"/>
    <w:rsid w:val="00411078"/>
    <w:rsid w:val="0041731B"/>
    <w:rsid w:val="00507569"/>
    <w:rsid w:val="0051496B"/>
    <w:rsid w:val="00596B46"/>
    <w:rsid w:val="005A6E40"/>
    <w:rsid w:val="00615D59"/>
    <w:rsid w:val="007332A2"/>
    <w:rsid w:val="0096594F"/>
    <w:rsid w:val="009E3253"/>
    <w:rsid w:val="00A14A9C"/>
    <w:rsid w:val="00A32326"/>
    <w:rsid w:val="00A51CFB"/>
    <w:rsid w:val="00A6761F"/>
    <w:rsid w:val="00AC0FB8"/>
    <w:rsid w:val="00BE74E8"/>
    <w:rsid w:val="00C81BEB"/>
    <w:rsid w:val="00D00A6A"/>
    <w:rsid w:val="00D02451"/>
    <w:rsid w:val="00D1564D"/>
    <w:rsid w:val="00D15DD5"/>
    <w:rsid w:val="00DE7D65"/>
    <w:rsid w:val="00E15D12"/>
    <w:rsid w:val="00F7434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7B06DB25"/>
  <w15:chartTrackingRefBased/>
  <w15:docId w15:val="{48F446EA-7D42-4FD9-9957-F309C84E1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bidi/>
      <w:adjustRightInd w:val="0"/>
      <w:textAlignment w:val="baseline"/>
    </w:pPr>
    <w:rPr>
      <w:rFonts w:cs="Narkisim"/>
      <w:szCs w:val="24"/>
      <w:lang w:eastAsia="he-IL"/>
    </w:rPr>
  </w:style>
  <w:style w:type="paragraph" w:styleId="1">
    <w:name w:val="heading 1"/>
    <w:basedOn w:val="a"/>
    <w:next w:val="a"/>
    <w:qFormat/>
    <w:pPr>
      <w:keepNext/>
      <w:tabs>
        <w:tab w:val="left" w:pos="276"/>
        <w:tab w:val="left" w:pos="851"/>
        <w:tab w:val="left" w:pos="1418"/>
        <w:tab w:val="left" w:pos="2472"/>
        <w:tab w:val="left" w:pos="4498"/>
        <w:tab w:val="left" w:pos="6796"/>
        <w:tab w:val="left" w:pos="8856"/>
      </w:tabs>
      <w:spacing w:before="80" w:after="120"/>
      <w:ind w:left="448" w:right="130" w:hanging="170"/>
      <w:outlineLvl w:val="0"/>
    </w:pPr>
    <w:rPr>
      <w:rFonts w:ascii="Arial" w:hAnsi="Arial" w:cs="Guttman Kav"/>
      <w:b/>
      <w:bCs/>
      <w:kern w:val="28"/>
      <w:sz w:val="18"/>
      <w:szCs w:val="32"/>
    </w:rPr>
  </w:style>
  <w:style w:type="paragraph" w:styleId="2">
    <w:name w:val="heading 2"/>
    <w:basedOn w:val="a"/>
    <w:next w:val="a"/>
    <w:qFormat/>
    <w:pPr>
      <w:tabs>
        <w:tab w:val="left" w:pos="276"/>
      </w:tabs>
      <w:spacing w:before="120" w:after="48"/>
      <w:ind w:left="278" w:right="357" w:hanging="2"/>
      <w:outlineLvl w:val="1"/>
    </w:pPr>
    <w:rPr>
      <w:rFonts w:ascii="Arial" w:hAnsi="Arial" w:cs="Guttman Haim-Condensed"/>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indentnumberedinabullet">
    <w:name w:val="normal indent numbered in a bullet"/>
    <w:basedOn w:val="a3"/>
    <w:pPr>
      <w:tabs>
        <w:tab w:val="left" w:pos="851"/>
        <w:tab w:val="left" w:pos="1418"/>
        <w:tab w:val="left" w:pos="2472"/>
        <w:tab w:val="left" w:pos="4498"/>
        <w:tab w:val="left" w:pos="6796"/>
        <w:tab w:val="left" w:pos="8856"/>
      </w:tabs>
      <w:ind w:left="618" w:right="510" w:hanging="170"/>
    </w:pPr>
  </w:style>
  <w:style w:type="paragraph" w:styleId="a3">
    <w:name w:val="Normal Indent"/>
    <w:basedOn w:val="a"/>
    <w:pPr>
      <w:ind w:left="720"/>
    </w:pPr>
  </w:style>
  <w:style w:type="paragraph" w:customStyle="1" w:styleId="Normalindentnumberindent">
    <w:name w:val="Normal indent number indent"/>
    <w:basedOn w:val="a"/>
    <w:pPr>
      <w:tabs>
        <w:tab w:val="left" w:pos="851"/>
        <w:tab w:val="left" w:pos="1418"/>
        <w:tab w:val="left" w:pos="2472"/>
        <w:tab w:val="left" w:pos="4498"/>
        <w:tab w:val="left" w:pos="6796"/>
        <w:tab w:val="left" w:pos="8856"/>
      </w:tabs>
      <w:ind w:left="702" w:right="510" w:hanging="872"/>
    </w:pPr>
  </w:style>
  <w:style w:type="paragraph" w:styleId="a4">
    <w:name w:val="header"/>
    <w:basedOn w:val="a"/>
    <w:link w:val="a5"/>
    <w:uiPriority w:val="99"/>
    <w:unhideWhenUsed/>
    <w:rsid w:val="00A32326"/>
    <w:pPr>
      <w:tabs>
        <w:tab w:val="center" w:pos="4153"/>
        <w:tab w:val="right" w:pos="8306"/>
      </w:tabs>
    </w:pPr>
  </w:style>
  <w:style w:type="paragraph" w:customStyle="1" w:styleId="a6">
    <w:name w:val="כותרת נדון"/>
    <w:basedOn w:val="a"/>
    <w:rPr>
      <w:bCs/>
      <w:szCs w:val="26"/>
      <w:u w:val="single"/>
    </w:rPr>
  </w:style>
  <w:style w:type="paragraph" w:customStyle="1" w:styleId="a7">
    <w:name w:val="מדינת ישראל"/>
    <w:basedOn w:val="a"/>
    <w:pPr>
      <w:jc w:val="center"/>
    </w:pPr>
    <w:rPr>
      <w:b/>
      <w:bCs/>
      <w:szCs w:val="28"/>
    </w:rPr>
  </w:style>
  <w:style w:type="character" w:customStyle="1" w:styleId="a5">
    <w:name w:val="כותרת עליונה תו"/>
    <w:link w:val="a4"/>
    <w:uiPriority w:val="99"/>
    <w:rsid w:val="00A32326"/>
    <w:rPr>
      <w:rFonts w:cs="Narkisim"/>
      <w:szCs w:val="24"/>
      <w:lang w:eastAsia="he-IL"/>
    </w:rPr>
  </w:style>
  <w:style w:type="paragraph" w:styleId="a8">
    <w:name w:val="footer"/>
    <w:basedOn w:val="a"/>
    <w:link w:val="a9"/>
    <w:uiPriority w:val="99"/>
    <w:unhideWhenUsed/>
    <w:rsid w:val="00A32326"/>
    <w:pPr>
      <w:tabs>
        <w:tab w:val="center" w:pos="4153"/>
        <w:tab w:val="right" w:pos="8306"/>
      </w:tabs>
    </w:pPr>
  </w:style>
  <w:style w:type="character" w:customStyle="1" w:styleId="a9">
    <w:name w:val="כותרת תחתונה תו"/>
    <w:link w:val="a8"/>
    <w:uiPriority w:val="99"/>
    <w:rsid w:val="00A32326"/>
    <w:rPr>
      <w:rFonts w:cs="Narkisim"/>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401066">
      <w:bodyDiv w:val="1"/>
      <w:marLeft w:val="0"/>
      <w:marRight w:val="0"/>
      <w:marTop w:val="0"/>
      <w:marBottom w:val="0"/>
      <w:divBdr>
        <w:top w:val="none" w:sz="0" w:space="0" w:color="auto"/>
        <w:left w:val="none" w:sz="0" w:space="0" w:color="auto"/>
        <w:bottom w:val="none" w:sz="0" w:space="0" w:color="auto"/>
        <w:right w:val="none" w:sz="0" w:space="0" w:color="auto"/>
      </w:divBdr>
    </w:div>
    <w:div w:id="843907096">
      <w:bodyDiv w:val="1"/>
      <w:marLeft w:val="0"/>
      <w:marRight w:val="0"/>
      <w:marTop w:val="0"/>
      <w:marBottom w:val="0"/>
      <w:divBdr>
        <w:top w:val="none" w:sz="0" w:space="0" w:color="auto"/>
        <w:left w:val="none" w:sz="0" w:space="0" w:color="auto"/>
        <w:bottom w:val="none" w:sz="0" w:space="0" w:color="auto"/>
        <w:right w:val="none" w:sz="0" w:space="0" w:color="auto"/>
      </w:divBdr>
    </w:div>
    <w:div w:id="1533304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388</Words>
  <Characters>1943</Characters>
  <Application>Microsoft Office Word</Application>
  <DocSecurity>0</DocSecurity>
  <Lines>16</Lines>
  <Paragraphs>4</Paragraphs>
  <ScaleCrop>false</ScaleCrop>
  <HeadingPairs>
    <vt:vector size="6" baseType="variant">
      <vt:variant>
        <vt:lpstr>Title</vt:lpstr>
      </vt:variant>
      <vt:variant>
        <vt:i4>1</vt:i4>
      </vt:variant>
      <vt:variant>
        <vt:lpstr>שם</vt:lpstr>
      </vt:variant>
      <vt:variant>
        <vt:i4>1</vt:i4>
      </vt:variant>
      <vt:variant>
        <vt:lpstr/>
      </vt:variant>
      <vt:variant>
        <vt:i4>0</vt:i4>
      </vt:variant>
    </vt:vector>
  </HeadingPairs>
  <TitlesOfParts>
    <vt:vector size="2" baseType="lpstr">
      <vt:lpstr/>
      <vt:lpstr/>
    </vt:vector>
  </TitlesOfParts>
  <Company>משרד האוצר</Company>
  <LinksUpToDate>false</LinksUpToDate>
  <CharactersWithSpaces>2327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משרד האוצר</dc:creator>
  <cp:keywords/>
  <dc:description/>
  <cp:lastModifiedBy>שמרית יצחקי</cp:lastModifiedBy>
  <cp:revision>6</cp:revision>
  <cp:lastPrinted>1899-12-31T22:00:00Z</cp:lastPrinted>
  <dcterms:created xsi:type="dcterms:W3CDTF">2026-04-28T10:58:00Z</dcterms:created>
  <dcterms:modified xsi:type="dcterms:W3CDTF">2026-04-30T03:56:00Z</dcterms:modified>
</cp:coreProperties>
</file>