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4464E" w14:textId="77777777" w:rsidR="0051496B" w:rsidRDefault="0051496B">
      <w:pPr>
        <w:pStyle w:val="a7"/>
        <w:rPr>
          <w:rtl/>
        </w:rPr>
      </w:pPr>
      <w:r>
        <w:rPr>
          <w:rtl/>
        </w:rPr>
        <w:t>מדינת ישראל</w:t>
      </w:r>
    </w:p>
    <w:p w14:paraId="42A9DD47" w14:textId="77777777" w:rsidR="0051496B" w:rsidRDefault="0051496B">
      <w:pPr>
        <w:pStyle w:val="a7"/>
        <w:rPr>
          <w:rtl/>
        </w:rPr>
      </w:pPr>
      <w:r>
        <w:rPr>
          <w:rtl/>
        </w:rPr>
        <w:t>האוצר - אגף התקציבים</w:t>
      </w:r>
    </w:p>
    <w:p w14:paraId="099ACD74" w14:textId="77777777" w:rsidR="0051496B" w:rsidRDefault="0051496B">
      <w:pPr>
        <w:rPr>
          <w:rtl/>
        </w:rPr>
      </w:pPr>
    </w:p>
    <w:p w14:paraId="12C89AC2" w14:textId="77777777" w:rsidR="0051496B" w:rsidRDefault="0051496B">
      <w:pPr>
        <w:rPr>
          <w:rtl/>
        </w:rPr>
      </w:pPr>
    </w:p>
    <w:p w14:paraId="34E5C01F" w14:textId="77777777" w:rsidR="0051496B" w:rsidRPr="000A3FA0" w:rsidRDefault="0051496B">
      <w:pPr>
        <w:tabs>
          <w:tab w:val="left" w:pos="6300"/>
        </w:tabs>
        <w:rPr>
          <w:rFonts w:cs="FrankRuehl"/>
          <w:sz w:val="26"/>
          <w:szCs w:val="26"/>
          <w:rtl/>
        </w:rPr>
      </w:pPr>
      <w:r>
        <w:rPr>
          <w:rtl/>
        </w:rPr>
        <w:tab/>
      </w:r>
      <w:bookmarkStart w:id="0" w:name="TAKZIV8"/>
      <w:bookmarkEnd w:id="0"/>
    </w:p>
    <w:p w14:paraId="6D082F37" w14:textId="77777777" w:rsidR="0051496B" w:rsidRPr="000A3FA0" w:rsidRDefault="0051496B">
      <w:pPr>
        <w:tabs>
          <w:tab w:val="left" w:pos="6300"/>
        </w:tabs>
        <w:rPr>
          <w:rFonts w:cs="FrankRuehl"/>
          <w:sz w:val="26"/>
          <w:szCs w:val="26"/>
          <w:rtl/>
        </w:rPr>
      </w:pPr>
      <w:r w:rsidRPr="000A3FA0">
        <w:rPr>
          <w:rFonts w:cs="FrankRuehl"/>
          <w:sz w:val="26"/>
          <w:szCs w:val="26"/>
          <w:rtl/>
        </w:rPr>
        <w:tab/>
      </w:r>
      <w:r w:rsidRPr="000A3FA0">
        <w:rPr>
          <w:rFonts w:cs="FrankRuehl"/>
          <w:sz w:val="26"/>
          <w:szCs w:val="26"/>
          <w:rtl/>
        </w:rPr>
        <w:tab/>
      </w:r>
    </w:p>
    <w:p w14:paraId="6E083588" w14:textId="77777777" w:rsidR="0051496B" w:rsidRPr="000A3FA0" w:rsidRDefault="0051496B" w:rsidP="007332A2">
      <w:pPr>
        <w:rPr>
          <w:rFonts w:cs="FrankRuehl"/>
          <w:sz w:val="26"/>
          <w:szCs w:val="26"/>
          <w:rtl/>
        </w:rPr>
      </w:pPr>
      <w:r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Pr="000A3FA0">
        <w:rPr>
          <w:rFonts w:cs="FrankRuehl"/>
          <w:sz w:val="26"/>
          <w:szCs w:val="26"/>
          <w:rtl/>
        </w:rPr>
        <w:t xml:space="preserve">ירושלים, </w:t>
      </w:r>
      <w:bookmarkStart w:id="1" w:name="TAKZIV9"/>
      <w:bookmarkEnd w:id="1"/>
    </w:p>
    <w:p w14:paraId="4BFA999E" w14:textId="401CC0CF" w:rsidR="0051496B" w:rsidRPr="000A3FA0" w:rsidRDefault="0051496B" w:rsidP="007332A2">
      <w:pPr>
        <w:tabs>
          <w:tab w:val="left" w:pos="6039"/>
        </w:tabs>
        <w:rPr>
          <w:rFonts w:cs="FrankRuehl"/>
          <w:sz w:val="26"/>
          <w:szCs w:val="26"/>
          <w:rtl/>
        </w:rPr>
      </w:pPr>
      <w:r w:rsidRPr="000A3FA0">
        <w:rPr>
          <w:rFonts w:cs="FrankRuehl"/>
          <w:sz w:val="26"/>
          <w:szCs w:val="26"/>
          <w:rtl/>
        </w:rPr>
        <w:tab/>
        <w:t xml:space="preserve">בקשה מספר </w:t>
      </w:r>
      <w:bookmarkStart w:id="2" w:name="TAKZIV4"/>
      <w:r w:rsidR="006F087D">
        <w:rPr>
          <w:rFonts w:cs="FrankRuehl"/>
          <w:sz w:val="26"/>
          <w:szCs w:val="26"/>
          <w:rtl/>
        </w:rPr>
        <w:t>001</w:t>
      </w:r>
      <w:bookmarkEnd w:id="2"/>
      <w:r w:rsidRPr="000A3FA0">
        <w:rPr>
          <w:rFonts w:cs="FrankRuehl"/>
          <w:sz w:val="26"/>
          <w:szCs w:val="26"/>
          <w:rtl/>
        </w:rPr>
        <w:t xml:space="preserve"> - </w:t>
      </w:r>
      <w:bookmarkStart w:id="3" w:name="TAKZIV3"/>
      <w:r w:rsidR="006F087D">
        <w:rPr>
          <w:rFonts w:cs="FrankRuehl"/>
          <w:sz w:val="26"/>
          <w:szCs w:val="26"/>
          <w:rtl/>
        </w:rPr>
        <w:t>08</w:t>
      </w:r>
      <w:bookmarkEnd w:id="3"/>
    </w:p>
    <w:p w14:paraId="67E41BF0"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3510A25A"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5A311A34" w14:textId="77777777" w:rsidR="0051496B" w:rsidRPr="000A3FA0" w:rsidRDefault="0051496B">
      <w:pPr>
        <w:rPr>
          <w:rFonts w:cs="FrankRuehl"/>
          <w:sz w:val="26"/>
          <w:szCs w:val="26"/>
          <w:rtl/>
        </w:rPr>
      </w:pPr>
      <w:r w:rsidRPr="000A3FA0">
        <w:rPr>
          <w:rFonts w:cs="FrankRuehl"/>
          <w:sz w:val="26"/>
          <w:szCs w:val="26"/>
          <w:rtl/>
        </w:rPr>
        <w:t>לכבוד,</w:t>
      </w:r>
    </w:p>
    <w:p w14:paraId="28C72FFB" w14:textId="77777777" w:rsidR="0051496B" w:rsidRPr="000A3FA0" w:rsidRDefault="0051496B">
      <w:pPr>
        <w:rPr>
          <w:rFonts w:cs="FrankRuehl"/>
          <w:sz w:val="26"/>
          <w:szCs w:val="26"/>
          <w:rtl/>
        </w:rPr>
      </w:pPr>
      <w:r w:rsidRPr="000A3FA0">
        <w:rPr>
          <w:rFonts w:cs="FrankRuehl"/>
          <w:sz w:val="26"/>
          <w:szCs w:val="26"/>
          <w:rtl/>
        </w:rPr>
        <w:t>יו"ר ועדת הכספים</w:t>
      </w:r>
    </w:p>
    <w:p w14:paraId="7C888A05" w14:textId="77777777" w:rsidR="0051496B" w:rsidRPr="000A3FA0" w:rsidRDefault="0051496B">
      <w:pPr>
        <w:rPr>
          <w:rFonts w:cs="FrankRuehl"/>
          <w:sz w:val="26"/>
          <w:szCs w:val="26"/>
          <w:rtl/>
        </w:rPr>
      </w:pPr>
      <w:r w:rsidRPr="000A3FA0">
        <w:rPr>
          <w:rFonts w:cs="FrankRuehl"/>
          <w:sz w:val="26"/>
          <w:szCs w:val="26"/>
          <w:rtl/>
        </w:rPr>
        <w:t>הכנסת</w:t>
      </w:r>
    </w:p>
    <w:p w14:paraId="1D23D9DB" w14:textId="77777777" w:rsidR="0051496B" w:rsidRPr="000A3FA0" w:rsidRDefault="0051496B">
      <w:pPr>
        <w:rPr>
          <w:rFonts w:cs="FrankRuehl"/>
          <w:sz w:val="26"/>
          <w:szCs w:val="26"/>
          <w:rtl/>
        </w:rPr>
      </w:pPr>
    </w:p>
    <w:p w14:paraId="036959BD" w14:textId="77777777" w:rsidR="0051496B" w:rsidRPr="000A3FA0" w:rsidRDefault="0051496B">
      <w:pPr>
        <w:rPr>
          <w:rFonts w:cs="FrankRuehl"/>
          <w:sz w:val="26"/>
          <w:szCs w:val="26"/>
          <w:rtl/>
        </w:rPr>
      </w:pPr>
      <w:r w:rsidRPr="000A3FA0">
        <w:rPr>
          <w:rFonts w:cs="FrankRuehl"/>
          <w:sz w:val="26"/>
          <w:szCs w:val="26"/>
          <w:rtl/>
        </w:rPr>
        <w:t>א.נ.,</w:t>
      </w:r>
    </w:p>
    <w:p w14:paraId="7BA45D75" w14:textId="77777777" w:rsidR="0051496B" w:rsidRPr="000A3FA0" w:rsidRDefault="0051496B">
      <w:pPr>
        <w:rPr>
          <w:rFonts w:cs="FrankRuehl"/>
          <w:sz w:val="26"/>
          <w:szCs w:val="26"/>
          <w:rtl/>
        </w:rPr>
      </w:pPr>
    </w:p>
    <w:p w14:paraId="6BA23B60" w14:textId="3B1F9FBF" w:rsidR="0051496B" w:rsidRPr="000A3FA0" w:rsidRDefault="0051496B">
      <w:pPr>
        <w:pStyle w:val="a6"/>
        <w:rPr>
          <w:rFonts w:cs="FrankRuehl"/>
          <w:sz w:val="26"/>
          <w:rtl/>
        </w:rPr>
      </w:pPr>
      <w:r w:rsidRPr="000A3FA0">
        <w:rPr>
          <w:rFonts w:cs="FrankRuehl"/>
          <w:bCs w:val="0"/>
          <w:sz w:val="26"/>
          <w:u w:val="none"/>
          <w:rtl/>
        </w:rPr>
        <w:t xml:space="preserve">הנדון: </w:t>
      </w:r>
      <w:r w:rsidRPr="000A3FA0">
        <w:rPr>
          <w:rFonts w:cs="FrankRuehl"/>
          <w:bCs w:val="0"/>
          <w:sz w:val="26"/>
          <w:rtl/>
        </w:rPr>
        <w:t>שימוש בעודפי תקציב לשנת</w:t>
      </w:r>
      <w:r w:rsidRPr="000A3FA0">
        <w:rPr>
          <w:rFonts w:cs="FrankRuehl"/>
          <w:sz w:val="26"/>
          <w:rtl/>
        </w:rPr>
        <w:t xml:space="preserve"> </w:t>
      </w:r>
      <w:bookmarkStart w:id="4" w:name="TAKZIV1_2"/>
      <w:bookmarkStart w:id="5" w:name="TAKZIV1_1"/>
      <w:bookmarkEnd w:id="4"/>
      <w:r w:rsidR="006F087D">
        <w:rPr>
          <w:rFonts w:cs="FrankRuehl"/>
          <w:sz w:val="26"/>
          <w:rtl/>
        </w:rPr>
        <w:t>2026</w:t>
      </w:r>
      <w:bookmarkEnd w:id="5"/>
      <w:r w:rsidRPr="000A3FA0">
        <w:rPr>
          <w:rFonts w:cs="FrankRuehl"/>
          <w:sz w:val="26"/>
          <w:rtl/>
        </w:rPr>
        <w:t xml:space="preserve">     </w:t>
      </w:r>
    </w:p>
    <w:p w14:paraId="49CCC50A" w14:textId="77777777" w:rsidR="0051496B" w:rsidRPr="000A3FA0" w:rsidRDefault="0051496B" w:rsidP="00A6761F">
      <w:pPr>
        <w:jc w:val="both"/>
        <w:rPr>
          <w:rFonts w:cs="FrankRuehl"/>
          <w:sz w:val="26"/>
          <w:szCs w:val="26"/>
          <w:rtl/>
        </w:rPr>
      </w:pPr>
    </w:p>
    <w:p w14:paraId="2BD12979" w14:textId="0999DC26" w:rsidR="0051496B" w:rsidRDefault="0051496B" w:rsidP="0033491A">
      <w:pPr>
        <w:jc w:val="both"/>
        <w:rPr>
          <w:rFonts w:cs="FrankRuehl"/>
          <w:sz w:val="26"/>
          <w:szCs w:val="26"/>
          <w:rtl/>
        </w:rPr>
      </w:pPr>
      <w:r w:rsidRPr="000A3FA0">
        <w:rPr>
          <w:rFonts w:cs="FrankRuehl"/>
          <w:sz w:val="26"/>
          <w:szCs w:val="26"/>
          <w:rtl/>
        </w:rPr>
        <w:t>שר האוצר מתכבד להודיע לו</w:t>
      </w:r>
      <w:r w:rsidR="00A14A9C" w:rsidRPr="000A3FA0">
        <w:rPr>
          <w:rFonts w:cs="FrankRuehl" w:hint="cs"/>
          <w:sz w:val="26"/>
          <w:szCs w:val="26"/>
          <w:rtl/>
        </w:rPr>
        <w:t>ו</w:t>
      </w:r>
      <w:r w:rsidRPr="000A3FA0">
        <w:rPr>
          <w:rFonts w:cs="FrankRuehl"/>
          <w:sz w:val="26"/>
          <w:szCs w:val="26"/>
          <w:rtl/>
        </w:rPr>
        <w:t xml:space="preserve">עדת הכספים של הכנסת על העברת סכום של </w:t>
      </w:r>
      <w:bookmarkStart w:id="6" w:name="TAKZIV30"/>
      <w:r w:rsidR="006F087D">
        <w:rPr>
          <w:rFonts w:cs="FrankRuehl"/>
          <w:sz w:val="26"/>
          <w:szCs w:val="26"/>
          <w:rtl/>
        </w:rPr>
        <w:t>431,002</w:t>
      </w:r>
      <w:bookmarkEnd w:id="6"/>
      <w:r w:rsidRPr="000A3FA0">
        <w:rPr>
          <w:rFonts w:cs="FrankRuehl"/>
          <w:sz w:val="26"/>
          <w:szCs w:val="26"/>
          <w:rtl/>
        </w:rPr>
        <w:t xml:space="preserve"> אלפי שקלים חדשים מסעיף </w:t>
      </w:r>
      <w:bookmarkStart w:id="7" w:name="TAKZIV3_1"/>
      <w:r w:rsidR="006F087D">
        <w:rPr>
          <w:rFonts w:cs="FrankRuehl"/>
          <w:sz w:val="26"/>
          <w:szCs w:val="26"/>
          <w:rtl/>
        </w:rPr>
        <w:t>08</w:t>
      </w:r>
      <w:bookmarkEnd w:id="7"/>
      <w:r w:rsidRPr="000A3FA0">
        <w:rPr>
          <w:rFonts w:cs="FrankRuehl"/>
          <w:sz w:val="26"/>
          <w:szCs w:val="26"/>
          <w:rtl/>
        </w:rPr>
        <w:t xml:space="preserve"> - </w:t>
      </w:r>
      <w:bookmarkStart w:id="8" w:name="TAKZIV6_2"/>
      <w:r w:rsidR="006F087D">
        <w:rPr>
          <w:rFonts w:cs="FrankRuehl"/>
          <w:sz w:val="26"/>
          <w:szCs w:val="26"/>
          <w:rtl/>
        </w:rPr>
        <w:t>משרד המשפטים</w:t>
      </w:r>
      <w:bookmarkEnd w:id="8"/>
      <w:r w:rsidRPr="000A3FA0">
        <w:rPr>
          <w:rFonts w:cs="FrankRuehl"/>
          <w:sz w:val="26"/>
          <w:szCs w:val="26"/>
          <w:rtl/>
        </w:rPr>
        <w:t xml:space="preserve"> משנת הכספים </w:t>
      </w:r>
      <w:bookmarkStart w:id="9" w:name="TAKZIV2_1"/>
      <w:r w:rsidR="006F087D">
        <w:rPr>
          <w:rFonts w:cs="FrankRuehl"/>
          <w:sz w:val="26"/>
          <w:szCs w:val="26"/>
          <w:rtl/>
        </w:rPr>
        <w:t>2025</w:t>
      </w:r>
      <w:bookmarkEnd w:id="9"/>
      <w:r w:rsidRPr="000A3FA0">
        <w:rPr>
          <w:rFonts w:cs="FrankRuehl"/>
          <w:sz w:val="26"/>
          <w:szCs w:val="26"/>
          <w:rtl/>
        </w:rPr>
        <w:t xml:space="preserve">, כעודף לשימוש בשנת הכספים </w:t>
      </w:r>
      <w:bookmarkStart w:id="10" w:name="TAKZIV1"/>
      <w:r w:rsidR="006F087D">
        <w:rPr>
          <w:rFonts w:cs="FrankRuehl"/>
          <w:sz w:val="26"/>
          <w:szCs w:val="26"/>
          <w:rtl/>
        </w:rPr>
        <w:t>2026</w:t>
      </w:r>
      <w:bookmarkEnd w:id="10"/>
      <w:r w:rsidRPr="000A3FA0">
        <w:rPr>
          <w:rFonts w:cs="FrankRuehl"/>
          <w:sz w:val="26"/>
          <w:szCs w:val="26"/>
          <w:rtl/>
        </w:rPr>
        <w:t xml:space="preserve">, בהתאם לסעיף 13 (א) לחוק יסודות התקציב </w:t>
      </w:r>
      <w:proofErr w:type="spellStart"/>
      <w:r w:rsidRPr="000A3FA0">
        <w:rPr>
          <w:rFonts w:cs="FrankRuehl"/>
          <w:sz w:val="26"/>
          <w:szCs w:val="26"/>
          <w:rtl/>
        </w:rPr>
        <w:t>התשמ"ה</w:t>
      </w:r>
      <w:proofErr w:type="spellEnd"/>
      <w:r w:rsidRPr="000A3FA0">
        <w:rPr>
          <w:rFonts w:cs="FrankRuehl"/>
          <w:sz w:val="26"/>
          <w:szCs w:val="26"/>
          <w:rtl/>
        </w:rPr>
        <w:t xml:space="preserve"> - 1985,</w:t>
      </w:r>
      <w:r w:rsidR="0033491A">
        <w:rPr>
          <w:rFonts w:cs="FrankRuehl" w:hint="cs"/>
          <w:sz w:val="26"/>
          <w:szCs w:val="26"/>
          <w:rtl/>
        </w:rPr>
        <w:t xml:space="preserve"> </w:t>
      </w:r>
      <w:r w:rsidRPr="000A3FA0">
        <w:rPr>
          <w:rFonts w:cs="FrankRuehl"/>
          <w:sz w:val="26"/>
          <w:szCs w:val="26"/>
          <w:rtl/>
        </w:rPr>
        <w:t>כמפורט בתדפיס המצורף בזה.</w:t>
      </w:r>
    </w:p>
    <w:p w14:paraId="1D3103EA" w14:textId="7C6FDCE7" w:rsidR="0033491A" w:rsidRDefault="0033491A" w:rsidP="0033491A">
      <w:pPr>
        <w:jc w:val="both"/>
        <w:rPr>
          <w:rFonts w:cs="FrankRuehl"/>
          <w:sz w:val="26"/>
          <w:szCs w:val="26"/>
          <w:rtl/>
        </w:rPr>
      </w:pPr>
    </w:p>
    <w:p w14:paraId="33FF9121" w14:textId="72E0F319" w:rsidR="0033491A" w:rsidRDefault="0033491A" w:rsidP="0033491A">
      <w:pPr>
        <w:jc w:val="both"/>
        <w:rPr>
          <w:rFonts w:ascii="FrankRuehl" w:hAnsi="FrankRuehl" w:cs="FrankRuehl"/>
          <w:b/>
          <w:bCs/>
          <w:sz w:val="26"/>
          <w:szCs w:val="26"/>
        </w:rPr>
      </w:pPr>
      <w:r>
        <w:rPr>
          <w:rFonts w:ascii="FrankRuehl" w:hAnsi="FrankRuehl" w:cs="FrankRuehl"/>
          <w:b/>
          <w:bCs/>
          <w:sz w:val="26"/>
          <w:szCs w:val="26"/>
          <w:rtl/>
        </w:rPr>
        <w:t xml:space="preserve">הבקשה דנה בסעיף תקציבי: 08 </w:t>
      </w:r>
      <w:r>
        <w:rPr>
          <w:rFonts w:ascii="FrankRuehl" w:hAnsi="FrankRuehl" w:cs="FrankRuehl" w:hint="cs"/>
          <w:b/>
          <w:bCs/>
          <w:sz w:val="26"/>
          <w:szCs w:val="26"/>
          <w:rtl/>
        </w:rPr>
        <w:t>-</w:t>
      </w:r>
      <w:r>
        <w:rPr>
          <w:rFonts w:ascii="FrankRuehl" w:hAnsi="FrankRuehl" w:cs="FrankRuehl"/>
          <w:b/>
          <w:bCs/>
          <w:sz w:val="26"/>
          <w:szCs w:val="26"/>
          <w:rtl/>
        </w:rPr>
        <w:t xml:space="preserve"> משרד המשפטים</w:t>
      </w:r>
    </w:p>
    <w:p w14:paraId="6E6F5F46" w14:textId="77777777" w:rsidR="0033491A" w:rsidRDefault="0033491A" w:rsidP="0033491A">
      <w:pPr>
        <w:jc w:val="both"/>
        <w:rPr>
          <w:rFonts w:ascii="FrankRuehl" w:hAnsi="FrankRuehl" w:cs="FrankRuehl"/>
          <w:b/>
          <w:bCs/>
          <w:sz w:val="26"/>
          <w:szCs w:val="26"/>
        </w:rPr>
      </w:pPr>
    </w:p>
    <w:p w14:paraId="41A6FACA" w14:textId="77777777" w:rsidR="0033491A" w:rsidRDefault="0033491A" w:rsidP="0033491A">
      <w:pPr>
        <w:jc w:val="both"/>
        <w:rPr>
          <w:rFonts w:ascii="FrankRuehl" w:hAnsi="FrankRuehl" w:cs="FrankRuehl"/>
          <w:b/>
          <w:bCs/>
          <w:sz w:val="26"/>
          <w:szCs w:val="26"/>
        </w:rPr>
      </w:pPr>
      <w:r>
        <w:rPr>
          <w:rFonts w:ascii="FrankRuehl" w:hAnsi="FrankRuehl" w:cs="FrankRuehl"/>
          <w:b/>
          <w:bCs/>
          <w:sz w:val="26"/>
          <w:szCs w:val="26"/>
          <w:rtl/>
        </w:rPr>
        <w:t>עיקרי הפנייה:</w:t>
      </w:r>
    </w:p>
    <w:p w14:paraId="3DEFE2B0" w14:textId="77777777" w:rsidR="0033491A" w:rsidRDefault="0033491A" w:rsidP="0033491A">
      <w:pPr>
        <w:jc w:val="both"/>
        <w:rPr>
          <w:rFonts w:ascii="FrankRuehl" w:hAnsi="FrankRuehl" w:cs="FrankRuehl"/>
          <w:sz w:val="26"/>
          <w:szCs w:val="26"/>
          <w:rtl/>
        </w:rPr>
      </w:pPr>
      <w:r>
        <w:rPr>
          <w:rFonts w:ascii="FrankRuehl" w:hAnsi="FrankRuehl" w:cs="FrankRuehl"/>
          <w:sz w:val="26"/>
          <w:szCs w:val="26"/>
          <w:rtl/>
        </w:rPr>
        <w:t>הפניה התקציבית נועדה להעברת עודפים משנת התקציב 2025 לשימוש בשנת התקציב 2026 בסך של 431,002 אלפי ש"ח בהוצאה לתוכניות התקציב הבאות, שעיקרן כפי שמפורט להלן:</w:t>
      </w:r>
    </w:p>
    <w:p w14:paraId="36D84278" w14:textId="77777777" w:rsidR="0033491A" w:rsidRDefault="0033491A" w:rsidP="0033491A">
      <w:pPr>
        <w:jc w:val="both"/>
        <w:rPr>
          <w:rFonts w:ascii="FrankRuehl" w:hAnsi="FrankRuehl" w:cs="FrankRuehl"/>
          <w:sz w:val="26"/>
          <w:szCs w:val="26"/>
          <w:rtl/>
        </w:rPr>
      </w:pPr>
    </w:p>
    <w:p w14:paraId="217AC8D7" w14:textId="77777777" w:rsidR="0033491A" w:rsidRDefault="0033491A" w:rsidP="0033491A">
      <w:pPr>
        <w:jc w:val="both"/>
        <w:rPr>
          <w:rFonts w:ascii="FrankRuehl" w:hAnsi="FrankRuehl" w:cs="FrankRuehl"/>
          <w:b/>
          <w:bCs/>
          <w:sz w:val="26"/>
          <w:szCs w:val="26"/>
          <w:rtl/>
        </w:rPr>
      </w:pPr>
      <w:r>
        <w:rPr>
          <w:rFonts w:ascii="FrankRuehl" w:hAnsi="FrankRuehl" w:cs="FrankRuehl"/>
          <w:b/>
          <w:bCs/>
          <w:sz w:val="26"/>
          <w:szCs w:val="26"/>
          <w:rtl/>
        </w:rPr>
        <w:t>תכנית 085101: מטה המשרד – 134,602 אלפי ש"ח</w:t>
      </w:r>
    </w:p>
    <w:p w14:paraId="7E77B260" w14:textId="77777777" w:rsidR="0033491A" w:rsidRDefault="0033491A" w:rsidP="0033491A">
      <w:pPr>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 xml:space="preserve">: </w:t>
      </w:r>
      <w:r>
        <w:rPr>
          <w:rFonts w:ascii="FrankRuehl" w:hAnsi="FrankRuehl" w:cs="FrankRuehl"/>
          <w:sz w:val="26"/>
          <w:szCs w:val="26"/>
          <w:rtl/>
        </w:rPr>
        <w:t xml:space="preserve">תכנית זו נועדה לתקצב את הנהלת המשרד הכוללת את העובדים ביחידות המטה, לרבות העובדים בלשכת השר, לשכת המנכ"ל, העובדים הארעיים של המשרד והמתמחים. בנוסף, </w:t>
      </w:r>
      <w:proofErr w:type="spellStart"/>
      <w:r>
        <w:rPr>
          <w:rFonts w:ascii="FrankRuehl" w:hAnsi="FrankRuehl" w:cs="FrankRuehl"/>
          <w:sz w:val="26"/>
          <w:szCs w:val="26"/>
          <w:rtl/>
        </w:rPr>
        <w:t>בתכנית</w:t>
      </w:r>
      <w:proofErr w:type="spellEnd"/>
      <w:r>
        <w:rPr>
          <w:rFonts w:ascii="FrankRuehl" w:hAnsi="FrankRuehl" w:cs="FrankRuehl"/>
          <w:sz w:val="26"/>
          <w:szCs w:val="26"/>
          <w:rtl/>
        </w:rPr>
        <w:t xml:space="preserve"> זו מתוקצבות המחלקות הבאות: משאבי אנוש; תכנון, תקצוב וארגון; מערכות מידע; הדרכה; מחשוב; ביטחון; בינוי; ביקורת פנימית; שירותי רווחה; כספים וחשבונות. הנהלת המשרד מבצעת פעולות ונותנת שירותים לכלל העובדים במשרד במסגרת תכנית זו. בנוסף, </w:t>
      </w:r>
      <w:proofErr w:type="spellStart"/>
      <w:r>
        <w:rPr>
          <w:rFonts w:ascii="FrankRuehl" w:hAnsi="FrankRuehl" w:cs="FrankRuehl"/>
          <w:sz w:val="26"/>
          <w:szCs w:val="26"/>
          <w:rtl/>
        </w:rPr>
        <w:t>בתכנית</w:t>
      </w:r>
      <w:proofErr w:type="spellEnd"/>
      <w:r>
        <w:rPr>
          <w:rFonts w:ascii="FrankRuehl" w:hAnsi="FrankRuehl" w:cs="FrankRuehl"/>
          <w:sz w:val="26"/>
          <w:szCs w:val="26"/>
          <w:rtl/>
        </w:rPr>
        <w:t xml:space="preserve"> קיים תקציב עבור המכון להשתלמות פרקליטים ויועצים משפטיים וכן תקציב של הרשות להגנת הפרטיות, שומת מקרקעין,  היחידה הממשלתית למיגור גזענות, החטיבה החברתית ובתי דין מנהליים לפי חוק הכניסה לישראל.</w:t>
      </w:r>
    </w:p>
    <w:p w14:paraId="5102F7A6" w14:textId="77777777" w:rsidR="0033491A" w:rsidRDefault="0033491A" w:rsidP="0033491A">
      <w:pPr>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79E36EFF" w14:textId="77777777" w:rsidR="0033491A" w:rsidRDefault="0033491A" w:rsidP="0033491A">
      <w:pPr>
        <w:jc w:val="both"/>
        <w:rPr>
          <w:rFonts w:ascii="FrankRuehl" w:hAnsi="FrankRuehl" w:cs="FrankRuehl"/>
          <w:sz w:val="26"/>
          <w:szCs w:val="26"/>
          <w:rtl/>
        </w:rPr>
      </w:pPr>
      <w:r>
        <w:rPr>
          <w:rFonts w:ascii="FrankRuehl" w:hAnsi="FrankRuehl" w:cs="FrankRuehl"/>
          <w:sz w:val="26"/>
          <w:szCs w:val="26"/>
          <w:rtl/>
        </w:rPr>
        <w:t xml:space="preserve">יתרת התחייבויות בגין הוצאות תפעול שוטפות מסוף שנת 2025 שטרם שולמו (חשבוניות סוף שנה מתקבלות ומשולמות רק בשנה העוקבת): דמי ניהול, ארנונה, תקשורת, חשמל, נייר צילום, אבטחה; </w:t>
      </w:r>
    </w:p>
    <w:p w14:paraId="252628B8" w14:textId="77777777" w:rsidR="0033491A" w:rsidRDefault="0033491A" w:rsidP="0033491A">
      <w:pPr>
        <w:jc w:val="both"/>
        <w:rPr>
          <w:rFonts w:ascii="FrankRuehl" w:hAnsi="FrankRuehl" w:cs="FrankRuehl"/>
          <w:sz w:val="26"/>
          <w:szCs w:val="26"/>
          <w:rtl/>
        </w:rPr>
      </w:pPr>
      <w:r>
        <w:rPr>
          <w:rFonts w:ascii="FrankRuehl" w:hAnsi="FrankRuehl" w:cs="FrankRuehl"/>
          <w:sz w:val="26"/>
          <w:szCs w:val="26"/>
          <w:rtl/>
        </w:rPr>
        <w:t>פרויקטים ארוכי טווח להקמת מערכות שונות וכן בינוי, שההזמנות בגינם הוקמו לקראת סוף שנת 2025 והתשלום בפועל מתבצע בתחילת ולאורך שנת 2026.</w:t>
      </w:r>
    </w:p>
    <w:p w14:paraId="43F4ECE4" w14:textId="77777777" w:rsidR="0033491A" w:rsidRDefault="0033491A" w:rsidP="0033491A">
      <w:pPr>
        <w:jc w:val="both"/>
        <w:rPr>
          <w:rFonts w:ascii="FrankRuehl" w:hAnsi="FrankRuehl" w:cs="FrankRuehl"/>
          <w:b/>
          <w:bCs/>
          <w:sz w:val="26"/>
          <w:szCs w:val="26"/>
        </w:rPr>
      </w:pPr>
    </w:p>
    <w:p w14:paraId="2630BCB3" w14:textId="77777777" w:rsidR="0033491A" w:rsidRDefault="0033491A" w:rsidP="0033491A">
      <w:pPr>
        <w:jc w:val="both"/>
        <w:rPr>
          <w:rFonts w:ascii="FrankRuehl" w:hAnsi="FrankRuehl" w:cs="FrankRuehl"/>
          <w:b/>
          <w:bCs/>
          <w:sz w:val="26"/>
          <w:szCs w:val="26"/>
          <w:rtl/>
        </w:rPr>
      </w:pPr>
      <w:r>
        <w:rPr>
          <w:rFonts w:ascii="FrankRuehl" w:hAnsi="FrankRuehl" w:cs="FrankRuehl"/>
          <w:b/>
          <w:bCs/>
          <w:sz w:val="26"/>
          <w:szCs w:val="26"/>
          <w:rtl/>
        </w:rPr>
        <w:t>תכנית 085102: הייעוץ המשפטי לממשלה – 7,977 אלפי ש"ח</w:t>
      </w:r>
    </w:p>
    <w:p w14:paraId="36C3D8A6" w14:textId="77777777" w:rsidR="0033491A" w:rsidRDefault="0033491A" w:rsidP="0033491A">
      <w:pPr>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 xml:space="preserve">: </w:t>
      </w:r>
      <w:r>
        <w:rPr>
          <w:rFonts w:ascii="FrankRuehl" w:hAnsi="FrankRuehl" w:cs="FrankRuehl"/>
          <w:sz w:val="26"/>
          <w:szCs w:val="26"/>
          <w:rtl/>
        </w:rPr>
        <w:t>תכנית זו נועדה לתקצב את פעילות הייעוץ המשפטי לממשלה. תכנית זו כוללת הן את רכיבי השכר והן את תקציב התפעול, האחזקה והקניות.</w:t>
      </w:r>
    </w:p>
    <w:p w14:paraId="125B25EF" w14:textId="77777777" w:rsidR="0033491A" w:rsidRDefault="0033491A" w:rsidP="0033491A">
      <w:pPr>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4DCAFC31" w14:textId="77777777" w:rsidR="0033491A" w:rsidRDefault="0033491A" w:rsidP="0033491A">
      <w:pPr>
        <w:jc w:val="both"/>
        <w:rPr>
          <w:rFonts w:ascii="FrankRuehl" w:hAnsi="FrankRuehl" w:cs="FrankRuehl"/>
          <w:b/>
          <w:bCs/>
          <w:sz w:val="26"/>
          <w:szCs w:val="26"/>
          <w:rtl/>
        </w:rPr>
      </w:pPr>
      <w:r>
        <w:rPr>
          <w:rFonts w:ascii="FrankRuehl" w:hAnsi="FrankRuehl" w:cs="FrankRuehl"/>
          <w:sz w:val="26"/>
          <w:szCs w:val="26"/>
          <w:rtl/>
        </w:rPr>
        <w:t>יתרת התחייבויות בגין הוצאות תפעול שוטפות מסוף שנת 2025 שטרם שולמו (חשבוניות סוף שנה מתקבלות ומשולמות רק בשנה העוקבת): דמי ניהול, ארנונה, תקשורת, חשמל, נייר צילום, אבטחה.</w:t>
      </w:r>
      <w:r>
        <w:rPr>
          <w:rFonts w:ascii="FrankRuehl" w:hAnsi="FrankRuehl" w:cs="FrankRuehl"/>
          <w:b/>
          <w:bCs/>
          <w:sz w:val="26"/>
          <w:szCs w:val="26"/>
          <w:rtl/>
        </w:rPr>
        <w:t xml:space="preserve"> </w:t>
      </w:r>
    </w:p>
    <w:p w14:paraId="7F39D0BE" w14:textId="795ABC5A" w:rsidR="0033491A" w:rsidRDefault="0033491A" w:rsidP="0033491A">
      <w:pPr>
        <w:jc w:val="both"/>
        <w:rPr>
          <w:rFonts w:ascii="FrankRuehl" w:hAnsi="FrankRuehl" w:cs="FrankRuehl"/>
          <w:b/>
          <w:bCs/>
          <w:sz w:val="26"/>
          <w:szCs w:val="26"/>
          <w:rtl/>
        </w:rPr>
      </w:pPr>
    </w:p>
    <w:p w14:paraId="28F8D45D" w14:textId="6CF7BD70" w:rsidR="0033491A" w:rsidRDefault="0033491A" w:rsidP="0033491A">
      <w:pPr>
        <w:jc w:val="both"/>
        <w:rPr>
          <w:rFonts w:ascii="FrankRuehl" w:hAnsi="FrankRuehl" w:cs="FrankRuehl"/>
          <w:b/>
          <w:bCs/>
          <w:sz w:val="26"/>
          <w:szCs w:val="26"/>
          <w:rtl/>
        </w:rPr>
      </w:pPr>
    </w:p>
    <w:p w14:paraId="772B60BA" w14:textId="77777777" w:rsidR="0033491A" w:rsidRDefault="0033491A" w:rsidP="0033491A">
      <w:pPr>
        <w:jc w:val="both"/>
        <w:rPr>
          <w:rFonts w:ascii="FrankRuehl" w:hAnsi="FrankRuehl" w:cs="FrankRuehl"/>
          <w:b/>
          <w:bCs/>
          <w:sz w:val="26"/>
          <w:szCs w:val="26"/>
        </w:rPr>
      </w:pPr>
    </w:p>
    <w:p w14:paraId="680A0D45" w14:textId="77777777" w:rsidR="0033491A" w:rsidRDefault="0033491A" w:rsidP="0033491A">
      <w:pPr>
        <w:jc w:val="both"/>
        <w:rPr>
          <w:rFonts w:ascii="FrankRuehl" w:hAnsi="FrankRuehl" w:cs="FrankRuehl"/>
          <w:b/>
          <w:bCs/>
          <w:sz w:val="26"/>
          <w:szCs w:val="26"/>
          <w:rtl/>
        </w:rPr>
      </w:pPr>
      <w:r>
        <w:rPr>
          <w:rFonts w:ascii="FrankRuehl" w:hAnsi="FrankRuehl" w:cs="FrankRuehl"/>
          <w:b/>
          <w:bCs/>
          <w:sz w:val="26"/>
          <w:szCs w:val="26"/>
          <w:rtl/>
        </w:rPr>
        <w:lastRenderedPageBreak/>
        <w:t>תכנית 085103: פרקליטות המדינה – 19,318 אלפי ש"ח</w:t>
      </w:r>
    </w:p>
    <w:p w14:paraId="64AC00D5" w14:textId="77777777" w:rsidR="0033491A" w:rsidRDefault="0033491A" w:rsidP="0033491A">
      <w:pPr>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 xml:space="preserve">: תכנית זו נועדה לתקצב את פעילותה של פרקליטות המדינה. תכנית זו כוללת הן את רכיבי השכר והן </w:t>
      </w:r>
      <w:r>
        <w:rPr>
          <w:rFonts w:ascii="FrankRuehl" w:hAnsi="FrankRuehl" w:cs="FrankRuehl"/>
          <w:sz w:val="26"/>
          <w:szCs w:val="26"/>
          <w:rtl/>
        </w:rPr>
        <w:t xml:space="preserve">את תקציב התפעול, האחזקה והקניות. בנוסף, </w:t>
      </w:r>
      <w:proofErr w:type="spellStart"/>
      <w:r>
        <w:rPr>
          <w:rFonts w:ascii="FrankRuehl" w:hAnsi="FrankRuehl" w:cs="FrankRuehl"/>
          <w:sz w:val="26"/>
          <w:szCs w:val="26"/>
          <w:rtl/>
        </w:rPr>
        <w:t>בתכנית</w:t>
      </w:r>
      <w:proofErr w:type="spellEnd"/>
      <w:r>
        <w:rPr>
          <w:rFonts w:ascii="FrankRuehl" w:hAnsi="FrankRuehl" w:cs="FrankRuehl"/>
          <w:sz w:val="26"/>
          <w:szCs w:val="26"/>
          <w:rtl/>
        </w:rPr>
        <w:t xml:space="preserve"> קיים תקציב עבור המחלקה לחקירות שוטרים וליחידה לתביעה יזומה בפרקליטות.</w:t>
      </w:r>
    </w:p>
    <w:p w14:paraId="35A8D361" w14:textId="77777777" w:rsidR="0033491A" w:rsidRDefault="0033491A" w:rsidP="0033491A">
      <w:pPr>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 xml:space="preserve">: </w:t>
      </w:r>
    </w:p>
    <w:p w14:paraId="28C20E93" w14:textId="77777777" w:rsidR="0033491A" w:rsidRDefault="0033491A" w:rsidP="0033491A">
      <w:pPr>
        <w:jc w:val="both"/>
        <w:rPr>
          <w:rFonts w:ascii="FrankRuehl" w:hAnsi="FrankRuehl" w:cs="FrankRuehl"/>
          <w:sz w:val="26"/>
          <w:szCs w:val="26"/>
          <w:rtl/>
        </w:rPr>
      </w:pPr>
      <w:r>
        <w:rPr>
          <w:rFonts w:ascii="FrankRuehl" w:hAnsi="FrankRuehl" w:cs="FrankRuehl"/>
          <w:sz w:val="26"/>
          <w:szCs w:val="26"/>
          <w:rtl/>
        </w:rPr>
        <w:t>יתרת התחייבויות בגין הוצאות תפעול שוטפות מסוף שנת 2025 שטרם שולמו (חשבוניות סוף שנה מתקבלות ומשולמות רק בשנה העוקבת)</w:t>
      </w:r>
    </w:p>
    <w:p w14:paraId="37B5EB2E" w14:textId="77777777" w:rsidR="0033491A" w:rsidRDefault="0033491A" w:rsidP="0033491A">
      <w:pPr>
        <w:jc w:val="both"/>
        <w:rPr>
          <w:rFonts w:ascii="FrankRuehl" w:hAnsi="FrankRuehl" w:cs="FrankRuehl"/>
          <w:sz w:val="26"/>
          <w:szCs w:val="26"/>
          <w:rtl/>
        </w:rPr>
      </w:pPr>
      <w:r>
        <w:rPr>
          <w:rFonts w:ascii="FrankRuehl" w:hAnsi="FrankRuehl" w:cs="FrankRuehl"/>
          <w:sz w:val="26"/>
          <w:szCs w:val="26"/>
          <w:rtl/>
        </w:rPr>
        <w:t>יתרות התחייבויות בגין שירותים הניתנים ליחידה לתביעה יזומה בפרקליטות. בעקבות הימשכות ההליכים המשפטיים, התשלומים האמורים מבוצעים בהתאם לביצוע בפועל.</w:t>
      </w:r>
    </w:p>
    <w:p w14:paraId="590C0C04" w14:textId="77777777" w:rsidR="0033491A" w:rsidRDefault="0033491A" w:rsidP="0033491A">
      <w:pPr>
        <w:jc w:val="both"/>
        <w:rPr>
          <w:rFonts w:ascii="FrankRuehl" w:hAnsi="FrankRuehl" w:cs="FrankRuehl"/>
          <w:b/>
          <w:bCs/>
          <w:sz w:val="26"/>
          <w:szCs w:val="26"/>
        </w:rPr>
      </w:pPr>
    </w:p>
    <w:p w14:paraId="3E35DA28" w14:textId="77777777" w:rsidR="0033491A" w:rsidRDefault="0033491A" w:rsidP="0033491A">
      <w:pPr>
        <w:jc w:val="both"/>
        <w:rPr>
          <w:rFonts w:ascii="FrankRuehl" w:hAnsi="FrankRuehl" w:cs="FrankRuehl"/>
          <w:b/>
          <w:bCs/>
          <w:sz w:val="26"/>
          <w:szCs w:val="26"/>
        </w:rPr>
      </w:pPr>
      <w:r>
        <w:rPr>
          <w:rFonts w:ascii="FrankRuehl" w:hAnsi="FrankRuehl" w:cs="FrankRuehl"/>
          <w:b/>
          <w:bCs/>
          <w:sz w:val="26"/>
          <w:szCs w:val="26"/>
          <w:rtl/>
        </w:rPr>
        <w:t>תכנית 085104: הסניגוריה הציבורית – 15,381 אלפי ש"ח</w:t>
      </w:r>
    </w:p>
    <w:p w14:paraId="32FF0F2B" w14:textId="77777777" w:rsidR="0033491A" w:rsidRDefault="0033491A" w:rsidP="0033491A">
      <w:pPr>
        <w:jc w:val="both"/>
        <w:rPr>
          <w:rFonts w:ascii="FrankRuehl" w:hAnsi="FrankRuehl" w:cs="FrankRuehl"/>
          <w:b/>
          <w:bCs/>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 xml:space="preserve">: </w:t>
      </w:r>
    </w:p>
    <w:p w14:paraId="7DF5A7E7" w14:textId="77777777" w:rsidR="0033491A" w:rsidRDefault="0033491A" w:rsidP="0033491A">
      <w:pPr>
        <w:jc w:val="both"/>
        <w:rPr>
          <w:rFonts w:ascii="FrankRuehl" w:hAnsi="FrankRuehl" w:cs="FrankRuehl"/>
          <w:sz w:val="26"/>
          <w:szCs w:val="26"/>
          <w:rtl/>
        </w:rPr>
      </w:pP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נועדה לתקצב את פעילות הסניגוריה הציבורית. תכנית זו כוללת הן את רכיבי השכר והן את תקציב התפעול, האחזקה והקניות. כמו כן, נכללים </w:t>
      </w:r>
      <w:proofErr w:type="spellStart"/>
      <w:r>
        <w:rPr>
          <w:rFonts w:ascii="FrankRuehl" w:hAnsi="FrankRuehl" w:cs="FrankRuehl"/>
          <w:sz w:val="26"/>
          <w:szCs w:val="26"/>
          <w:rtl/>
        </w:rPr>
        <w:t>בתכנית</w:t>
      </w:r>
      <w:proofErr w:type="spellEnd"/>
      <w:r>
        <w:rPr>
          <w:rFonts w:ascii="FrankRuehl" w:hAnsi="FrankRuehl" w:cs="FrankRuehl"/>
          <w:sz w:val="26"/>
          <w:szCs w:val="26"/>
          <w:rtl/>
        </w:rPr>
        <w:t xml:space="preserve"> זאת התשלומים על פי חוק לעורכי דין חיצוניים אשר מייצגים את העצורים והנאשמים בהליך הפלילי.</w:t>
      </w:r>
    </w:p>
    <w:p w14:paraId="54374D77" w14:textId="77777777" w:rsidR="0033491A" w:rsidRDefault="0033491A" w:rsidP="0033491A">
      <w:pPr>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68A3B481" w14:textId="77777777" w:rsidR="0033491A" w:rsidRDefault="0033491A" w:rsidP="0033491A">
      <w:pPr>
        <w:jc w:val="both"/>
        <w:rPr>
          <w:rFonts w:ascii="FrankRuehl" w:hAnsi="FrankRuehl" w:cs="FrankRuehl"/>
          <w:sz w:val="26"/>
          <w:szCs w:val="26"/>
          <w:rtl/>
        </w:rPr>
      </w:pPr>
      <w:r>
        <w:rPr>
          <w:rFonts w:ascii="FrankRuehl" w:hAnsi="FrankRuehl" w:cs="FrankRuehl"/>
          <w:sz w:val="26"/>
          <w:szCs w:val="26"/>
          <w:rtl/>
        </w:rPr>
        <w:t>יתרת התחייבויות בגין הוצאות תפעול שוטפות מסוף שנת 2025 שטרם שולמו (חשבוניות סוף שנה מתקבלות ומשולמות רק בשנה העוקבת)</w:t>
      </w:r>
    </w:p>
    <w:p w14:paraId="6B50B6BE" w14:textId="77777777" w:rsidR="0033491A" w:rsidRDefault="0033491A" w:rsidP="0033491A">
      <w:pPr>
        <w:jc w:val="both"/>
        <w:rPr>
          <w:rFonts w:ascii="FrankRuehl" w:hAnsi="FrankRuehl" w:cs="FrankRuehl"/>
          <w:sz w:val="26"/>
          <w:szCs w:val="26"/>
        </w:rPr>
      </w:pPr>
      <w:r>
        <w:rPr>
          <w:rFonts w:ascii="FrankRuehl" w:hAnsi="FrankRuehl" w:cs="FrankRuehl"/>
          <w:sz w:val="26"/>
          <w:szCs w:val="26"/>
          <w:rtl/>
        </w:rPr>
        <w:t>יתרות התחייבויות בגין שירותי ייצוג של עורכי דין במיקור חוץ (התשלומים לעורכי הדין משולמים בהתאם לקצב ההתקדמות במשפט) – פעילות הסניגוריה הציבורית מבוססת על מיקור חוץ של חלק ניכר מהתיקים המטופלים על ידה, המועברים לידי עורכי דין חיצוניים (עורכי דין פרטיים או עצמאים), לצד עבודתם של עורכי הדין עובדי הסניגוריה. ההסמכה החוקית להעברת התיקים לידי עורכי דין חיצוניים קבועה בסעיף 12 לחוק</w:t>
      </w:r>
      <w:r>
        <w:rPr>
          <w:rFonts w:ascii="FrankRuehl" w:hAnsi="FrankRuehl" w:cs="FrankRuehl"/>
          <w:sz w:val="26"/>
          <w:szCs w:val="26"/>
        </w:rPr>
        <w:t xml:space="preserve"> </w:t>
      </w:r>
      <w:r>
        <w:rPr>
          <w:rFonts w:ascii="FrankRuehl" w:hAnsi="FrankRuehl" w:cs="FrankRuehl"/>
          <w:sz w:val="26"/>
          <w:szCs w:val="26"/>
          <w:rtl/>
        </w:rPr>
        <w:t>הסניגוריה הציבורית, תשנ"ו-1995.</w:t>
      </w:r>
    </w:p>
    <w:p w14:paraId="1B1D9208" w14:textId="77777777" w:rsidR="0033491A" w:rsidRDefault="0033491A" w:rsidP="0033491A">
      <w:pPr>
        <w:jc w:val="both"/>
        <w:rPr>
          <w:rFonts w:ascii="FrankRuehl" w:hAnsi="FrankRuehl" w:cs="FrankRuehl"/>
          <w:b/>
          <w:bCs/>
          <w:sz w:val="26"/>
          <w:szCs w:val="26"/>
          <w:rtl/>
        </w:rPr>
      </w:pPr>
    </w:p>
    <w:p w14:paraId="5877FBEB" w14:textId="77777777" w:rsidR="0033491A" w:rsidRDefault="0033491A" w:rsidP="0033491A">
      <w:pPr>
        <w:jc w:val="both"/>
        <w:rPr>
          <w:rFonts w:ascii="FrankRuehl" w:hAnsi="FrankRuehl" w:cs="FrankRuehl"/>
          <w:b/>
          <w:bCs/>
          <w:sz w:val="26"/>
          <w:szCs w:val="26"/>
          <w:rtl/>
        </w:rPr>
      </w:pPr>
      <w:r>
        <w:rPr>
          <w:rFonts w:ascii="FrankRuehl" w:hAnsi="FrankRuehl" w:cs="FrankRuehl"/>
          <w:b/>
          <w:bCs/>
          <w:sz w:val="26"/>
          <w:szCs w:val="26"/>
          <w:rtl/>
        </w:rPr>
        <w:t>תכנית 085105: הסיוע המשפטי – 15,707 אלפי ש"ח</w:t>
      </w:r>
    </w:p>
    <w:p w14:paraId="0E085D5C" w14:textId="77777777" w:rsidR="0033491A" w:rsidRDefault="0033491A" w:rsidP="0033491A">
      <w:pPr>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 xml:space="preserve">: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נועדה לתקצב את פעילות הסיוע המשפטי. תכנית זו כוללת הן את רכיבי השכר והן את תקציב התפעול, האחזקה והקניות. כמו כן, נכללים </w:t>
      </w:r>
      <w:proofErr w:type="spellStart"/>
      <w:r>
        <w:rPr>
          <w:rFonts w:ascii="FrankRuehl" w:hAnsi="FrankRuehl" w:cs="FrankRuehl"/>
          <w:sz w:val="26"/>
          <w:szCs w:val="26"/>
          <w:rtl/>
        </w:rPr>
        <w:t>בתכנית</w:t>
      </w:r>
      <w:proofErr w:type="spellEnd"/>
      <w:r>
        <w:rPr>
          <w:rFonts w:ascii="FrankRuehl" w:hAnsi="FrankRuehl" w:cs="FrankRuehl"/>
          <w:sz w:val="26"/>
          <w:szCs w:val="26"/>
          <w:rtl/>
        </w:rPr>
        <w:t xml:space="preserve"> זאת התשלומים על פי חוק לעורכי דין חיצוניים אשר נותנים שירותי ייעוץ וליווי משפטי לזכאים.</w:t>
      </w:r>
    </w:p>
    <w:p w14:paraId="71F256FB" w14:textId="77777777" w:rsidR="0033491A" w:rsidRDefault="0033491A" w:rsidP="0033491A">
      <w:pPr>
        <w:jc w:val="both"/>
        <w:rPr>
          <w:rFonts w:ascii="FrankRuehl" w:hAnsi="FrankRuehl" w:cs="FrankRuehl"/>
          <w:b/>
          <w:bCs/>
          <w:sz w:val="26"/>
          <w:szCs w:val="26"/>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78FFBCBD" w14:textId="77777777" w:rsidR="0033491A" w:rsidRDefault="0033491A" w:rsidP="0033491A">
      <w:pPr>
        <w:jc w:val="both"/>
        <w:rPr>
          <w:rFonts w:ascii="FrankRuehl" w:hAnsi="FrankRuehl" w:cs="FrankRuehl"/>
          <w:sz w:val="26"/>
          <w:szCs w:val="26"/>
          <w:rtl/>
        </w:rPr>
      </w:pPr>
      <w:r>
        <w:rPr>
          <w:rFonts w:ascii="FrankRuehl" w:hAnsi="FrankRuehl" w:cs="FrankRuehl"/>
          <w:sz w:val="26"/>
          <w:szCs w:val="26"/>
          <w:rtl/>
        </w:rPr>
        <w:t xml:space="preserve">יתרת התחייבויות בגין שירותי ייצוג של עורכי דין במיקור חוץ. התשלומים לעורכי הדין משולמים בהתאם לקצב ההתקדמות במשפט. </w:t>
      </w:r>
    </w:p>
    <w:p w14:paraId="05F88BAF" w14:textId="77777777" w:rsidR="0033491A" w:rsidRDefault="0033491A" w:rsidP="0033491A">
      <w:pPr>
        <w:jc w:val="both"/>
        <w:rPr>
          <w:rFonts w:ascii="FrankRuehl" w:hAnsi="FrankRuehl" w:cs="FrankRuehl"/>
          <w:b/>
          <w:bCs/>
          <w:sz w:val="26"/>
          <w:szCs w:val="26"/>
          <w:rtl/>
        </w:rPr>
      </w:pPr>
    </w:p>
    <w:p w14:paraId="2B137724" w14:textId="77777777" w:rsidR="0033491A" w:rsidRDefault="0033491A" w:rsidP="0033491A">
      <w:pPr>
        <w:jc w:val="both"/>
        <w:rPr>
          <w:rFonts w:ascii="FrankRuehl" w:hAnsi="FrankRuehl" w:cs="FrankRuehl"/>
          <w:b/>
          <w:bCs/>
          <w:sz w:val="26"/>
          <w:szCs w:val="26"/>
          <w:rtl/>
        </w:rPr>
      </w:pPr>
      <w:r>
        <w:rPr>
          <w:rFonts w:ascii="FrankRuehl" w:hAnsi="FrankRuehl" w:cs="FrankRuehl"/>
          <w:b/>
          <w:bCs/>
          <w:sz w:val="26"/>
          <w:szCs w:val="26"/>
          <w:rtl/>
        </w:rPr>
        <w:t>תכנית 085107: הרשות ליישום חוק איסור הלבנת הון – 5,881 אלפי ש"ח</w:t>
      </w:r>
    </w:p>
    <w:p w14:paraId="24CE6D42" w14:textId="77777777" w:rsidR="0033491A" w:rsidRDefault="0033491A" w:rsidP="0033491A">
      <w:pPr>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 xml:space="preserve">: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נועדה לתקצב את פעילות הרשות לאיסור הלבנת הון ומימון טרור. תוכנית זו כוללת הן את רכיבי השכר והן את תקציב התפעול</w:t>
      </w:r>
      <w:r>
        <w:rPr>
          <w:rFonts w:ascii="FrankRuehl" w:hAnsi="FrankRuehl" w:cs="FrankRuehl"/>
          <w:sz w:val="26"/>
          <w:szCs w:val="26"/>
        </w:rPr>
        <w:t xml:space="preserve">, </w:t>
      </w:r>
      <w:r>
        <w:rPr>
          <w:rFonts w:ascii="FrankRuehl" w:hAnsi="FrankRuehl" w:cs="FrankRuehl"/>
          <w:sz w:val="26"/>
          <w:szCs w:val="26"/>
          <w:rtl/>
        </w:rPr>
        <w:t>האחזקה והקניות. כמו כן, נכללים בתוכנית זאת הוצאות ניהול מאגר המידע המנוהל על ידי הרשות בנושאים המנויים בחוק</w:t>
      </w:r>
      <w:r>
        <w:rPr>
          <w:rFonts w:ascii="FrankRuehl" w:hAnsi="FrankRuehl" w:cs="FrankRuehl"/>
          <w:sz w:val="26"/>
          <w:szCs w:val="26"/>
        </w:rPr>
        <w:t>.</w:t>
      </w:r>
    </w:p>
    <w:p w14:paraId="1E4233E7" w14:textId="77777777" w:rsidR="0033491A" w:rsidRDefault="0033491A" w:rsidP="0033491A">
      <w:pPr>
        <w:jc w:val="both"/>
        <w:rPr>
          <w:rFonts w:ascii="FrankRuehl" w:hAnsi="FrankRuehl" w:cs="FrankRuehl"/>
          <w:b/>
          <w:bCs/>
          <w:sz w:val="26"/>
          <w:szCs w:val="26"/>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6CCDDDDC" w14:textId="77777777" w:rsidR="0033491A" w:rsidRDefault="0033491A" w:rsidP="0033491A">
      <w:pPr>
        <w:jc w:val="both"/>
        <w:rPr>
          <w:rFonts w:ascii="FrankRuehl" w:hAnsi="FrankRuehl" w:cs="FrankRuehl"/>
          <w:sz w:val="26"/>
          <w:szCs w:val="26"/>
          <w:rtl/>
        </w:rPr>
      </w:pPr>
      <w:r>
        <w:rPr>
          <w:rFonts w:ascii="FrankRuehl" w:hAnsi="FrankRuehl" w:cs="FrankRuehl"/>
          <w:sz w:val="26"/>
          <w:szCs w:val="26"/>
          <w:rtl/>
        </w:rPr>
        <w:t>יתרת התחייבויות בגין הוצאות תפעול שוטפות מסוף שנת 2025 שטרם שולמו (חשבוניות סוף שנה מתקבלות ומשולמות רק בשנה העוקבת): דמי ניהול, ארנונה, תקשורת, חשמל, נייר צילום, אבטחה.</w:t>
      </w:r>
    </w:p>
    <w:p w14:paraId="30C542EC" w14:textId="77777777" w:rsidR="0033491A" w:rsidRDefault="0033491A" w:rsidP="0033491A">
      <w:pPr>
        <w:jc w:val="both"/>
        <w:rPr>
          <w:rFonts w:ascii="FrankRuehl" w:hAnsi="FrankRuehl" w:cs="FrankRuehl"/>
          <w:b/>
          <w:bCs/>
          <w:sz w:val="26"/>
          <w:szCs w:val="26"/>
          <w:rtl/>
        </w:rPr>
      </w:pPr>
    </w:p>
    <w:p w14:paraId="1AA53745" w14:textId="77777777" w:rsidR="0033491A" w:rsidRDefault="0033491A" w:rsidP="0033491A">
      <w:pPr>
        <w:jc w:val="both"/>
        <w:rPr>
          <w:rFonts w:ascii="FrankRuehl" w:hAnsi="FrankRuehl" w:cs="FrankRuehl"/>
          <w:b/>
          <w:bCs/>
          <w:sz w:val="26"/>
          <w:szCs w:val="26"/>
          <w:rtl/>
        </w:rPr>
      </w:pPr>
    </w:p>
    <w:p w14:paraId="4F461C3F" w14:textId="77777777" w:rsidR="0033491A" w:rsidRDefault="0033491A" w:rsidP="0033491A">
      <w:pPr>
        <w:jc w:val="both"/>
        <w:rPr>
          <w:rFonts w:ascii="FrankRuehl" w:hAnsi="FrankRuehl" w:cs="FrankRuehl"/>
          <w:b/>
          <w:bCs/>
          <w:sz w:val="26"/>
          <w:szCs w:val="26"/>
          <w:rtl/>
        </w:rPr>
      </w:pPr>
      <w:r>
        <w:rPr>
          <w:rFonts w:ascii="FrankRuehl" w:hAnsi="FrankRuehl" w:cs="FrankRuehl"/>
          <w:b/>
          <w:bCs/>
          <w:sz w:val="26"/>
          <w:szCs w:val="26"/>
          <w:rtl/>
        </w:rPr>
        <w:t>תכנית 085109: מנהלת היחידות המקצועיות – 13,911 אלפי ש"ח</w:t>
      </w:r>
    </w:p>
    <w:p w14:paraId="4FB66FFB" w14:textId="5C0650E8" w:rsidR="0033491A" w:rsidRDefault="0033491A" w:rsidP="0033491A">
      <w:pPr>
        <w:jc w:val="both"/>
        <w:rPr>
          <w:rFonts w:ascii="FrankRuehl" w:hAnsi="FrankRuehl" w:cs="FrankRuehl"/>
          <w:b/>
          <w:bCs/>
          <w:sz w:val="26"/>
          <w:szCs w:val="26"/>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 xml:space="preserve">: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נועדה לתקצוב הפעילות ביחידות הבאות: רשם המתווכים; ועדת עיזבונות </w:t>
      </w:r>
      <w:r>
        <w:rPr>
          <w:rFonts w:ascii="FrankRuehl" w:hAnsi="FrankRuehl" w:cs="FrankRuehl" w:hint="cs"/>
          <w:sz w:val="26"/>
          <w:szCs w:val="26"/>
          <w:rtl/>
        </w:rPr>
        <w:t>עבור</w:t>
      </w:r>
      <w:r>
        <w:rPr>
          <w:rFonts w:ascii="FrankRuehl" w:hAnsi="FrankRuehl" w:cs="FrankRuehl"/>
          <w:sz w:val="26"/>
          <w:szCs w:val="26"/>
          <w:rtl/>
        </w:rPr>
        <w:t xml:space="preserve"> המדינה; מועצת רואי חשבון; מועצת שמאי מקרקעין; הוועדה לרישוי חוקרים פרטיים.</w:t>
      </w:r>
    </w:p>
    <w:p w14:paraId="24F2DAE2" w14:textId="77777777" w:rsidR="0033491A" w:rsidRDefault="0033491A" w:rsidP="0033491A">
      <w:pPr>
        <w:jc w:val="both"/>
        <w:rPr>
          <w:rFonts w:ascii="FrankRuehl" w:hAnsi="FrankRuehl" w:cs="FrankRuehl"/>
          <w:b/>
          <w:bCs/>
          <w:sz w:val="26"/>
          <w:szCs w:val="26"/>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13C3DCC2" w14:textId="77777777" w:rsidR="0033491A" w:rsidRDefault="0033491A" w:rsidP="0033491A">
      <w:pPr>
        <w:jc w:val="both"/>
        <w:rPr>
          <w:rFonts w:ascii="FrankRuehl" w:hAnsi="FrankRuehl" w:cs="FrankRuehl"/>
          <w:sz w:val="26"/>
          <w:szCs w:val="26"/>
          <w:rtl/>
        </w:rPr>
      </w:pPr>
      <w:r>
        <w:rPr>
          <w:rFonts w:ascii="FrankRuehl" w:hAnsi="FrankRuehl" w:cs="FrankRuehl"/>
          <w:sz w:val="26"/>
          <w:szCs w:val="26"/>
          <w:rtl/>
        </w:rPr>
        <w:t>יתרת התחייבויות בגין הוצאות תפעול שוטפות מסוף שנת 2025 שטרם שולמו (חשבוניות סוף שנה מתקבלות ומשולמות רק בשנה העוקבת): דמי ניהול, ארנונה, תקשורת, חשמל, נייר צילום, אבטחה.</w:t>
      </w:r>
    </w:p>
    <w:p w14:paraId="5BF8AAFC" w14:textId="77777777" w:rsidR="0033491A" w:rsidRDefault="0033491A" w:rsidP="0033491A">
      <w:pPr>
        <w:jc w:val="both"/>
        <w:rPr>
          <w:rFonts w:ascii="FrankRuehl" w:hAnsi="FrankRuehl" w:cs="FrankRuehl"/>
          <w:sz w:val="26"/>
          <w:szCs w:val="26"/>
        </w:rPr>
      </w:pPr>
      <w:r>
        <w:rPr>
          <w:rFonts w:ascii="FrankRuehl" w:hAnsi="FrankRuehl" w:cs="FrankRuehl"/>
          <w:sz w:val="26"/>
          <w:szCs w:val="26"/>
          <w:rtl/>
        </w:rPr>
        <w:t xml:space="preserve">יתרת התחייבויות בגין התקשרויות עם מחקרי בחינות ובודקי בחינות ההסמכה של מועצת רואי החשבון ומועצת השמאים וכן שכירת אולמות לצורך בחינות ההסמכה במקצועות השונים. התקשרויות אלו מתבצעות לקראת סוף כל שנה והתשלום בגינן מועבר בשנה העוקבת. </w:t>
      </w:r>
    </w:p>
    <w:p w14:paraId="6DC45B56" w14:textId="562AC744" w:rsidR="0033491A" w:rsidRDefault="0033491A" w:rsidP="0033491A">
      <w:pPr>
        <w:jc w:val="both"/>
        <w:rPr>
          <w:rFonts w:ascii="FrankRuehl" w:hAnsi="FrankRuehl" w:cs="FrankRuehl"/>
          <w:sz w:val="26"/>
          <w:szCs w:val="26"/>
          <w:rtl/>
        </w:rPr>
      </w:pPr>
    </w:p>
    <w:p w14:paraId="422B53BE" w14:textId="77777777" w:rsidR="0033491A" w:rsidRDefault="0033491A" w:rsidP="0033491A">
      <w:pPr>
        <w:jc w:val="both"/>
        <w:rPr>
          <w:rFonts w:ascii="FrankRuehl" w:hAnsi="FrankRuehl" w:cs="FrankRuehl"/>
          <w:sz w:val="26"/>
          <w:szCs w:val="26"/>
        </w:rPr>
      </w:pPr>
    </w:p>
    <w:p w14:paraId="20F0F19F" w14:textId="77777777" w:rsidR="0033491A" w:rsidRDefault="0033491A" w:rsidP="0033491A">
      <w:pPr>
        <w:jc w:val="both"/>
        <w:rPr>
          <w:rFonts w:ascii="FrankRuehl" w:hAnsi="FrankRuehl" w:cs="FrankRuehl"/>
          <w:b/>
          <w:bCs/>
          <w:sz w:val="26"/>
          <w:szCs w:val="26"/>
        </w:rPr>
      </w:pPr>
      <w:r>
        <w:rPr>
          <w:rFonts w:ascii="FrankRuehl" w:hAnsi="FrankRuehl" w:cs="FrankRuehl"/>
          <w:b/>
          <w:bCs/>
          <w:sz w:val="26"/>
          <w:szCs w:val="26"/>
          <w:rtl/>
        </w:rPr>
        <w:lastRenderedPageBreak/>
        <w:t>תכנית 085110: רישום והסדר המקרקעין – 19,576 אלפי ש"ח</w:t>
      </w:r>
    </w:p>
    <w:p w14:paraId="56723282" w14:textId="77777777" w:rsidR="0033491A" w:rsidRDefault="0033491A" w:rsidP="0033491A">
      <w:pPr>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 xml:space="preserve">: </w:t>
      </w:r>
      <w:r>
        <w:rPr>
          <w:rFonts w:ascii="FrankRuehl" w:hAnsi="FrankRuehl" w:cs="FrankRuehl"/>
          <w:sz w:val="26"/>
          <w:szCs w:val="26"/>
          <w:rtl/>
        </w:rPr>
        <w:t>תכנית זו נועדה לתקצוב אגף רישום והסדר המקרקעין (טאבו), אשר נועד להסדיר את ענייני הקניין והבעלות במקרקעין בישראל.</w:t>
      </w:r>
    </w:p>
    <w:p w14:paraId="76088595" w14:textId="77777777" w:rsidR="0033491A" w:rsidRDefault="0033491A" w:rsidP="0033491A">
      <w:pPr>
        <w:jc w:val="both"/>
        <w:rPr>
          <w:rFonts w:ascii="FrankRuehl" w:hAnsi="FrankRuehl" w:cs="FrankRuehl"/>
          <w:b/>
          <w:bCs/>
          <w:sz w:val="26"/>
          <w:szCs w:val="26"/>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3FF99599" w14:textId="77777777" w:rsidR="0033491A" w:rsidRDefault="0033491A" w:rsidP="0033491A">
      <w:pPr>
        <w:jc w:val="both"/>
        <w:rPr>
          <w:rFonts w:ascii="FrankRuehl" w:hAnsi="FrankRuehl" w:cs="FrankRuehl"/>
          <w:sz w:val="26"/>
          <w:szCs w:val="26"/>
          <w:rtl/>
        </w:rPr>
      </w:pPr>
      <w:r>
        <w:rPr>
          <w:rFonts w:ascii="FrankRuehl" w:hAnsi="FrankRuehl" w:cs="FrankRuehl"/>
          <w:sz w:val="26"/>
          <w:szCs w:val="26"/>
          <w:rtl/>
        </w:rPr>
        <w:t xml:space="preserve">יתרת התחייבויות בגין הוצאות תפעול שוטפות </w:t>
      </w:r>
      <w:proofErr w:type="spellStart"/>
      <w:r>
        <w:rPr>
          <w:rFonts w:ascii="FrankRuehl" w:hAnsi="FrankRuehl" w:cs="FrankRuehl"/>
          <w:sz w:val="26"/>
          <w:szCs w:val="26"/>
          <w:rtl/>
        </w:rPr>
        <w:t>ופרוייקטים</w:t>
      </w:r>
      <w:proofErr w:type="spellEnd"/>
      <w:r>
        <w:rPr>
          <w:rFonts w:ascii="FrankRuehl" w:hAnsi="FrankRuehl" w:cs="FrankRuehl"/>
          <w:sz w:val="26"/>
          <w:szCs w:val="26"/>
          <w:rtl/>
        </w:rPr>
        <w:t xml:space="preserve"> מסוף שנת 2025 שטרם שולמו (חשבוניות סוף שנה מתקבלות ומשולמות רק בשנה העוקבת).</w:t>
      </w:r>
    </w:p>
    <w:p w14:paraId="64ECDAC8" w14:textId="77777777" w:rsidR="0033491A" w:rsidRDefault="0033491A" w:rsidP="0033491A">
      <w:pPr>
        <w:jc w:val="both"/>
        <w:rPr>
          <w:rFonts w:ascii="FrankRuehl" w:hAnsi="FrankRuehl" w:cs="FrankRuehl"/>
          <w:b/>
          <w:bCs/>
          <w:sz w:val="26"/>
          <w:szCs w:val="26"/>
        </w:rPr>
      </w:pPr>
    </w:p>
    <w:p w14:paraId="6D922071" w14:textId="77777777" w:rsidR="0033491A" w:rsidRDefault="0033491A" w:rsidP="0033491A">
      <w:pPr>
        <w:jc w:val="both"/>
        <w:rPr>
          <w:rFonts w:ascii="FrankRuehl" w:hAnsi="FrankRuehl" w:cs="FrankRuehl"/>
          <w:b/>
          <w:bCs/>
          <w:sz w:val="26"/>
          <w:szCs w:val="26"/>
          <w:rtl/>
        </w:rPr>
      </w:pPr>
      <w:r>
        <w:rPr>
          <w:rFonts w:ascii="FrankRuehl" w:hAnsi="FrankRuehl" w:cs="FrankRuehl"/>
          <w:b/>
          <w:bCs/>
          <w:sz w:val="26"/>
          <w:szCs w:val="26"/>
          <w:rtl/>
        </w:rPr>
        <w:t>תכנית 085111: רשות הפטנטים – 8,790 אלפי ש"ח</w:t>
      </w:r>
    </w:p>
    <w:p w14:paraId="19F37D93" w14:textId="77777777" w:rsidR="0033491A" w:rsidRDefault="0033491A" w:rsidP="0033491A">
      <w:pPr>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 xml:space="preserve">: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נועדה לתקצב את פעילות רשות הפטנטים. תכנית זו כוללת הן את רכיבי השכר והן את תקציב התפעול, האחזקה והקניות.</w:t>
      </w:r>
    </w:p>
    <w:p w14:paraId="2D2520E2" w14:textId="77777777" w:rsidR="0033491A" w:rsidRDefault="0033491A" w:rsidP="0033491A">
      <w:pPr>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046B4596" w14:textId="77777777" w:rsidR="0033491A" w:rsidRDefault="0033491A" w:rsidP="0033491A">
      <w:pPr>
        <w:jc w:val="both"/>
        <w:rPr>
          <w:rFonts w:ascii="FrankRuehl" w:hAnsi="FrankRuehl" w:cs="FrankRuehl"/>
          <w:sz w:val="26"/>
          <w:szCs w:val="26"/>
          <w:rtl/>
        </w:rPr>
      </w:pPr>
      <w:r>
        <w:rPr>
          <w:rFonts w:ascii="FrankRuehl" w:hAnsi="FrankRuehl" w:cs="FrankRuehl"/>
          <w:sz w:val="26"/>
          <w:szCs w:val="26"/>
          <w:rtl/>
        </w:rPr>
        <w:t xml:space="preserve">יתרת התחייבויות בגין הוצאות תפעול שוטפות מסוף שנת 2025 שטרם שולמו (חשבוניות סוף שנה מתקבלות ומשולמות רק בשנה העוקבת): דמי ניהול, ארנונה, תקשורת, חשמל, נייר צילום, אבטחה; </w:t>
      </w:r>
    </w:p>
    <w:p w14:paraId="225949E9" w14:textId="77777777" w:rsidR="0033491A" w:rsidRDefault="0033491A" w:rsidP="0033491A">
      <w:pPr>
        <w:jc w:val="both"/>
        <w:rPr>
          <w:rFonts w:ascii="FrankRuehl" w:hAnsi="FrankRuehl" w:cs="FrankRuehl"/>
          <w:b/>
          <w:bCs/>
          <w:sz w:val="26"/>
          <w:szCs w:val="26"/>
          <w:rtl/>
        </w:rPr>
      </w:pPr>
    </w:p>
    <w:p w14:paraId="56752EE2" w14:textId="77777777" w:rsidR="0033491A" w:rsidRDefault="0033491A" w:rsidP="0033491A">
      <w:pPr>
        <w:jc w:val="both"/>
        <w:rPr>
          <w:rFonts w:ascii="FrankRuehl" w:hAnsi="FrankRuehl" w:cs="FrankRuehl"/>
          <w:b/>
          <w:bCs/>
          <w:sz w:val="26"/>
          <w:szCs w:val="26"/>
        </w:rPr>
      </w:pPr>
      <w:r>
        <w:rPr>
          <w:rFonts w:ascii="FrankRuehl" w:hAnsi="FrankRuehl" w:cs="FrankRuehl"/>
          <w:b/>
          <w:bCs/>
          <w:sz w:val="26"/>
          <w:szCs w:val="26"/>
          <w:rtl/>
        </w:rPr>
        <w:t>תכנית 085112: האפוטרופוס הכללי וכונס הנכסים הרשמי – 14,935 אלפי ש"ח</w:t>
      </w:r>
    </w:p>
    <w:p w14:paraId="689479A1" w14:textId="77777777" w:rsidR="0033491A" w:rsidRDefault="0033491A" w:rsidP="0033491A">
      <w:pPr>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 xml:space="preserve">: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נועדה לתקצב את פעילות אגף האפוטרופוס הכללי וכונס הנכסים הרשמי. תכנית זו כוללת הן את רכיבי השכר והן את תקציב התפעול, האחזקה והקניות. </w:t>
      </w:r>
    </w:p>
    <w:p w14:paraId="230AF40D" w14:textId="77777777" w:rsidR="0033491A" w:rsidRDefault="0033491A" w:rsidP="0033491A">
      <w:pPr>
        <w:jc w:val="both"/>
        <w:rPr>
          <w:rFonts w:ascii="FrankRuehl" w:hAnsi="FrankRuehl" w:cs="FrankRuehl"/>
          <w:b/>
          <w:bCs/>
          <w:sz w:val="26"/>
          <w:szCs w:val="26"/>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76415309" w14:textId="77777777" w:rsidR="0033491A" w:rsidRDefault="0033491A" w:rsidP="0033491A">
      <w:pPr>
        <w:jc w:val="both"/>
        <w:rPr>
          <w:rFonts w:ascii="FrankRuehl" w:hAnsi="FrankRuehl" w:cs="FrankRuehl"/>
          <w:sz w:val="26"/>
          <w:szCs w:val="26"/>
          <w:rtl/>
        </w:rPr>
      </w:pPr>
      <w:r>
        <w:rPr>
          <w:rFonts w:ascii="FrankRuehl" w:hAnsi="FrankRuehl" w:cs="FrankRuehl"/>
          <w:sz w:val="26"/>
          <w:szCs w:val="26"/>
          <w:rtl/>
        </w:rPr>
        <w:t>יתרת התחייבויות בגין הוצאות תפעול שוטפות מסוף שנת 2025 שטרם שולמו (חשבוניות סוף שנה מתקבלות ומשולמות רק בשנה העוקבת).</w:t>
      </w:r>
    </w:p>
    <w:p w14:paraId="267FACE1" w14:textId="77777777" w:rsidR="0033491A" w:rsidRDefault="0033491A" w:rsidP="0033491A">
      <w:pPr>
        <w:jc w:val="both"/>
        <w:rPr>
          <w:rFonts w:ascii="FrankRuehl" w:hAnsi="FrankRuehl" w:cs="FrankRuehl"/>
          <w:b/>
          <w:bCs/>
          <w:sz w:val="26"/>
          <w:szCs w:val="26"/>
          <w:rtl/>
        </w:rPr>
      </w:pPr>
    </w:p>
    <w:p w14:paraId="0B17F12F" w14:textId="77777777" w:rsidR="0033491A" w:rsidRDefault="0033491A" w:rsidP="0033491A">
      <w:pPr>
        <w:jc w:val="both"/>
        <w:rPr>
          <w:rFonts w:ascii="FrankRuehl" w:hAnsi="FrankRuehl" w:cs="FrankRuehl"/>
          <w:b/>
          <w:bCs/>
          <w:sz w:val="26"/>
          <w:szCs w:val="26"/>
          <w:rtl/>
        </w:rPr>
      </w:pPr>
      <w:r>
        <w:rPr>
          <w:rFonts w:ascii="FrankRuehl" w:hAnsi="FrankRuehl" w:cs="FrankRuehl"/>
          <w:b/>
          <w:bCs/>
          <w:sz w:val="26"/>
          <w:szCs w:val="26"/>
          <w:rtl/>
        </w:rPr>
        <w:t>תכנית 085114: רשות התאגידים – 17,839 אלפי ש"ח</w:t>
      </w:r>
    </w:p>
    <w:p w14:paraId="308C4974" w14:textId="77777777" w:rsidR="0033491A" w:rsidRDefault="0033491A" w:rsidP="0033491A">
      <w:pPr>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 xml:space="preserve">: </w:t>
      </w:r>
      <w:r>
        <w:rPr>
          <w:rFonts w:ascii="FrankRuehl" w:hAnsi="FrankRuehl" w:cs="FrankRuehl"/>
          <w:sz w:val="26"/>
          <w:szCs w:val="26"/>
          <w:rtl/>
        </w:rPr>
        <w:t xml:space="preserve">תכנית זו נועדה לתקצוב רשות התאגידים הכוללת את רשם החברות, רשם השותפויות, רשם שמות העסק, רשם </w:t>
      </w:r>
      <w:proofErr w:type="spellStart"/>
      <w:r>
        <w:rPr>
          <w:rFonts w:ascii="FrankRuehl" w:hAnsi="FrankRuehl" w:cs="FrankRuehl"/>
          <w:sz w:val="26"/>
          <w:szCs w:val="26"/>
          <w:rtl/>
        </w:rPr>
        <w:t>המשכונות</w:t>
      </w:r>
      <w:proofErr w:type="spellEnd"/>
      <w:r>
        <w:rPr>
          <w:rFonts w:ascii="FrankRuehl" w:hAnsi="FrankRuehl" w:cs="FrankRuehl"/>
          <w:sz w:val="26"/>
          <w:szCs w:val="26"/>
          <w:rtl/>
        </w:rPr>
        <w:t>, רשם המפלגות וההקדשות ורשם העמותות</w:t>
      </w:r>
      <w:r>
        <w:rPr>
          <w:rFonts w:ascii="FrankRuehl" w:hAnsi="FrankRuehl" w:cs="FrankRuehl"/>
          <w:sz w:val="26"/>
          <w:szCs w:val="26"/>
        </w:rPr>
        <w:t>.</w:t>
      </w:r>
    </w:p>
    <w:p w14:paraId="10EAB585" w14:textId="77777777" w:rsidR="0033491A" w:rsidRDefault="0033491A" w:rsidP="0033491A">
      <w:pPr>
        <w:jc w:val="both"/>
        <w:rPr>
          <w:rFonts w:ascii="FrankRuehl" w:hAnsi="FrankRuehl" w:cs="FrankRuehl"/>
          <w:b/>
          <w:bCs/>
          <w:sz w:val="26"/>
          <w:szCs w:val="26"/>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174262A5" w14:textId="77777777" w:rsidR="0033491A" w:rsidRDefault="0033491A" w:rsidP="0033491A">
      <w:pPr>
        <w:jc w:val="both"/>
        <w:rPr>
          <w:rFonts w:ascii="FrankRuehl" w:hAnsi="FrankRuehl" w:cs="FrankRuehl"/>
          <w:sz w:val="26"/>
          <w:szCs w:val="26"/>
          <w:rtl/>
        </w:rPr>
      </w:pPr>
      <w:r>
        <w:rPr>
          <w:rFonts w:ascii="FrankRuehl" w:hAnsi="FrankRuehl" w:cs="FrankRuehl"/>
          <w:sz w:val="26"/>
          <w:szCs w:val="26"/>
          <w:rtl/>
        </w:rPr>
        <w:t>יתרת התחייבויות בגין הוצאות תפעול שוטפות מסוף שנת 2025 שטרם שולמו (חשבוניות סוף שנה מתקבלות ומשולמות רק בשנה העוקבת): דמי ניהול, ארנונה, תקשורת, חשמל, נייר צילום, אבטחה.</w:t>
      </w:r>
    </w:p>
    <w:p w14:paraId="68CF17AD" w14:textId="77777777" w:rsidR="0033491A" w:rsidRDefault="0033491A" w:rsidP="0033491A">
      <w:pPr>
        <w:jc w:val="both"/>
        <w:rPr>
          <w:rFonts w:ascii="FrankRuehl" w:hAnsi="FrankRuehl" w:cs="FrankRuehl"/>
          <w:b/>
          <w:bCs/>
          <w:sz w:val="26"/>
          <w:szCs w:val="26"/>
        </w:rPr>
      </w:pPr>
    </w:p>
    <w:p w14:paraId="6BCC297A" w14:textId="77777777" w:rsidR="0033491A" w:rsidRDefault="0033491A" w:rsidP="0033491A">
      <w:pPr>
        <w:jc w:val="both"/>
        <w:rPr>
          <w:rFonts w:ascii="FrankRuehl" w:hAnsi="FrankRuehl" w:cs="FrankRuehl"/>
          <w:b/>
          <w:bCs/>
          <w:sz w:val="26"/>
          <w:szCs w:val="26"/>
          <w:rtl/>
        </w:rPr>
      </w:pPr>
      <w:r>
        <w:rPr>
          <w:rFonts w:ascii="FrankRuehl" w:hAnsi="FrankRuehl" w:cs="FrankRuehl"/>
          <w:b/>
          <w:bCs/>
          <w:sz w:val="26"/>
          <w:szCs w:val="26"/>
          <w:rtl/>
        </w:rPr>
        <w:t>תכנית 085402: הוצאות תפעול (מערכת בתי המשפט) –  127,561 אלפי ש"ח</w:t>
      </w:r>
    </w:p>
    <w:p w14:paraId="1260212A" w14:textId="77777777" w:rsidR="0033491A" w:rsidRDefault="0033491A" w:rsidP="0033491A">
      <w:pPr>
        <w:jc w:val="both"/>
        <w:rPr>
          <w:rFonts w:ascii="FrankRuehl" w:hAnsi="FrankRuehl" w:cs="FrankRuehl"/>
          <w:sz w:val="26"/>
          <w:szCs w:val="26"/>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 xml:space="preserve">: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מיועדת לתשלום עבור הוצאות קשיחות ושוטפות של המערכת, ובניהם תשלום עבור שכר דירה, הוצאות מחשוב, ארנונה, חשמל, אחזקה, ניקיון תשלום למרכז המידע הארצי של מערכת בתי המשפט, פיתוח וקיום השתלמויות שופטים ועובדים, הקלטות תרגומים ותשלום עבור שכר מומחים רפואיים.</w:t>
      </w:r>
    </w:p>
    <w:p w14:paraId="0CE4F4D8" w14:textId="77777777" w:rsidR="0033491A" w:rsidRDefault="0033491A" w:rsidP="0033491A">
      <w:pPr>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4691B8DE" w14:textId="77777777" w:rsidR="0033491A" w:rsidRDefault="0033491A" w:rsidP="0033491A">
      <w:pPr>
        <w:jc w:val="both"/>
        <w:rPr>
          <w:rFonts w:ascii="FrankRuehl" w:hAnsi="FrankRuehl" w:cs="FrankRuehl"/>
          <w:sz w:val="26"/>
          <w:szCs w:val="26"/>
        </w:rPr>
      </w:pPr>
      <w:r>
        <w:rPr>
          <w:rFonts w:ascii="FrankRuehl" w:hAnsi="FrankRuehl" w:cs="FrankRuehl"/>
          <w:sz w:val="26"/>
          <w:szCs w:val="26"/>
          <w:rtl/>
        </w:rPr>
        <w:t>יתרת התחייבויות בגין הוצאות תפעול שוטפות מסוף שנת 2025 שטרם שולמו (חשבוניות סוף שנה מתקבלות ומשולמות רק בשנה העוקבת).</w:t>
      </w:r>
    </w:p>
    <w:p w14:paraId="5F6DF18A" w14:textId="77777777" w:rsidR="0033491A" w:rsidRDefault="0033491A" w:rsidP="0033491A">
      <w:pPr>
        <w:jc w:val="both"/>
        <w:rPr>
          <w:rFonts w:ascii="FrankRuehl" w:hAnsi="FrankRuehl" w:cs="FrankRuehl"/>
          <w:sz w:val="26"/>
          <w:szCs w:val="26"/>
          <w:rtl/>
        </w:rPr>
      </w:pPr>
      <w:r>
        <w:rPr>
          <w:rFonts w:ascii="FrankRuehl" w:hAnsi="FrankRuehl" w:cs="FrankRuehl"/>
          <w:sz w:val="26"/>
          <w:szCs w:val="26"/>
          <w:rtl/>
        </w:rPr>
        <w:t>יתרת התחייבויות בגין הוצאות מחשוב שטרם שולמו: התקשרויות חוצות שנות תקציב להפעלת מערכת המחשוב של מערכת בתי המשפט, לרבות פיתוח, תחזוקה ותפעול "נט המשפט", תחזוקת תשתיות, נאמני מחשוב והדרכה.</w:t>
      </w:r>
    </w:p>
    <w:p w14:paraId="17D8339F" w14:textId="77777777" w:rsidR="0033491A" w:rsidRDefault="0033491A" w:rsidP="0033491A">
      <w:pPr>
        <w:jc w:val="both"/>
        <w:rPr>
          <w:rFonts w:ascii="FrankRuehl" w:hAnsi="FrankRuehl" w:cs="FrankRuehl"/>
          <w:b/>
          <w:bCs/>
          <w:sz w:val="26"/>
          <w:szCs w:val="26"/>
        </w:rPr>
      </w:pPr>
    </w:p>
    <w:p w14:paraId="5C41113C" w14:textId="77777777" w:rsidR="0033491A" w:rsidRDefault="0033491A" w:rsidP="0033491A">
      <w:pPr>
        <w:jc w:val="both"/>
        <w:rPr>
          <w:rFonts w:ascii="FrankRuehl" w:hAnsi="FrankRuehl" w:cs="FrankRuehl"/>
          <w:b/>
          <w:bCs/>
          <w:sz w:val="26"/>
          <w:szCs w:val="26"/>
        </w:rPr>
      </w:pPr>
      <w:r>
        <w:rPr>
          <w:rFonts w:ascii="FrankRuehl" w:hAnsi="FrankRuehl" w:cs="FrankRuehl"/>
          <w:b/>
          <w:bCs/>
          <w:sz w:val="26"/>
          <w:szCs w:val="26"/>
          <w:rtl/>
        </w:rPr>
        <w:t>תכנית 085501: מערכת ההוצאה לפועל והמרכז לגביית קנסות – 25,910 אלפי ש"ח</w:t>
      </w:r>
    </w:p>
    <w:p w14:paraId="473F06A9" w14:textId="77777777" w:rsidR="0033491A" w:rsidRDefault="0033491A" w:rsidP="0033491A">
      <w:pPr>
        <w:jc w:val="both"/>
        <w:rPr>
          <w:rFonts w:ascii="FrankRuehl" w:hAnsi="FrankRuehl" w:cs="FrankRuehl"/>
          <w:sz w:val="26"/>
          <w:szCs w:val="26"/>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 xml:space="preserve">: </w:t>
      </w:r>
      <w:r>
        <w:rPr>
          <w:rFonts w:ascii="FrankRuehl" w:hAnsi="FrankRuehl" w:cs="FrankRuehl"/>
          <w:sz w:val="26"/>
          <w:szCs w:val="26"/>
          <w:rtl/>
        </w:rPr>
        <w:t>תכנית זו נועדה לתקצוב השכר והתפעול של רשות האכיפה והגבייה:</w:t>
      </w:r>
    </w:p>
    <w:p w14:paraId="57EF4F65" w14:textId="77777777" w:rsidR="0033491A" w:rsidRDefault="0033491A" w:rsidP="0033491A">
      <w:pPr>
        <w:jc w:val="both"/>
        <w:rPr>
          <w:rFonts w:ascii="FrankRuehl" w:hAnsi="FrankRuehl" w:cs="FrankRuehl"/>
          <w:sz w:val="26"/>
          <w:szCs w:val="26"/>
        </w:rPr>
      </w:pPr>
      <w:r>
        <w:rPr>
          <w:rFonts w:ascii="FrankRuehl" w:hAnsi="FrankRuehl" w:cs="FrankRuehl"/>
          <w:sz w:val="26"/>
          <w:szCs w:val="26"/>
          <w:rtl/>
        </w:rPr>
        <w:t xml:space="preserve">שכר – בחלק זה כלל הוצאות השכר של רשות האכיפה והגבייה לרבות עלויות נלוות לשכר, כגון שעות נוספות, שעות כוננות, שכר עידוד והוצאות אחזקת רכב. עוד בחלק זה - הוצאות בגין פרישה של עובדים בשנת התקציב. </w:t>
      </w:r>
    </w:p>
    <w:p w14:paraId="12C5B2E8" w14:textId="13388A46" w:rsidR="0033491A" w:rsidRDefault="0033491A" w:rsidP="0033491A">
      <w:pPr>
        <w:jc w:val="both"/>
        <w:rPr>
          <w:rFonts w:ascii="FrankRuehl" w:hAnsi="FrankRuehl" w:cs="FrankRuehl"/>
          <w:sz w:val="26"/>
          <w:szCs w:val="26"/>
          <w:rtl/>
        </w:rPr>
      </w:pPr>
      <w:r>
        <w:rPr>
          <w:rFonts w:ascii="FrankRuehl" w:hAnsi="FrankRuehl" w:cs="FrankRuehl"/>
          <w:sz w:val="26"/>
          <w:szCs w:val="26"/>
          <w:rtl/>
        </w:rPr>
        <w:t xml:space="preserve">תפעול – בחלק זה כלל הוצאות המשרד בגין הוצאות תפעוליות של המשרד, כגון, אחזקת המבנים, ארנונה, חשמל,  פרסום ומוקד המידע. כן נכללים הוצאות המחשוב של המשרד, שינויים ושיפורים, ממשקי עבודה מול גורמים וצדדי ג', הקמת מאגרים, הרחבת השירותים הטכנולוגיים וגישה מרחוק וחלק גדול של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עבור הוצאות הליבה לפעולות גבייה הן עבור תיקי הוצאה לפועל הן עבור תיקי המרכז לגביית קנסות.</w:t>
      </w:r>
    </w:p>
    <w:p w14:paraId="7B1D68A2" w14:textId="3243FA73" w:rsidR="0033491A" w:rsidRDefault="0033491A" w:rsidP="0033491A">
      <w:pPr>
        <w:jc w:val="both"/>
        <w:rPr>
          <w:rFonts w:ascii="FrankRuehl" w:hAnsi="FrankRuehl" w:cs="FrankRuehl"/>
          <w:sz w:val="26"/>
          <w:szCs w:val="26"/>
          <w:rtl/>
        </w:rPr>
      </w:pPr>
    </w:p>
    <w:p w14:paraId="74EBE152" w14:textId="77777777" w:rsidR="0033491A" w:rsidRDefault="0033491A" w:rsidP="0033491A">
      <w:pPr>
        <w:jc w:val="both"/>
        <w:rPr>
          <w:rFonts w:ascii="FrankRuehl" w:hAnsi="FrankRuehl" w:cs="FrankRuehl"/>
          <w:sz w:val="26"/>
          <w:szCs w:val="26"/>
        </w:rPr>
      </w:pPr>
    </w:p>
    <w:p w14:paraId="456D2042" w14:textId="77777777" w:rsidR="0033491A" w:rsidRDefault="0033491A" w:rsidP="0033491A">
      <w:pPr>
        <w:jc w:val="both"/>
        <w:rPr>
          <w:rFonts w:ascii="FrankRuehl" w:hAnsi="FrankRuehl" w:cs="FrankRuehl"/>
          <w:b/>
          <w:bCs/>
          <w:sz w:val="26"/>
          <w:szCs w:val="26"/>
        </w:rPr>
      </w:pPr>
      <w:r>
        <w:rPr>
          <w:rFonts w:ascii="FrankRuehl" w:hAnsi="FrankRuehl" w:cs="FrankRuehl"/>
          <w:b/>
          <w:bCs/>
          <w:sz w:val="26"/>
          <w:szCs w:val="26"/>
          <w:rtl/>
        </w:rPr>
        <w:lastRenderedPageBreak/>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067B63BD" w14:textId="77777777" w:rsidR="0033491A" w:rsidRDefault="0033491A" w:rsidP="0033491A">
      <w:pPr>
        <w:jc w:val="both"/>
        <w:rPr>
          <w:rFonts w:ascii="FrankRuehl" w:hAnsi="FrankRuehl" w:cs="FrankRuehl"/>
          <w:sz w:val="26"/>
          <w:szCs w:val="26"/>
        </w:rPr>
      </w:pPr>
      <w:r>
        <w:rPr>
          <w:rFonts w:ascii="FrankRuehl" w:hAnsi="FrankRuehl" w:cs="FrankRuehl"/>
          <w:sz w:val="26"/>
          <w:szCs w:val="26"/>
          <w:rtl/>
        </w:rPr>
        <w:t xml:space="preserve">יתרת התחייבויות בגין הוצאות תפעול שוטפות מסוף שנת 2025 שטרם שולמו (חשבוניות סוף שנה מתקבלות ומשולמות רק בשנה העוקבת) – ארנונה, חשמל, אחזקה וניקיון, דואר ושמירה). </w:t>
      </w:r>
    </w:p>
    <w:p w14:paraId="46AE0261" w14:textId="77777777" w:rsidR="0033491A" w:rsidRDefault="0033491A" w:rsidP="0033491A">
      <w:pPr>
        <w:jc w:val="both"/>
        <w:rPr>
          <w:rFonts w:ascii="FrankRuehl" w:hAnsi="FrankRuehl" w:cs="FrankRuehl"/>
          <w:sz w:val="26"/>
          <w:szCs w:val="26"/>
        </w:rPr>
      </w:pPr>
      <w:r>
        <w:rPr>
          <w:rFonts w:ascii="FrankRuehl" w:hAnsi="FrankRuehl" w:cs="FrankRuehl"/>
          <w:sz w:val="26"/>
          <w:szCs w:val="26"/>
          <w:rtl/>
        </w:rPr>
        <w:t xml:space="preserve">התחייבויות הנוגעות לפיתוח ואחזקת מערכת מחשוב אשר מעוגנות בהסכמים רב-שנתיים, לרבות ביצוע פרויקטים של אבטחת מידע. </w:t>
      </w:r>
    </w:p>
    <w:p w14:paraId="1C9E3056" w14:textId="77777777" w:rsidR="0033491A" w:rsidRDefault="0033491A" w:rsidP="0033491A">
      <w:pPr>
        <w:jc w:val="both"/>
        <w:rPr>
          <w:rFonts w:ascii="FrankRuehl" w:hAnsi="FrankRuehl" w:cs="FrankRuehl"/>
          <w:b/>
          <w:bCs/>
          <w:sz w:val="26"/>
          <w:szCs w:val="26"/>
        </w:rPr>
      </w:pPr>
    </w:p>
    <w:p w14:paraId="540D737A" w14:textId="3F26952C" w:rsidR="0033491A" w:rsidRPr="0033491A" w:rsidRDefault="0033491A" w:rsidP="0033491A">
      <w:pPr>
        <w:jc w:val="both"/>
        <w:rPr>
          <w:rFonts w:ascii="FrankRuehl" w:hAnsi="FrankRuehl" w:cs="FrankRuehl"/>
          <w:b/>
          <w:bCs/>
          <w:sz w:val="26"/>
          <w:szCs w:val="26"/>
          <w:rtl/>
        </w:rPr>
      </w:pPr>
      <w:r>
        <w:rPr>
          <w:rFonts w:ascii="FrankRuehl" w:hAnsi="FrankRuehl" w:cs="FrankRuehl"/>
          <w:b/>
          <w:bCs/>
          <w:sz w:val="26"/>
          <w:szCs w:val="26"/>
          <w:rtl/>
        </w:rPr>
        <w:t xml:space="preserve">השפעה על </w:t>
      </w:r>
      <w:proofErr w:type="spellStart"/>
      <w:r>
        <w:rPr>
          <w:rFonts w:ascii="FrankRuehl" w:hAnsi="FrankRuehl" w:cs="FrankRuehl"/>
          <w:b/>
          <w:bCs/>
          <w:sz w:val="26"/>
          <w:szCs w:val="26"/>
          <w:rtl/>
        </w:rPr>
        <w:t>כח</w:t>
      </w:r>
      <w:proofErr w:type="spellEnd"/>
      <w:r>
        <w:rPr>
          <w:rFonts w:ascii="FrankRuehl" w:hAnsi="FrankRuehl" w:cs="FrankRuehl"/>
          <w:b/>
          <w:bCs/>
          <w:sz w:val="26"/>
          <w:szCs w:val="26"/>
          <w:rtl/>
        </w:rPr>
        <w:t xml:space="preserve"> אדם:</w:t>
      </w:r>
      <w:r>
        <w:rPr>
          <w:rFonts w:ascii="FrankRuehl" w:hAnsi="FrankRuehl" w:cs="FrankRuehl" w:hint="cs"/>
          <w:b/>
          <w:bCs/>
          <w:sz w:val="26"/>
          <w:szCs w:val="26"/>
          <w:rtl/>
        </w:rPr>
        <w:t xml:space="preserve"> </w:t>
      </w:r>
      <w:r>
        <w:rPr>
          <w:rFonts w:ascii="FrankRuehl" w:hAnsi="FrankRuehl" w:cs="FrankRuehl"/>
          <w:sz w:val="26"/>
          <w:szCs w:val="26"/>
          <w:rtl/>
        </w:rPr>
        <w:t>אין</w:t>
      </w:r>
    </w:p>
    <w:p w14:paraId="2313F141" w14:textId="77777777" w:rsidR="0033491A" w:rsidRDefault="0033491A" w:rsidP="0033491A">
      <w:pPr>
        <w:jc w:val="both"/>
        <w:rPr>
          <w:rFonts w:ascii="FrankRuehl" w:hAnsi="FrankRuehl" w:cs="FrankRuehl"/>
          <w:sz w:val="26"/>
          <w:szCs w:val="26"/>
          <w:rtl/>
        </w:rPr>
      </w:pPr>
    </w:p>
    <w:p w14:paraId="48F87F2B" w14:textId="77777777" w:rsidR="0051496B" w:rsidRPr="000A3FA0" w:rsidRDefault="0051496B" w:rsidP="0033491A">
      <w:pPr>
        <w:jc w:val="both"/>
        <w:rPr>
          <w:rFonts w:cs="FrankRuehl"/>
          <w:sz w:val="26"/>
          <w:szCs w:val="26"/>
          <w:rtl/>
        </w:rPr>
      </w:pPr>
      <w:r w:rsidRPr="000A3FA0">
        <w:rPr>
          <w:rFonts w:cs="FrankRuehl"/>
          <w:sz w:val="26"/>
          <w:szCs w:val="26"/>
          <w:rtl/>
        </w:rPr>
        <w:t>האישור ייכנס לתקפו, אם לא יעוכב ע"י ועדת הכספים של הכנסת, לאחר 21 יום מתאריך מכתב זה.</w:t>
      </w:r>
    </w:p>
    <w:p w14:paraId="0033744F" w14:textId="77777777" w:rsidR="0051496B" w:rsidRPr="000A3FA0" w:rsidRDefault="0051496B" w:rsidP="00A6761F">
      <w:pPr>
        <w:jc w:val="both"/>
        <w:rPr>
          <w:rFonts w:cs="FrankRuehl"/>
          <w:sz w:val="26"/>
          <w:szCs w:val="26"/>
          <w:rtl/>
        </w:rPr>
      </w:pPr>
    </w:p>
    <w:p w14:paraId="5101AC73" w14:textId="77777777" w:rsidR="0051496B" w:rsidRPr="000A3FA0" w:rsidRDefault="0051496B" w:rsidP="00A6761F">
      <w:pPr>
        <w:jc w:val="both"/>
        <w:rPr>
          <w:rFonts w:cs="FrankRuehl"/>
          <w:sz w:val="26"/>
          <w:szCs w:val="26"/>
          <w:rtl/>
        </w:rPr>
      </w:pPr>
    </w:p>
    <w:p w14:paraId="4841A8FF" w14:textId="77777777" w:rsidR="0051496B" w:rsidRPr="000A3FA0" w:rsidRDefault="0051496B" w:rsidP="00AC0FB8">
      <w:pPr>
        <w:tabs>
          <w:tab w:val="left" w:pos="6416"/>
          <w:tab w:val="center" w:pos="6867"/>
        </w:tabs>
        <w:rPr>
          <w:rFonts w:cs="FrankRuehl"/>
          <w:sz w:val="26"/>
          <w:szCs w:val="26"/>
          <w:rtl/>
        </w:rPr>
      </w:pPr>
      <w:r w:rsidRPr="000A3FA0">
        <w:rPr>
          <w:rFonts w:cs="FrankRuehl"/>
          <w:sz w:val="26"/>
          <w:szCs w:val="26"/>
          <w:rtl/>
        </w:rPr>
        <w:tab/>
      </w:r>
      <w:r w:rsidR="00AC0FB8">
        <w:rPr>
          <w:rFonts w:cs="FrankRuehl"/>
          <w:sz w:val="26"/>
          <w:szCs w:val="26"/>
          <w:rtl/>
        </w:rPr>
        <w:tab/>
      </w:r>
      <w:r w:rsidRPr="000A3FA0">
        <w:rPr>
          <w:rFonts w:cs="FrankRuehl"/>
          <w:sz w:val="26"/>
          <w:szCs w:val="26"/>
          <w:rtl/>
        </w:rPr>
        <w:t>בכבוד רב,</w:t>
      </w:r>
    </w:p>
    <w:p w14:paraId="19FD121C" w14:textId="77777777" w:rsidR="0051496B" w:rsidRDefault="0051496B">
      <w:pPr>
        <w:tabs>
          <w:tab w:val="center" w:pos="6867"/>
        </w:tabs>
        <w:rPr>
          <w:rFonts w:cs="FrankRuehl"/>
          <w:sz w:val="26"/>
          <w:szCs w:val="26"/>
          <w:rtl/>
        </w:rPr>
      </w:pPr>
    </w:p>
    <w:p w14:paraId="1CAC7CFD" w14:textId="77777777" w:rsidR="00AC0FB8" w:rsidRPr="000A3FA0" w:rsidRDefault="00AC0FB8">
      <w:pPr>
        <w:tabs>
          <w:tab w:val="center" w:pos="6867"/>
        </w:tabs>
        <w:rPr>
          <w:rFonts w:cs="FrankRuehl"/>
          <w:sz w:val="26"/>
          <w:szCs w:val="26"/>
        </w:rPr>
      </w:pPr>
      <w:r>
        <w:rPr>
          <w:rFonts w:cs="FrankRuehl"/>
          <w:sz w:val="26"/>
          <w:szCs w:val="26"/>
          <w:rtl/>
        </w:rPr>
        <w:tab/>
      </w:r>
      <w:bookmarkStart w:id="11" w:name="Sign_Image"/>
      <w:bookmarkEnd w:id="11"/>
    </w:p>
    <w:p w14:paraId="2043ADF5" w14:textId="77777777" w:rsidR="0051496B" w:rsidRPr="000A3FA0" w:rsidRDefault="0051496B">
      <w:pPr>
        <w:tabs>
          <w:tab w:val="center" w:pos="6867"/>
        </w:tabs>
        <w:rPr>
          <w:rFonts w:cs="FrankRuehl"/>
          <w:sz w:val="26"/>
          <w:szCs w:val="26"/>
          <w:rtl/>
        </w:rPr>
      </w:pPr>
    </w:p>
    <w:p w14:paraId="5F7564BF" w14:textId="77777777" w:rsidR="0051496B" w:rsidRPr="000A3FA0" w:rsidRDefault="0051496B">
      <w:pPr>
        <w:tabs>
          <w:tab w:val="center" w:pos="6867"/>
        </w:tabs>
        <w:rPr>
          <w:rFonts w:cs="FrankRuehl"/>
          <w:sz w:val="26"/>
          <w:szCs w:val="26"/>
        </w:rPr>
      </w:pPr>
      <w:r w:rsidRPr="000A3FA0">
        <w:rPr>
          <w:rFonts w:cs="FrankRuehl"/>
          <w:sz w:val="26"/>
          <w:szCs w:val="26"/>
          <w:rtl/>
        </w:rPr>
        <w:tab/>
      </w:r>
    </w:p>
    <w:p w14:paraId="35A6DDF0" w14:textId="77777777" w:rsidR="0051496B" w:rsidRPr="000A3FA0" w:rsidRDefault="0051496B" w:rsidP="000062C3">
      <w:pPr>
        <w:tabs>
          <w:tab w:val="center" w:pos="6867"/>
        </w:tabs>
        <w:rPr>
          <w:rFonts w:cs="FrankRuehl"/>
          <w:sz w:val="26"/>
          <w:szCs w:val="26"/>
          <w:rtl/>
        </w:rPr>
      </w:pPr>
      <w:r w:rsidRPr="000A3FA0">
        <w:rPr>
          <w:rFonts w:cs="FrankRuehl"/>
          <w:sz w:val="26"/>
          <w:szCs w:val="26"/>
          <w:rtl/>
        </w:rPr>
        <w:tab/>
      </w:r>
    </w:p>
    <w:p w14:paraId="5D9CFEE7" w14:textId="77777777" w:rsidR="0051496B" w:rsidRPr="000A3FA0" w:rsidRDefault="0051496B">
      <w:pPr>
        <w:rPr>
          <w:rFonts w:cs="FrankRuehl"/>
          <w:sz w:val="26"/>
          <w:szCs w:val="26"/>
          <w:rtl/>
        </w:rPr>
      </w:pPr>
    </w:p>
    <w:p w14:paraId="6AEBBF07" w14:textId="77777777" w:rsidR="0051496B" w:rsidRPr="000A3FA0" w:rsidRDefault="0051496B">
      <w:pPr>
        <w:rPr>
          <w:rFonts w:cs="FrankRuehl"/>
          <w:sz w:val="26"/>
          <w:szCs w:val="26"/>
          <w:rtl/>
        </w:rPr>
      </w:pPr>
      <w:r w:rsidRPr="000A3FA0">
        <w:rPr>
          <w:rFonts w:cs="FrankRuehl"/>
          <w:sz w:val="26"/>
          <w:szCs w:val="26"/>
          <w:rtl/>
        </w:rPr>
        <w:t>העתק:</w:t>
      </w:r>
    </w:p>
    <w:p w14:paraId="710C6AF2" w14:textId="77777777" w:rsidR="0051496B" w:rsidRPr="000A3FA0" w:rsidRDefault="0051496B">
      <w:pPr>
        <w:rPr>
          <w:rFonts w:cs="FrankRuehl"/>
          <w:sz w:val="26"/>
          <w:szCs w:val="26"/>
          <w:rtl/>
        </w:rPr>
      </w:pPr>
      <w:r w:rsidRPr="000A3FA0">
        <w:rPr>
          <w:rFonts w:cs="FrankRuehl"/>
          <w:sz w:val="26"/>
          <w:szCs w:val="26"/>
          <w:rtl/>
        </w:rPr>
        <w:t>החשב הכללי</w:t>
      </w:r>
    </w:p>
    <w:p w14:paraId="046FCC6A" w14:textId="77777777" w:rsidR="0051496B" w:rsidRPr="000A3FA0" w:rsidRDefault="0051496B">
      <w:pPr>
        <w:rPr>
          <w:rFonts w:cs="FrankRuehl"/>
          <w:sz w:val="26"/>
          <w:szCs w:val="26"/>
          <w:rtl/>
        </w:rPr>
      </w:pPr>
      <w:r w:rsidRPr="000A3FA0">
        <w:rPr>
          <w:rFonts w:cs="FrankRuehl"/>
          <w:sz w:val="26"/>
          <w:szCs w:val="26"/>
          <w:rtl/>
        </w:rPr>
        <w:t>מבקר המדינה (2)</w:t>
      </w:r>
    </w:p>
    <w:p w14:paraId="38DB577F" w14:textId="77777777" w:rsidR="006F087D" w:rsidRDefault="006F087D">
      <w:pPr>
        <w:rPr>
          <w:rFonts w:cs="FrankRuehl"/>
          <w:sz w:val="26"/>
          <w:szCs w:val="26"/>
          <w:rtl/>
        </w:rPr>
      </w:pPr>
      <w:bookmarkStart w:id="12" w:name="TAKZIV22"/>
      <w:r>
        <w:rPr>
          <w:rFonts w:cs="FrankRuehl"/>
          <w:sz w:val="26"/>
          <w:szCs w:val="26"/>
          <w:rtl/>
        </w:rPr>
        <w:t>חשב רשות האכיפה והגביה</w:t>
      </w:r>
    </w:p>
    <w:p w14:paraId="2C158636" w14:textId="77777777" w:rsidR="006F087D" w:rsidRDefault="006F087D">
      <w:pPr>
        <w:rPr>
          <w:rFonts w:cs="FrankRuehl"/>
          <w:sz w:val="26"/>
          <w:szCs w:val="26"/>
          <w:rtl/>
        </w:rPr>
      </w:pPr>
      <w:r>
        <w:rPr>
          <w:rFonts w:cs="FrankRuehl"/>
          <w:sz w:val="26"/>
          <w:szCs w:val="26"/>
          <w:rtl/>
        </w:rPr>
        <w:t>חשב משרד המשפטים</w:t>
      </w:r>
    </w:p>
    <w:p w14:paraId="5001B3C8" w14:textId="6F5D93DF" w:rsidR="0051496B" w:rsidRPr="000A3FA0" w:rsidRDefault="006F087D">
      <w:pPr>
        <w:rPr>
          <w:rFonts w:cs="FrankRuehl"/>
          <w:sz w:val="26"/>
          <w:szCs w:val="26"/>
          <w:rtl/>
        </w:rPr>
      </w:pPr>
      <w:r>
        <w:rPr>
          <w:rFonts w:cs="FrankRuehl"/>
          <w:sz w:val="26"/>
          <w:szCs w:val="26"/>
          <w:rtl/>
        </w:rPr>
        <w:t>חשב הנהלת בתי המשפט</w:t>
      </w:r>
      <w:bookmarkEnd w:id="12"/>
    </w:p>
    <w:p w14:paraId="6C5ADF1D" w14:textId="2A1D8AA9" w:rsidR="0051496B" w:rsidRPr="000A3FA0" w:rsidRDefault="0051496B">
      <w:pPr>
        <w:rPr>
          <w:rFonts w:cs="FrankRuehl"/>
          <w:sz w:val="26"/>
          <w:szCs w:val="26"/>
          <w:rtl/>
        </w:rPr>
      </w:pPr>
      <w:r w:rsidRPr="000A3FA0">
        <w:rPr>
          <w:rFonts w:cs="FrankRuehl"/>
          <w:sz w:val="26"/>
          <w:szCs w:val="26"/>
          <w:rtl/>
        </w:rPr>
        <w:t xml:space="preserve">קצין תקציבים </w:t>
      </w:r>
      <w:bookmarkStart w:id="13" w:name="TAKZIV6"/>
      <w:r w:rsidR="006F087D">
        <w:rPr>
          <w:rFonts w:cs="FrankRuehl"/>
          <w:sz w:val="26"/>
          <w:szCs w:val="26"/>
          <w:rtl/>
        </w:rPr>
        <w:t>משרד המשפטים</w:t>
      </w:r>
      <w:bookmarkEnd w:id="13"/>
    </w:p>
    <w:p w14:paraId="752E451B" w14:textId="4A5D377B" w:rsidR="0051496B" w:rsidRPr="000A3FA0" w:rsidRDefault="0051496B">
      <w:pPr>
        <w:rPr>
          <w:rFonts w:cs="FrankRuehl"/>
          <w:sz w:val="26"/>
          <w:szCs w:val="26"/>
          <w:rtl/>
        </w:rPr>
      </w:pPr>
      <w:r w:rsidRPr="000A3FA0">
        <w:rPr>
          <w:rFonts w:cs="FrankRuehl"/>
          <w:sz w:val="26"/>
          <w:szCs w:val="26"/>
          <w:rtl/>
        </w:rPr>
        <w:t xml:space="preserve">רפרנט </w:t>
      </w:r>
      <w:bookmarkStart w:id="14" w:name="TAKZIV6_1"/>
      <w:r w:rsidR="006F087D">
        <w:rPr>
          <w:rFonts w:cs="FrankRuehl"/>
          <w:sz w:val="26"/>
          <w:szCs w:val="26"/>
          <w:rtl/>
        </w:rPr>
        <w:t>משרד המשפטים</w:t>
      </w:r>
      <w:bookmarkEnd w:id="14"/>
    </w:p>
    <w:p w14:paraId="0B1E1A78" w14:textId="77777777" w:rsidR="0051496B" w:rsidRPr="000A3FA0" w:rsidRDefault="0051496B">
      <w:pPr>
        <w:rPr>
          <w:rFonts w:cs="FrankRuehl"/>
          <w:sz w:val="26"/>
          <w:szCs w:val="26"/>
          <w:rtl/>
        </w:rPr>
      </w:pPr>
      <w:bookmarkStart w:id="15" w:name="TAKZIV23"/>
      <w:bookmarkEnd w:id="15"/>
    </w:p>
    <w:p w14:paraId="1CEA123C" w14:textId="77777777" w:rsidR="0051496B" w:rsidRPr="000A3FA0" w:rsidRDefault="0051496B">
      <w:pPr>
        <w:rPr>
          <w:rFonts w:cs="FrankRuehl"/>
          <w:sz w:val="26"/>
          <w:szCs w:val="26"/>
          <w:rtl/>
        </w:rPr>
      </w:pPr>
    </w:p>
    <w:p w14:paraId="5ACA5AD1" w14:textId="47CF41E8" w:rsidR="0051496B" w:rsidRDefault="0051496B">
      <w:pPr>
        <w:rPr>
          <w:rFonts w:cs="FrankRuehl"/>
          <w:sz w:val="26"/>
          <w:szCs w:val="26"/>
          <w:rtl/>
        </w:rPr>
      </w:pPr>
      <w:bookmarkStart w:id="16" w:name="TAKZIV25"/>
      <w:bookmarkEnd w:id="16"/>
    </w:p>
    <w:p w14:paraId="75204E00" w14:textId="735D4557" w:rsidR="00B74800" w:rsidRDefault="00B74800">
      <w:pPr>
        <w:rPr>
          <w:rFonts w:cs="FrankRuehl"/>
          <w:sz w:val="26"/>
          <w:szCs w:val="26"/>
          <w:rtl/>
        </w:rPr>
      </w:pPr>
    </w:p>
    <w:p w14:paraId="5C3A17CF" w14:textId="3BB04E1F" w:rsidR="00B74800" w:rsidRDefault="00B74800">
      <w:pPr>
        <w:rPr>
          <w:rFonts w:cs="FrankRuehl"/>
          <w:sz w:val="26"/>
          <w:szCs w:val="26"/>
          <w:rtl/>
        </w:rPr>
      </w:pPr>
    </w:p>
    <w:p w14:paraId="75B1C0A4" w14:textId="3F385B6C" w:rsidR="00B74800" w:rsidRDefault="00B74800">
      <w:pPr>
        <w:rPr>
          <w:rFonts w:cs="FrankRuehl"/>
          <w:sz w:val="26"/>
          <w:szCs w:val="26"/>
          <w:rtl/>
        </w:rPr>
      </w:pPr>
    </w:p>
    <w:p w14:paraId="70182436" w14:textId="69320D9F" w:rsidR="00B74800" w:rsidRDefault="00B74800">
      <w:pPr>
        <w:rPr>
          <w:rFonts w:cs="FrankRuehl"/>
          <w:sz w:val="26"/>
          <w:szCs w:val="26"/>
          <w:rtl/>
        </w:rPr>
      </w:pPr>
    </w:p>
    <w:p w14:paraId="40417D14" w14:textId="2B684CD2" w:rsidR="00B74800" w:rsidRDefault="00B74800">
      <w:pPr>
        <w:rPr>
          <w:rFonts w:cs="FrankRuehl"/>
          <w:sz w:val="26"/>
          <w:szCs w:val="26"/>
          <w:rtl/>
        </w:rPr>
      </w:pPr>
    </w:p>
    <w:p w14:paraId="5B57E4FC" w14:textId="55F88970" w:rsidR="00B74800" w:rsidRDefault="00B74800">
      <w:pPr>
        <w:rPr>
          <w:rFonts w:cs="FrankRuehl"/>
          <w:sz w:val="26"/>
          <w:szCs w:val="26"/>
          <w:rtl/>
        </w:rPr>
      </w:pPr>
    </w:p>
    <w:p w14:paraId="3ABD6B20" w14:textId="0FC37183" w:rsidR="00B74800" w:rsidRDefault="00B74800">
      <w:pPr>
        <w:rPr>
          <w:rFonts w:cs="FrankRuehl"/>
          <w:sz w:val="26"/>
          <w:szCs w:val="26"/>
          <w:rtl/>
        </w:rPr>
      </w:pPr>
    </w:p>
    <w:p w14:paraId="57E65B9F" w14:textId="3B55C2F8" w:rsidR="00B74800" w:rsidRDefault="00B74800">
      <w:pPr>
        <w:rPr>
          <w:rFonts w:cs="FrankRuehl"/>
          <w:sz w:val="26"/>
          <w:szCs w:val="26"/>
          <w:rtl/>
        </w:rPr>
      </w:pPr>
    </w:p>
    <w:p w14:paraId="6425869F" w14:textId="0EAA7C7F" w:rsidR="00B74800" w:rsidRDefault="00B74800">
      <w:pPr>
        <w:rPr>
          <w:rFonts w:cs="FrankRuehl"/>
          <w:sz w:val="26"/>
          <w:szCs w:val="26"/>
          <w:rtl/>
        </w:rPr>
      </w:pPr>
    </w:p>
    <w:p w14:paraId="3D76DBD8" w14:textId="13DCC0CB" w:rsidR="00B74800" w:rsidRDefault="00B74800">
      <w:pPr>
        <w:rPr>
          <w:rFonts w:cs="FrankRuehl"/>
          <w:sz w:val="26"/>
          <w:szCs w:val="26"/>
          <w:rtl/>
        </w:rPr>
      </w:pPr>
    </w:p>
    <w:p w14:paraId="16DCDEA0" w14:textId="3255606A" w:rsidR="00B74800" w:rsidRDefault="00B74800">
      <w:pPr>
        <w:rPr>
          <w:rFonts w:cs="FrankRuehl"/>
          <w:sz w:val="26"/>
          <w:szCs w:val="26"/>
          <w:rtl/>
        </w:rPr>
      </w:pPr>
    </w:p>
    <w:p w14:paraId="10609681" w14:textId="647A9E17" w:rsidR="00B74800" w:rsidRDefault="00B74800">
      <w:pPr>
        <w:rPr>
          <w:rFonts w:cs="FrankRuehl"/>
          <w:sz w:val="26"/>
          <w:szCs w:val="26"/>
          <w:rtl/>
        </w:rPr>
      </w:pPr>
    </w:p>
    <w:p w14:paraId="4F0FC048" w14:textId="2A506186" w:rsidR="00B74800" w:rsidRDefault="00B74800">
      <w:pPr>
        <w:rPr>
          <w:rFonts w:cs="FrankRuehl"/>
          <w:sz w:val="26"/>
          <w:szCs w:val="26"/>
          <w:rtl/>
        </w:rPr>
      </w:pPr>
    </w:p>
    <w:p w14:paraId="68BA2393" w14:textId="47F3ACB2" w:rsidR="00B74800" w:rsidRDefault="00B74800">
      <w:pPr>
        <w:rPr>
          <w:rFonts w:cs="FrankRuehl"/>
          <w:sz w:val="26"/>
          <w:szCs w:val="26"/>
          <w:rtl/>
        </w:rPr>
      </w:pPr>
    </w:p>
    <w:p w14:paraId="6A3510E3" w14:textId="10D5C7B5" w:rsidR="00B74800" w:rsidRDefault="00B74800">
      <w:pPr>
        <w:rPr>
          <w:rFonts w:cs="FrankRuehl"/>
          <w:sz w:val="26"/>
          <w:szCs w:val="26"/>
          <w:rtl/>
        </w:rPr>
      </w:pPr>
    </w:p>
    <w:p w14:paraId="745B2C2A" w14:textId="68BA370C" w:rsidR="00B74800" w:rsidRDefault="00B74800">
      <w:pPr>
        <w:rPr>
          <w:rFonts w:cs="FrankRuehl"/>
          <w:sz w:val="26"/>
          <w:szCs w:val="26"/>
          <w:rtl/>
        </w:rPr>
      </w:pPr>
    </w:p>
    <w:p w14:paraId="4ADEC7DC" w14:textId="5FA63077" w:rsidR="00B74800" w:rsidRDefault="00B74800">
      <w:pPr>
        <w:rPr>
          <w:rFonts w:cs="FrankRuehl"/>
          <w:sz w:val="26"/>
          <w:szCs w:val="26"/>
          <w:rtl/>
        </w:rPr>
      </w:pPr>
    </w:p>
    <w:p w14:paraId="059E3481" w14:textId="2150E23A" w:rsidR="00B74800" w:rsidRDefault="00B74800">
      <w:pPr>
        <w:rPr>
          <w:rFonts w:cs="FrankRuehl"/>
          <w:sz w:val="26"/>
          <w:szCs w:val="26"/>
          <w:rtl/>
        </w:rPr>
      </w:pPr>
    </w:p>
    <w:p w14:paraId="370388BD" w14:textId="1DA180F2" w:rsidR="00B74800" w:rsidRDefault="00B74800">
      <w:pPr>
        <w:rPr>
          <w:rFonts w:cs="FrankRuehl"/>
          <w:sz w:val="26"/>
          <w:szCs w:val="26"/>
          <w:rtl/>
        </w:rPr>
      </w:pPr>
    </w:p>
    <w:p w14:paraId="57DC85ED" w14:textId="420AAFE9" w:rsidR="00B74800" w:rsidRDefault="00B74800">
      <w:pPr>
        <w:rPr>
          <w:rFonts w:cs="FrankRuehl"/>
          <w:sz w:val="26"/>
          <w:szCs w:val="26"/>
          <w:rtl/>
        </w:rPr>
      </w:pPr>
    </w:p>
    <w:p w14:paraId="2F0B5D2E" w14:textId="620277E3" w:rsidR="00B74800" w:rsidRDefault="00B74800">
      <w:pPr>
        <w:rPr>
          <w:rFonts w:cs="FrankRuehl"/>
          <w:sz w:val="26"/>
          <w:szCs w:val="26"/>
          <w:rtl/>
        </w:rPr>
      </w:pPr>
    </w:p>
    <w:p w14:paraId="13BE38ED" w14:textId="039AA070" w:rsidR="00B74800" w:rsidRDefault="00B74800">
      <w:pPr>
        <w:rPr>
          <w:rFonts w:cs="FrankRuehl"/>
          <w:sz w:val="26"/>
          <w:szCs w:val="26"/>
          <w:rtl/>
        </w:rPr>
      </w:pPr>
    </w:p>
    <w:p w14:paraId="5E098EF9" w14:textId="2FBEDFB1" w:rsidR="00B74800" w:rsidRDefault="00B74800">
      <w:pPr>
        <w:rPr>
          <w:rFonts w:cs="FrankRuehl"/>
          <w:sz w:val="26"/>
          <w:szCs w:val="26"/>
          <w:rtl/>
        </w:rPr>
      </w:pPr>
    </w:p>
    <w:p w14:paraId="181B403F" w14:textId="77777777" w:rsidR="00B74800" w:rsidRDefault="00B74800" w:rsidP="00B74800">
      <w:pPr>
        <w:jc w:val="center"/>
        <w:rPr>
          <w:rFonts w:cs="FrankRuehl"/>
          <w:b/>
          <w:bCs/>
          <w:sz w:val="26"/>
          <w:szCs w:val="26"/>
          <w:u w:val="single"/>
          <w:lang w:eastAsia="en-US"/>
        </w:rPr>
      </w:pPr>
      <w:r>
        <w:rPr>
          <w:rFonts w:cs="FrankRuehl"/>
          <w:b/>
          <w:bCs/>
          <w:sz w:val="26"/>
          <w:szCs w:val="26"/>
          <w:u w:val="single"/>
          <w:rtl/>
        </w:rPr>
        <w:lastRenderedPageBreak/>
        <w:t>נספח לדברי ההסבר</w:t>
      </w:r>
    </w:p>
    <w:p w14:paraId="687C6C61" w14:textId="77777777" w:rsidR="00B74800" w:rsidRDefault="00B74800" w:rsidP="00B74800">
      <w:pPr>
        <w:jc w:val="center"/>
        <w:rPr>
          <w:rFonts w:cs="FrankRuehl"/>
          <w:b/>
          <w:bCs/>
          <w:sz w:val="26"/>
          <w:szCs w:val="26"/>
          <w:u w:val="single"/>
        </w:rPr>
      </w:pPr>
    </w:p>
    <w:p w14:paraId="0856A79F" w14:textId="77777777" w:rsidR="00B74800" w:rsidRDefault="00B74800" w:rsidP="00B74800">
      <w:pPr>
        <w:jc w:val="center"/>
        <w:rPr>
          <w:rFonts w:cs="FrankRuehl"/>
          <w:b/>
          <w:bCs/>
          <w:sz w:val="26"/>
          <w:szCs w:val="26"/>
          <w:rtl/>
        </w:rPr>
      </w:pPr>
      <w:r>
        <w:rPr>
          <w:rFonts w:cs="FrankRuehl"/>
          <w:b/>
          <w:bCs/>
          <w:sz w:val="26"/>
          <w:szCs w:val="26"/>
          <w:rtl/>
        </w:rPr>
        <w:t>היסטוריה תקציבית של הפנייה</w:t>
      </w:r>
    </w:p>
    <w:p w14:paraId="48985F18" w14:textId="7B9432E7" w:rsidR="00B74800" w:rsidRDefault="00B74800">
      <w:pPr>
        <w:rPr>
          <w:rFonts w:cs="FrankRuehl"/>
          <w:sz w:val="26"/>
          <w:szCs w:val="26"/>
          <w:rtl/>
        </w:rPr>
      </w:pPr>
    </w:p>
    <w:tbl>
      <w:tblPr>
        <w:bidiVisual/>
        <w:tblW w:w="5000" w:type="pct"/>
        <w:tblLook w:val="04A0" w:firstRow="1" w:lastRow="0" w:firstColumn="1" w:lastColumn="0" w:noHBand="0" w:noVBand="1"/>
      </w:tblPr>
      <w:tblGrid>
        <w:gridCol w:w="1704"/>
        <w:gridCol w:w="1704"/>
        <w:gridCol w:w="1705"/>
        <w:gridCol w:w="1705"/>
        <w:gridCol w:w="1705"/>
      </w:tblGrid>
      <w:tr w:rsidR="00B74800" w:rsidRPr="000854F1" w14:paraId="219D830D" w14:textId="77777777" w:rsidTr="00B74800">
        <w:trPr>
          <w:trHeight w:val="840"/>
        </w:trPr>
        <w:tc>
          <w:tcPr>
            <w:tcW w:w="1000" w:type="pct"/>
            <w:tcBorders>
              <w:top w:val="single" w:sz="4" w:space="0" w:color="979991"/>
              <w:left w:val="single" w:sz="4" w:space="0" w:color="979991"/>
              <w:bottom w:val="nil"/>
              <w:right w:val="nil"/>
            </w:tcBorders>
            <w:shd w:val="clear" w:color="000000" w:fill="F0F4FA"/>
            <w:vAlign w:val="center"/>
            <w:hideMark/>
          </w:tcPr>
          <w:p w14:paraId="0B0E8671" w14:textId="77777777" w:rsidR="00B74800" w:rsidRPr="000854F1" w:rsidRDefault="00B74800" w:rsidP="000752FB">
            <w:pPr>
              <w:jc w:val="center"/>
              <w:rPr>
                <w:rFonts w:ascii="Calibri" w:hAnsi="Calibri" w:cs="Calibri"/>
                <w:b/>
                <w:bCs/>
                <w:color w:val="000000"/>
                <w:sz w:val="16"/>
                <w:szCs w:val="16"/>
              </w:rPr>
            </w:pPr>
            <w:r w:rsidRPr="000854F1">
              <w:rPr>
                <w:rFonts w:ascii="Calibri" w:hAnsi="Calibri" w:cs="Calibri"/>
                <w:b/>
                <w:bCs/>
                <w:color w:val="000000"/>
                <w:sz w:val="16"/>
                <w:szCs w:val="16"/>
                <w:rtl/>
              </w:rPr>
              <w:t>קוד תוכנית</w:t>
            </w:r>
          </w:p>
        </w:tc>
        <w:tc>
          <w:tcPr>
            <w:tcW w:w="1000" w:type="pct"/>
            <w:tcBorders>
              <w:top w:val="single" w:sz="4" w:space="0" w:color="979991"/>
              <w:left w:val="single" w:sz="4" w:space="0" w:color="979991"/>
              <w:bottom w:val="single" w:sz="4" w:space="0" w:color="979991"/>
              <w:right w:val="nil"/>
            </w:tcBorders>
            <w:shd w:val="clear" w:color="000000" w:fill="F0F4FA"/>
            <w:vAlign w:val="center"/>
            <w:hideMark/>
          </w:tcPr>
          <w:p w14:paraId="47485B51" w14:textId="77777777" w:rsidR="00B74800" w:rsidRPr="000854F1" w:rsidRDefault="00B74800" w:rsidP="000752FB">
            <w:pPr>
              <w:jc w:val="center"/>
              <w:rPr>
                <w:rFonts w:ascii="Calibri" w:hAnsi="Calibri" w:cs="Calibri"/>
                <w:b/>
                <w:bCs/>
                <w:color w:val="000000"/>
                <w:sz w:val="16"/>
                <w:szCs w:val="16"/>
                <w:rtl/>
              </w:rPr>
            </w:pPr>
            <w:r w:rsidRPr="000854F1">
              <w:rPr>
                <w:rFonts w:ascii="Calibri" w:hAnsi="Calibri" w:cs="Calibri"/>
                <w:b/>
                <w:bCs/>
                <w:color w:val="000000"/>
                <w:sz w:val="16"/>
                <w:szCs w:val="16"/>
                <w:rtl/>
              </w:rPr>
              <w:t>השינוי התקציבי של העודף המוצע בפניה</w:t>
            </w:r>
          </w:p>
        </w:tc>
        <w:tc>
          <w:tcPr>
            <w:tcW w:w="1000" w:type="pct"/>
            <w:tcBorders>
              <w:top w:val="single" w:sz="4" w:space="0" w:color="979991"/>
              <w:left w:val="single" w:sz="4" w:space="0" w:color="979991"/>
              <w:bottom w:val="single" w:sz="4" w:space="0" w:color="979991"/>
              <w:right w:val="nil"/>
            </w:tcBorders>
            <w:shd w:val="clear" w:color="000000" w:fill="F0F4FA"/>
            <w:vAlign w:val="center"/>
            <w:hideMark/>
          </w:tcPr>
          <w:p w14:paraId="3DE40A18" w14:textId="77777777" w:rsidR="00B74800" w:rsidRPr="000854F1" w:rsidRDefault="00B74800" w:rsidP="000752FB">
            <w:pPr>
              <w:jc w:val="center"/>
              <w:rPr>
                <w:rFonts w:ascii="Calibri" w:hAnsi="Calibri" w:cs="Calibri"/>
                <w:b/>
                <w:bCs/>
                <w:color w:val="000000"/>
                <w:sz w:val="16"/>
                <w:szCs w:val="16"/>
                <w:rtl/>
              </w:rPr>
            </w:pPr>
            <w:r w:rsidRPr="000854F1">
              <w:rPr>
                <w:rFonts w:ascii="Calibri" w:hAnsi="Calibri" w:cs="Calibri"/>
                <w:b/>
                <w:bCs/>
                <w:color w:val="000000"/>
                <w:sz w:val="16"/>
                <w:szCs w:val="16"/>
                <w:rtl/>
              </w:rPr>
              <w:t>סך עודף שהועבר ב-2025</w:t>
            </w:r>
          </w:p>
        </w:tc>
        <w:tc>
          <w:tcPr>
            <w:tcW w:w="1000" w:type="pct"/>
            <w:tcBorders>
              <w:top w:val="single" w:sz="4" w:space="0" w:color="979991"/>
              <w:left w:val="single" w:sz="4" w:space="0" w:color="979991"/>
              <w:bottom w:val="single" w:sz="4" w:space="0" w:color="979991"/>
              <w:right w:val="nil"/>
            </w:tcBorders>
            <w:shd w:val="clear" w:color="000000" w:fill="F0F4FA"/>
            <w:vAlign w:val="center"/>
            <w:hideMark/>
          </w:tcPr>
          <w:p w14:paraId="7064021F" w14:textId="77777777" w:rsidR="00B74800" w:rsidRPr="000854F1" w:rsidRDefault="00B74800" w:rsidP="000752FB">
            <w:pPr>
              <w:jc w:val="center"/>
              <w:rPr>
                <w:rFonts w:ascii="Calibri" w:hAnsi="Calibri" w:cs="Calibri"/>
                <w:b/>
                <w:bCs/>
                <w:color w:val="000000"/>
                <w:sz w:val="16"/>
                <w:szCs w:val="16"/>
                <w:rtl/>
              </w:rPr>
            </w:pPr>
            <w:r w:rsidRPr="000854F1">
              <w:rPr>
                <w:rFonts w:ascii="Calibri" w:hAnsi="Calibri" w:cs="Calibri"/>
                <w:b/>
                <w:bCs/>
                <w:color w:val="000000"/>
                <w:sz w:val="16"/>
                <w:szCs w:val="16"/>
                <w:rtl/>
              </w:rPr>
              <w:t>סך עודף שהועבר ב-2024</w:t>
            </w:r>
          </w:p>
        </w:tc>
        <w:tc>
          <w:tcPr>
            <w:tcW w:w="1000" w:type="pct"/>
            <w:tcBorders>
              <w:top w:val="single" w:sz="4" w:space="0" w:color="979991"/>
              <w:left w:val="single" w:sz="4" w:space="0" w:color="979991"/>
              <w:bottom w:val="single" w:sz="4" w:space="0" w:color="979991"/>
              <w:right w:val="single" w:sz="4" w:space="0" w:color="979991"/>
            </w:tcBorders>
            <w:shd w:val="clear" w:color="000000" w:fill="F0F4FA"/>
            <w:vAlign w:val="center"/>
            <w:hideMark/>
          </w:tcPr>
          <w:p w14:paraId="47B2636F" w14:textId="77777777" w:rsidR="00B74800" w:rsidRPr="000854F1" w:rsidRDefault="00B74800" w:rsidP="000752FB">
            <w:pPr>
              <w:jc w:val="center"/>
              <w:rPr>
                <w:rFonts w:ascii="Calibri" w:hAnsi="Calibri" w:cs="Calibri"/>
                <w:b/>
                <w:bCs/>
                <w:color w:val="000000"/>
                <w:sz w:val="16"/>
                <w:szCs w:val="16"/>
                <w:rtl/>
              </w:rPr>
            </w:pPr>
            <w:r w:rsidRPr="000854F1">
              <w:rPr>
                <w:rFonts w:ascii="Calibri" w:hAnsi="Calibri" w:cs="Calibri"/>
                <w:b/>
                <w:bCs/>
                <w:color w:val="000000"/>
                <w:sz w:val="16"/>
                <w:szCs w:val="16"/>
                <w:rtl/>
              </w:rPr>
              <w:t>סך עודף שהועבר ב-2023</w:t>
            </w:r>
          </w:p>
        </w:tc>
      </w:tr>
      <w:tr w:rsidR="00B74800" w:rsidRPr="000854F1" w14:paraId="1BC68818" w14:textId="77777777" w:rsidTr="00B74800">
        <w:trPr>
          <w:trHeight w:val="290"/>
        </w:trPr>
        <w:tc>
          <w:tcPr>
            <w:tcW w:w="1000" w:type="pct"/>
            <w:tcBorders>
              <w:top w:val="single" w:sz="4" w:space="0" w:color="979991"/>
              <w:left w:val="single" w:sz="4" w:space="0" w:color="979991"/>
              <w:bottom w:val="single" w:sz="4" w:space="0" w:color="979991"/>
              <w:right w:val="nil"/>
            </w:tcBorders>
            <w:shd w:val="clear" w:color="000000" w:fill="F0F4FA"/>
            <w:vAlign w:val="center"/>
            <w:hideMark/>
          </w:tcPr>
          <w:p w14:paraId="32B94884"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085101</w:t>
            </w:r>
          </w:p>
        </w:tc>
        <w:tc>
          <w:tcPr>
            <w:tcW w:w="1000" w:type="pct"/>
            <w:tcBorders>
              <w:top w:val="nil"/>
              <w:left w:val="single" w:sz="4" w:space="0" w:color="979991"/>
              <w:bottom w:val="single" w:sz="4" w:space="0" w:color="979991"/>
              <w:right w:val="nil"/>
            </w:tcBorders>
            <w:shd w:val="clear" w:color="000000" w:fill="FFFFFF"/>
            <w:vAlign w:val="center"/>
            <w:hideMark/>
          </w:tcPr>
          <w:p w14:paraId="091FABAD"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134,602</w:t>
            </w:r>
          </w:p>
        </w:tc>
        <w:tc>
          <w:tcPr>
            <w:tcW w:w="1000" w:type="pct"/>
            <w:tcBorders>
              <w:top w:val="nil"/>
              <w:left w:val="single" w:sz="4" w:space="0" w:color="979991"/>
              <w:bottom w:val="single" w:sz="4" w:space="0" w:color="979991"/>
              <w:right w:val="nil"/>
            </w:tcBorders>
            <w:shd w:val="clear" w:color="000000" w:fill="FFFFFF"/>
            <w:vAlign w:val="center"/>
            <w:hideMark/>
          </w:tcPr>
          <w:p w14:paraId="1F09B669"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141,772</w:t>
            </w:r>
          </w:p>
        </w:tc>
        <w:tc>
          <w:tcPr>
            <w:tcW w:w="1000" w:type="pct"/>
            <w:tcBorders>
              <w:top w:val="nil"/>
              <w:left w:val="single" w:sz="4" w:space="0" w:color="979991"/>
              <w:bottom w:val="single" w:sz="4" w:space="0" w:color="979991"/>
              <w:right w:val="nil"/>
            </w:tcBorders>
            <w:shd w:val="clear" w:color="000000" w:fill="FFFFFF"/>
            <w:vAlign w:val="center"/>
            <w:hideMark/>
          </w:tcPr>
          <w:p w14:paraId="52A79437"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187,377</w:t>
            </w:r>
          </w:p>
        </w:tc>
        <w:tc>
          <w:tcPr>
            <w:tcW w:w="1000" w:type="pct"/>
            <w:tcBorders>
              <w:top w:val="nil"/>
              <w:left w:val="single" w:sz="4" w:space="0" w:color="979991"/>
              <w:bottom w:val="single" w:sz="4" w:space="0" w:color="979991"/>
              <w:right w:val="single" w:sz="4" w:space="0" w:color="979991"/>
            </w:tcBorders>
            <w:shd w:val="clear" w:color="000000" w:fill="FFFFFF"/>
            <w:vAlign w:val="center"/>
            <w:hideMark/>
          </w:tcPr>
          <w:p w14:paraId="01EDD30F"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242,741</w:t>
            </w:r>
          </w:p>
        </w:tc>
      </w:tr>
      <w:tr w:rsidR="00B74800" w:rsidRPr="000854F1" w14:paraId="190141EA" w14:textId="77777777" w:rsidTr="00B74800">
        <w:trPr>
          <w:trHeight w:val="290"/>
        </w:trPr>
        <w:tc>
          <w:tcPr>
            <w:tcW w:w="1000" w:type="pct"/>
            <w:tcBorders>
              <w:top w:val="nil"/>
              <w:left w:val="single" w:sz="4" w:space="0" w:color="979991"/>
              <w:bottom w:val="single" w:sz="4" w:space="0" w:color="979991"/>
              <w:right w:val="nil"/>
            </w:tcBorders>
            <w:shd w:val="clear" w:color="000000" w:fill="F0F4FA"/>
            <w:vAlign w:val="center"/>
            <w:hideMark/>
          </w:tcPr>
          <w:p w14:paraId="2A5FC98E"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085102</w:t>
            </w:r>
          </w:p>
        </w:tc>
        <w:tc>
          <w:tcPr>
            <w:tcW w:w="1000" w:type="pct"/>
            <w:tcBorders>
              <w:top w:val="nil"/>
              <w:left w:val="single" w:sz="4" w:space="0" w:color="979991"/>
              <w:bottom w:val="single" w:sz="4" w:space="0" w:color="979991"/>
              <w:right w:val="nil"/>
            </w:tcBorders>
            <w:shd w:val="clear" w:color="000000" w:fill="FFFFFF"/>
            <w:vAlign w:val="center"/>
            <w:hideMark/>
          </w:tcPr>
          <w:p w14:paraId="37C405FB"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7,977</w:t>
            </w:r>
          </w:p>
        </w:tc>
        <w:tc>
          <w:tcPr>
            <w:tcW w:w="1000" w:type="pct"/>
            <w:tcBorders>
              <w:top w:val="nil"/>
              <w:left w:val="single" w:sz="4" w:space="0" w:color="979991"/>
              <w:bottom w:val="single" w:sz="4" w:space="0" w:color="979991"/>
              <w:right w:val="nil"/>
            </w:tcBorders>
            <w:shd w:val="clear" w:color="000000" w:fill="FFFFFF"/>
            <w:vAlign w:val="center"/>
            <w:hideMark/>
          </w:tcPr>
          <w:p w14:paraId="76264D44"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3,167</w:t>
            </w:r>
          </w:p>
        </w:tc>
        <w:tc>
          <w:tcPr>
            <w:tcW w:w="1000" w:type="pct"/>
            <w:tcBorders>
              <w:top w:val="nil"/>
              <w:left w:val="single" w:sz="4" w:space="0" w:color="979991"/>
              <w:bottom w:val="single" w:sz="4" w:space="0" w:color="979991"/>
              <w:right w:val="nil"/>
            </w:tcBorders>
            <w:shd w:val="clear" w:color="000000" w:fill="FFFFFF"/>
            <w:vAlign w:val="center"/>
            <w:hideMark/>
          </w:tcPr>
          <w:p w14:paraId="366F16CD"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5,499</w:t>
            </w:r>
          </w:p>
        </w:tc>
        <w:tc>
          <w:tcPr>
            <w:tcW w:w="1000" w:type="pct"/>
            <w:tcBorders>
              <w:top w:val="nil"/>
              <w:left w:val="single" w:sz="4" w:space="0" w:color="979991"/>
              <w:bottom w:val="single" w:sz="4" w:space="0" w:color="979991"/>
              <w:right w:val="single" w:sz="4" w:space="0" w:color="979991"/>
            </w:tcBorders>
            <w:shd w:val="clear" w:color="000000" w:fill="FFFFFF"/>
            <w:vAlign w:val="center"/>
            <w:hideMark/>
          </w:tcPr>
          <w:p w14:paraId="5ECA7BEE"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24,953</w:t>
            </w:r>
          </w:p>
        </w:tc>
      </w:tr>
      <w:tr w:rsidR="00B74800" w:rsidRPr="000854F1" w14:paraId="5A6EF8E2" w14:textId="77777777" w:rsidTr="00B74800">
        <w:trPr>
          <w:trHeight w:val="290"/>
        </w:trPr>
        <w:tc>
          <w:tcPr>
            <w:tcW w:w="1000" w:type="pct"/>
            <w:tcBorders>
              <w:top w:val="nil"/>
              <w:left w:val="single" w:sz="4" w:space="0" w:color="979991"/>
              <w:bottom w:val="single" w:sz="4" w:space="0" w:color="979991"/>
              <w:right w:val="nil"/>
            </w:tcBorders>
            <w:shd w:val="clear" w:color="000000" w:fill="F0F4FA"/>
            <w:vAlign w:val="center"/>
            <w:hideMark/>
          </w:tcPr>
          <w:p w14:paraId="604A696D"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085103</w:t>
            </w:r>
          </w:p>
        </w:tc>
        <w:tc>
          <w:tcPr>
            <w:tcW w:w="1000" w:type="pct"/>
            <w:tcBorders>
              <w:top w:val="nil"/>
              <w:left w:val="single" w:sz="4" w:space="0" w:color="979991"/>
              <w:bottom w:val="single" w:sz="4" w:space="0" w:color="979991"/>
              <w:right w:val="nil"/>
            </w:tcBorders>
            <w:shd w:val="clear" w:color="000000" w:fill="FFFFFF"/>
            <w:vAlign w:val="center"/>
            <w:hideMark/>
          </w:tcPr>
          <w:p w14:paraId="21BB5603"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19,318</w:t>
            </w:r>
          </w:p>
        </w:tc>
        <w:tc>
          <w:tcPr>
            <w:tcW w:w="1000" w:type="pct"/>
            <w:tcBorders>
              <w:top w:val="nil"/>
              <w:left w:val="single" w:sz="4" w:space="0" w:color="979991"/>
              <w:bottom w:val="single" w:sz="4" w:space="0" w:color="979991"/>
              <w:right w:val="nil"/>
            </w:tcBorders>
            <w:shd w:val="clear" w:color="000000" w:fill="FFFFFF"/>
            <w:vAlign w:val="center"/>
            <w:hideMark/>
          </w:tcPr>
          <w:p w14:paraId="2ADF7BA5"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60,970</w:t>
            </w:r>
          </w:p>
        </w:tc>
        <w:tc>
          <w:tcPr>
            <w:tcW w:w="1000" w:type="pct"/>
            <w:tcBorders>
              <w:top w:val="nil"/>
              <w:left w:val="single" w:sz="4" w:space="0" w:color="979991"/>
              <w:bottom w:val="single" w:sz="4" w:space="0" w:color="979991"/>
              <w:right w:val="nil"/>
            </w:tcBorders>
            <w:shd w:val="clear" w:color="000000" w:fill="FFFFFF"/>
            <w:vAlign w:val="center"/>
            <w:hideMark/>
          </w:tcPr>
          <w:p w14:paraId="5A973884"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52,132</w:t>
            </w:r>
          </w:p>
        </w:tc>
        <w:tc>
          <w:tcPr>
            <w:tcW w:w="1000" w:type="pct"/>
            <w:tcBorders>
              <w:top w:val="nil"/>
              <w:left w:val="single" w:sz="4" w:space="0" w:color="979991"/>
              <w:bottom w:val="single" w:sz="4" w:space="0" w:color="979991"/>
              <w:right w:val="single" w:sz="4" w:space="0" w:color="979991"/>
            </w:tcBorders>
            <w:shd w:val="clear" w:color="000000" w:fill="FFFFFF"/>
            <w:vAlign w:val="center"/>
            <w:hideMark/>
          </w:tcPr>
          <w:p w14:paraId="765FF60B"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178,897</w:t>
            </w:r>
          </w:p>
        </w:tc>
      </w:tr>
      <w:tr w:rsidR="00B74800" w:rsidRPr="000854F1" w14:paraId="73EE2A4E" w14:textId="77777777" w:rsidTr="00B74800">
        <w:trPr>
          <w:trHeight w:val="290"/>
        </w:trPr>
        <w:tc>
          <w:tcPr>
            <w:tcW w:w="1000" w:type="pct"/>
            <w:tcBorders>
              <w:top w:val="nil"/>
              <w:left w:val="single" w:sz="4" w:space="0" w:color="979991"/>
              <w:bottom w:val="single" w:sz="4" w:space="0" w:color="979991"/>
              <w:right w:val="nil"/>
            </w:tcBorders>
            <w:shd w:val="clear" w:color="000000" w:fill="F0F4FA"/>
            <w:vAlign w:val="center"/>
            <w:hideMark/>
          </w:tcPr>
          <w:p w14:paraId="6E4EDDBA"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085104</w:t>
            </w:r>
          </w:p>
        </w:tc>
        <w:tc>
          <w:tcPr>
            <w:tcW w:w="1000" w:type="pct"/>
            <w:tcBorders>
              <w:top w:val="nil"/>
              <w:left w:val="single" w:sz="4" w:space="0" w:color="979991"/>
              <w:bottom w:val="single" w:sz="4" w:space="0" w:color="979991"/>
              <w:right w:val="nil"/>
            </w:tcBorders>
            <w:shd w:val="clear" w:color="000000" w:fill="FFFFFF"/>
            <w:vAlign w:val="center"/>
            <w:hideMark/>
          </w:tcPr>
          <w:p w14:paraId="629D0A6D"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15,381</w:t>
            </w:r>
          </w:p>
        </w:tc>
        <w:tc>
          <w:tcPr>
            <w:tcW w:w="1000" w:type="pct"/>
            <w:tcBorders>
              <w:top w:val="nil"/>
              <w:left w:val="single" w:sz="4" w:space="0" w:color="979991"/>
              <w:bottom w:val="single" w:sz="4" w:space="0" w:color="979991"/>
              <w:right w:val="nil"/>
            </w:tcBorders>
            <w:shd w:val="clear" w:color="000000" w:fill="FFFFFF"/>
            <w:vAlign w:val="center"/>
            <w:hideMark/>
          </w:tcPr>
          <w:p w14:paraId="3DA5DA21"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13,623</w:t>
            </w:r>
          </w:p>
        </w:tc>
        <w:tc>
          <w:tcPr>
            <w:tcW w:w="1000" w:type="pct"/>
            <w:tcBorders>
              <w:top w:val="nil"/>
              <w:left w:val="single" w:sz="4" w:space="0" w:color="979991"/>
              <w:bottom w:val="single" w:sz="4" w:space="0" w:color="979991"/>
              <w:right w:val="nil"/>
            </w:tcBorders>
            <w:shd w:val="clear" w:color="000000" w:fill="FFFFFF"/>
            <w:vAlign w:val="center"/>
            <w:hideMark/>
          </w:tcPr>
          <w:p w14:paraId="1EADF85C"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15,880</w:t>
            </w:r>
          </w:p>
        </w:tc>
        <w:tc>
          <w:tcPr>
            <w:tcW w:w="1000" w:type="pct"/>
            <w:tcBorders>
              <w:top w:val="nil"/>
              <w:left w:val="single" w:sz="4" w:space="0" w:color="979991"/>
              <w:bottom w:val="single" w:sz="4" w:space="0" w:color="979991"/>
              <w:right w:val="single" w:sz="4" w:space="0" w:color="979991"/>
            </w:tcBorders>
            <w:shd w:val="clear" w:color="000000" w:fill="FFFFFF"/>
            <w:vAlign w:val="center"/>
            <w:hideMark/>
          </w:tcPr>
          <w:p w14:paraId="131DA922"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21,052</w:t>
            </w:r>
          </w:p>
        </w:tc>
      </w:tr>
      <w:tr w:rsidR="00B74800" w:rsidRPr="000854F1" w14:paraId="067996E2" w14:textId="77777777" w:rsidTr="00B74800">
        <w:trPr>
          <w:trHeight w:val="290"/>
        </w:trPr>
        <w:tc>
          <w:tcPr>
            <w:tcW w:w="1000" w:type="pct"/>
            <w:tcBorders>
              <w:top w:val="nil"/>
              <w:left w:val="single" w:sz="4" w:space="0" w:color="979991"/>
              <w:bottom w:val="single" w:sz="4" w:space="0" w:color="979991"/>
              <w:right w:val="nil"/>
            </w:tcBorders>
            <w:shd w:val="clear" w:color="000000" w:fill="F0F4FA"/>
            <w:vAlign w:val="center"/>
            <w:hideMark/>
          </w:tcPr>
          <w:p w14:paraId="12D9F1F1"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085105</w:t>
            </w:r>
          </w:p>
        </w:tc>
        <w:tc>
          <w:tcPr>
            <w:tcW w:w="1000" w:type="pct"/>
            <w:tcBorders>
              <w:top w:val="nil"/>
              <w:left w:val="single" w:sz="4" w:space="0" w:color="979991"/>
              <w:bottom w:val="single" w:sz="4" w:space="0" w:color="979991"/>
              <w:right w:val="nil"/>
            </w:tcBorders>
            <w:shd w:val="clear" w:color="000000" w:fill="FFFFFF"/>
            <w:vAlign w:val="center"/>
            <w:hideMark/>
          </w:tcPr>
          <w:p w14:paraId="4E236AEA"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15,707</w:t>
            </w:r>
          </w:p>
        </w:tc>
        <w:tc>
          <w:tcPr>
            <w:tcW w:w="1000" w:type="pct"/>
            <w:tcBorders>
              <w:top w:val="nil"/>
              <w:left w:val="single" w:sz="4" w:space="0" w:color="979991"/>
              <w:bottom w:val="single" w:sz="4" w:space="0" w:color="979991"/>
              <w:right w:val="nil"/>
            </w:tcBorders>
            <w:shd w:val="clear" w:color="000000" w:fill="FFFFFF"/>
            <w:vAlign w:val="center"/>
            <w:hideMark/>
          </w:tcPr>
          <w:p w14:paraId="3FC96DF9"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16,357</w:t>
            </w:r>
          </w:p>
        </w:tc>
        <w:tc>
          <w:tcPr>
            <w:tcW w:w="1000" w:type="pct"/>
            <w:tcBorders>
              <w:top w:val="nil"/>
              <w:left w:val="single" w:sz="4" w:space="0" w:color="979991"/>
              <w:bottom w:val="single" w:sz="4" w:space="0" w:color="979991"/>
              <w:right w:val="nil"/>
            </w:tcBorders>
            <w:shd w:val="clear" w:color="000000" w:fill="FFFFFF"/>
            <w:vAlign w:val="center"/>
            <w:hideMark/>
          </w:tcPr>
          <w:p w14:paraId="2D8CB091"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15,087</w:t>
            </w:r>
          </w:p>
        </w:tc>
        <w:tc>
          <w:tcPr>
            <w:tcW w:w="1000" w:type="pct"/>
            <w:tcBorders>
              <w:top w:val="nil"/>
              <w:left w:val="single" w:sz="4" w:space="0" w:color="979991"/>
              <w:bottom w:val="single" w:sz="4" w:space="0" w:color="979991"/>
              <w:right w:val="single" w:sz="4" w:space="0" w:color="979991"/>
            </w:tcBorders>
            <w:shd w:val="clear" w:color="000000" w:fill="FFFFFF"/>
            <w:vAlign w:val="center"/>
            <w:hideMark/>
          </w:tcPr>
          <w:p w14:paraId="095E6C9E"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9,778</w:t>
            </w:r>
          </w:p>
        </w:tc>
      </w:tr>
      <w:tr w:rsidR="00B74800" w:rsidRPr="000854F1" w14:paraId="46473BEB" w14:textId="77777777" w:rsidTr="00B74800">
        <w:trPr>
          <w:trHeight w:val="290"/>
        </w:trPr>
        <w:tc>
          <w:tcPr>
            <w:tcW w:w="1000" w:type="pct"/>
            <w:tcBorders>
              <w:top w:val="nil"/>
              <w:left w:val="single" w:sz="4" w:space="0" w:color="979991"/>
              <w:bottom w:val="single" w:sz="4" w:space="0" w:color="979991"/>
              <w:right w:val="nil"/>
            </w:tcBorders>
            <w:shd w:val="clear" w:color="000000" w:fill="F0F4FA"/>
            <w:vAlign w:val="center"/>
            <w:hideMark/>
          </w:tcPr>
          <w:p w14:paraId="019E1966"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085107</w:t>
            </w:r>
          </w:p>
        </w:tc>
        <w:tc>
          <w:tcPr>
            <w:tcW w:w="1000" w:type="pct"/>
            <w:tcBorders>
              <w:top w:val="nil"/>
              <w:left w:val="single" w:sz="4" w:space="0" w:color="979991"/>
              <w:bottom w:val="single" w:sz="4" w:space="0" w:color="979991"/>
              <w:right w:val="nil"/>
            </w:tcBorders>
            <w:shd w:val="clear" w:color="000000" w:fill="FFFFFF"/>
            <w:vAlign w:val="center"/>
            <w:hideMark/>
          </w:tcPr>
          <w:p w14:paraId="2941017F"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5,881</w:t>
            </w:r>
          </w:p>
        </w:tc>
        <w:tc>
          <w:tcPr>
            <w:tcW w:w="1000" w:type="pct"/>
            <w:tcBorders>
              <w:top w:val="nil"/>
              <w:left w:val="single" w:sz="4" w:space="0" w:color="979991"/>
              <w:bottom w:val="single" w:sz="4" w:space="0" w:color="979991"/>
              <w:right w:val="nil"/>
            </w:tcBorders>
            <w:shd w:val="clear" w:color="000000" w:fill="FFFFFF"/>
            <w:vAlign w:val="center"/>
            <w:hideMark/>
          </w:tcPr>
          <w:p w14:paraId="3DE33BC1"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5,415</w:t>
            </w:r>
          </w:p>
        </w:tc>
        <w:tc>
          <w:tcPr>
            <w:tcW w:w="1000" w:type="pct"/>
            <w:tcBorders>
              <w:top w:val="nil"/>
              <w:left w:val="single" w:sz="4" w:space="0" w:color="979991"/>
              <w:bottom w:val="single" w:sz="4" w:space="0" w:color="979991"/>
              <w:right w:val="nil"/>
            </w:tcBorders>
            <w:shd w:val="clear" w:color="000000" w:fill="FFFFFF"/>
            <w:vAlign w:val="center"/>
            <w:hideMark/>
          </w:tcPr>
          <w:p w14:paraId="51783F8E"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5,719</w:t>
            </w:r>
          </w:p>
        </w:tc>
        <w:tc>
          <w:tcPr>
            <w:tcW w:w="1000" w:type="pct"/>
            <w:tcBorders>
              <w:top w:val="nil"/>
              <w:left w:val="single" w:sz="4" w:space="0" w:color="979991"/>
              <w:bottom w:val="single" w:sz="4" w:space="0" w:color="979991"/>
              <w:right w:val="single" w:sz="4" w:space="0" w:color="979991"/>
            </w:tcBorders>
            <w:shd w:val="clear" w:color="000000" w:fill="FFFFFF"/>
            <w:vAlign w:val="center"/>
            <w:hideMark/>
          </w:tcPr>
          <w:p w14:paraId="0D2B040E"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2,068</w:t>
            </w:r>
          </w:p>
        </w:tc>
      </w:tr>
      <w:tr w:rsidR="00B74800" w:rsidRPr="000854F1" w14:paraId="6906CCBB" w14:textId="77777777" w:rsidTr="00B74800">
        <w:trPr>
          <w:trHeight w:val="290"/>
        </w:trPr>
        <w:tc>
          <w:tcPr>
            <w:tcW w:w="1000" w:type="pct"/>
            <w:tcBorders>
              <w:top w:val="nil"/>
              <w:left w:val="single" w:sz="4" w:space="0" w:color="979991"/>
              <w:bottom w:val="single" w:sz="4" w:space="0" w:color="979991"/>
              <w:right w:val="nil"/>
            </w:tcBorders>
            <w:shd w:val="clear" w:color="000000" w:fill="F0F4FA"/>
            <w:vAlign w:val="center"/>
            <w:hideMark/>
          </w:tcPr>
          <w:p w14:paraId="35D26E01"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085108</w:t>
            </w:r>
          </w:p>
        </w:tc>
        <w:tc>
          <w:tcPr>
            <w:tcW w:w="1000" w:type="pct"/>
            <w:tcBorders>
              <w:top w:val="nil"/>
              <w:left w:val="single" w:sz="4" w:space="0" w:color="979991"/>
              <w:bottom w:val="single" w:sz="4" w:space="0" w:color="979991"/>
              <w:right w:val="nil"/>
            </w:tcBorders>
            <w:shd w:val="clear" w:color="000000" w:fill="FFFFFF"/>
            <w:vAlign w:val="center"/>
            <w:hideMark/>
          </w:tcPr>
          <w:p w14:paraId="64D2E8B7"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55</w:t>
            </w:r>
          </w:p>
        </w:tc>
        <w:tc>
          <w:tcPr>
            <w:tcW w:w="1000" w:type="pct"/>
            <w:tcBorders>
              <w:top w:val="nil"/>
              <w:left w:val="single" w:sz="4" w:space="0" w:color="979991"/>
              <w:bottom w:val="single" w:sz="4" w:space="0" w:color="979991"/>
              <w:right w:val="nil"/>
            </w:tcBorders>
            <w:shd w:val="clear" w:color="000000" w:fill="FFFFFF"/>
            <w:vAlign w:val="center"/>
            <w:hideMark/>
          </w:tcPr>
          <w:p w14:paraId="0A3691D8"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848</w:t>
            </w:r>
          </w:p>
        </w:tc>
        <w:tc>
          <w:tcPr>
            <w:tcW w:w="1000" w:type="pct"/>
            <w:tcBorders>
              <w:top w:val="nil"/>
              <w:left w:val="single" w:sz="4" w:space="0" w:color="979991"/>
              <w:bottom w:val="single" w:sz="4" w:space="0" w:color="979991"/>
              <w:right w:val="nil"/>
            </w:tcBorders>
            <w:shd w:val="clear" w:color="000000" w:fill="FFFFFF"/>
            <w:vAlign w:val="center"/>
            <w:hideMark/>
          </w:tcPr>
          <w:p w14:paraId="6A85CB61"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979</w:t>
            </w:r>
          </w:p>
        </w:tc>
        <w:tc>
          <w:tcPr>
            <w:tcW w:w="1000" w:type="pct"/>
            <w:tcBorders>
              <w:top w:val="nil"/>
              <w:left w:val="single" w:sz="4" w:space="0" w:color="979991"/>
              <w:bottom w:val="single" w:sz="4" w:space="0" w:color="979991"/>
              <w:right w:val="single" w:sz="4" w:space="0" w:color="979991"/>
            </w:tcBorders>
            <w:shd w:val="clear" w:color="000000" w:fill="FFFFFF"/>
            <w:vAlign w:val="center"/>
            <w:hideMark/>
          </w:tcPr>
          <w:p w14:paraId="29D8461F"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1,625</w:t>
            </w:r>
          </w:p>
        </w:tc>
      </w:tr>
      <w:tr w:rsidR="00B74800" w:rsidRPr="000854F1" w14:paraId="41A30D0F" w14:textId="77777777" w:rsidTr="00B74800">
        <w:trPr>
          <w:trHeight w:val="290"/>
        </w:trPr>
        <w:tc>
          <w:tcPr>
            <w:tcW w:w="1000" w:type="pct"/>
            <w:tcBorders>
              <w:top w:val="nil"/>
              <w:left w:val="single" w:sz="4" w:space="0" w:color="979991"/>
              <w:bottom w:val="single" w:sz="4" w:space="0" w:color="979991"/>
              <w:right w:val="nil"/>
            </w:tcBorders>
            <w:shd w:val="clear" w:color="000000" w:fill="F0F4FA"/>
            <w:vAlign w:val="center"/>
            <w:hideMark/>
          </w:tcPr>
          <w:p w14:paraId="44E907FC"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085109</w:t>
            </w:r>
          </w:p>
        </w:tc>
        <w:tc>
          <w:tcPr>
            <w:tcW w:w="1000" w:type="pct"/>
            <w:tcBorders>
              <w:top w:val="nil"/>
              <w:left w:val="single" w:sz="4" w:space="0" w:color="979991"/>
              <w:bottom w:val="single" w:sz="4" w:space="0" w:color="979991"/>
              <w:right w:val="nil"/>
            </w:tcBorders>
            <w:shd w:val="clear" w:color="000000" w:fill="FFFFFF"/>
            <w:vAlign w:val="center"/>
            <w:hideMark/>
          </w:tcPr>
          <w:p w14:paraId="3AE43786"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13,911</w:t>
            </w:r>
          </w:p>
        </w:tc>
        <w:tc>
          <w:tcPr>
            <w:tcW w:w="1000" w:type="pct"/>
            <w:tcBorders>
              <w:top w:val="nil"/>
              <w:left w:val="single" w:sz="4" w:space="0" w:color="979991"/>
              <w:bottom w:val="single" w:sz="4" w:space="0" w:color="979991"/>
              <w:right w:val="nil"/>
            </w:tcBorders>
            <w:shd w:val="clear" w:color="000000" w:fill="FFFFFF"/>
            <w:vAlign w:val="center"/>
            <w:hideMark/>
          </w:tcPr>
          <w:p w14:paraId="6032D583"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16,201</w:t>
            </w:r>
          </w:p>
        </w:tc>
        <w:tc>
          <w:tcPr>
            <w:tcW w:w="1000" w:type="pct"/>
            <w:tcBorders>
              <w:top w:val="nil"/>
              <w:left w:val="single" w:sz="4" w:space="0" w:color="979991"/>
              <w:bottom w:val="single" w:sz="4" w:space="0" w:color="979991"/>
              <w:right w:val="nil"/>
            </w:tcBorders>
            <w:shd w:val="clear" w:color="000000" w:fill="FFFFFF"/>
            <w:vAlign w:val="center"/>
            <w:hideMark/>
          </w:tcPr>
          <w:p w14:paraId="1935E785"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20,421</w:t>
            </w:r>
          </w:p>
        </w:tc>
        <w:tc>
          <w:tcPr>
            <w:tcW w:w="1000" w:type="pct"/>
            <w:tcBorders>
              <w:top w:val="nil"/>
              <w:left w:val="single" w:sz="4" w:space="0" w:color="979991"/>
              <w:bottom w:val="single" w:sz="4" w:space="0" w:color="979991"/>
              <w:right w:val="single" w:sz="4" w:space="0" w:color="979991"/>
            </w:tcBorders>
            <w:shd w:val="clear" w:color="000000" w:fill="FFFFFF"/>
            <w:vAlign w:val="center"/>
            <w:hideMark/>
          </w:tcPr>
          <w:p w14:paraId="43FFA67E"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16,140</w:t>
            </w:r>
          </w:p>
        </w:tc>
      </w:tr>
      <w:tr w:rsidR="00B74800" w:rsidRPr="000854F1" w14:paraId="44DA0FAF" w14:textId="77777777" w:rsidTr="00B74800">
        <w:trPr>
          <w:trHeight w:val="290"/>
        </w:trPr>
        <w:tc>
          <w:tcPr>
            <w:tcW w:w="1000" w:type="pct"/>
            <w:tcBorders>
              <w:top w:val="nil"/>
              <w:left w:val="single" w:sz="4" w:space="0" w:color="979991"/>
              <w:bottom w:val="single" w:sz="4" w:space="0" w:color="979991"/>
              <w:right w:val="nil"/>
            </w:tcBorders>
            <w:shd w:val="clear" w:color="000000" w:fill="F0F4FA"/>
            <w:vAlign w:val="center"/>
            <w:hideMark/>
          </w:tcPr>
          <w:p w14:paraId="2738D7C3"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085110</w:t>
            </w:r>
          </w:p>
        </w:tc>
        <w:tc>
          <w:tcPr>
            <w:tcW w:w="1000" w:type="pct"/>
            <w:tcBorders>
              <w:top w:val="nil"/>
              <w:left w:val="single" w:sz="4" w:space="0" w:color="979991"/>
              <w:bottom w:val="single" w:sz="4" w:space="0" w:color="979991"/>
              <w:right w:val="nil"/>
            </w:tcBorders>
            <w:shd w:val="clear" w:color="000000" w:fill="FFFFFF"/>
            <w:vAlign w:val="center"/>
            <w:hideMark/>
          </w:tcPr>
          <w:p w14:paraId="4ABA091D"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19,576</w:t>
            </w:r>
          </w:p>
        </w:tc>
        <w:tc>
          <w:tcPr>
            <w:tcW w:w="1000" w:type="pct"/>
            <w:tcBorders>
              <w:top w:val="nil"/>
              <w:left w:val="single" w:sz="4" w:space="0" w:color="979991"/>
              <w:bottom w:val="single" w:sz="4" w:space="0" w:color="979991"/>
              <w:right w:val="nil"/>
            </w:tcBorders>
            <w:shd w:val="clear" w:color="000000" w:fill="FFFFFF"/>
            <w:vAlign w:val="center"/>
            <w:hideMark/>
          </w:tcPr>
          <w:p w14:paraId="5DFC7CFE"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13,196</w:t>
            </w:r>
          </w:p>
        </w:tc>
        <w:tc>
          <w:tcPr>
            <w:tcW w:w="1000" w:type="pct"/>
            <w:tcBorders>
              <w:top w:val="nil"/>
              <w:left w:val="single" w:sz="4" w:space="0" w:color="979991"/>
              <w:bottom w:val="single" w:sz="4" w:space="0" w:color="979991"/>
              <w:right w:val="nil"/>
            </w:tcBorders>
            <w:shd w:val="clear" w:color="000000" w:fill="FFFFFF"/>
            <w:vAlign w:val="center"/>
            <w:hideMark/>
          </w:tcPr>
          <w:p w14:paraId="3A5405D9"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12,251</w:t>
            </w:r>
          </w:p>
        </w:tc>
        <w:tc>
          <w:tcPr>
            <w:tcW w:w="1000" w:type="pct"/>
            <w:tcBorders>
              <w:top w:val="nil"/>
              <w:left w:val="single" w:sz="4" w:space="0" w:color="979991"/>
              <w:bottom w:val="single" w:sz="4" w:space="0" w:color="979991"/>
              <w:right w:val="single" w:sz="4" w:space="0" w:color="979991"/>
            </w:tcBorders>
            <w:shd w:val="clear" w:color="000000" w:fill="FFFFFF"/>
            <w:vAlign w:val="center"/>
            <w:hideMark/>
          </w:tcPr>
          <w:p w14:paraId="44712D0C"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18,475</w:t>
            </w:r>
          </w:p>
        </w:tc>
      </w:tr>
      <w:tr w:rsidR="00B74800" w:rsidRPr="000854F1" w14:paraId="08D01290" w14:textId="77777777" w:rsidTr="00B74800">
        <w:trPr>
          <w:trHeight w:val="290"/>
        </w:trPr>
        <w:tc>
          <w:tcPr>
            <w:tcW w:w="1000" w:type="pct"/>
            <w:tcBorders>
              <w:top w:val="nil"/>
              <w:left w:val="single" w:sz="4" w:space="0" w:color="979991"/>
              <w:bottom w:val="single" w:sz="4" w:space="0" w:color="979991"/>
              <w:right w:val="nil"/>
            </w:tcBorders>
            <w:shd w:val="clear" w:color="000000" w:fill="F0F4FA"/>
            <w:vAlign w:val="center"/>
            <w:hideMark/>
          </w:tcPr>
          <w:p w14:paraId="7C987CBE"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085111</w:t>
            </w:r>
          </w:p>
        </w:tc>
        <w:tc>
          <w:tcPr>
            <w:tcW w:w="1000" w:type="pct"/>
            <w:tcBorders>
              <w:top w:val="nil"/>
              <w:left w:val="single" w:sz="4" w:space="0" w:color="979991"/>
              <w:bottom w:val="single" w:sz="4" w:space="0" w:color="979991"/>
              <w:right w:val="nil"/>
            </w:tcBorders>
            <w:shd w:val="clear" w:color="000000" w:fill="FFFFFF"/>
            <w:vAlign w:val="center"/>
            <w:hideMark/>
          </w:tcPr>
          <w:p w14:paraId="00F692DE"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8,790</w:t>
            </w:r>
          </w:p>
        </w:tc>
        <w:tc>
          <w:tcPr>
            <w:tcW w:w="1000" w:type="pct"/>
            <w:tcBorders>
              <w:top w:val="nil"/>
              <w:left w:val="single" w:sz="4" w:space="0" w:color="979991"/>
              <w:bottom w:val="single" w:sz="4" w:space="0" w:color="979991"/>
              <w:right w:val="nil"/>
            </w:tcBorders>
            <w:shd w:val="clear" w:color="000000" w:fill="FFFFFF"/>
            <w:vAlign w:val="center"/>
            <w:hideMark/>
          </w:tcPr>
          <w:p w14:paraId="0E6CFC48"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6,741</w:t>
            </w:r>
          </w:p>
        </w:tc>
        <w:tc>
          <w:tcPr>
            <w:tcW w:w="1000" w:type="pct"/>
            <w:tcBorders>
              <w:top w:val="nil"/>
              <w:left w:val="single" w:sz="4" w:space="0" w:color="979991"/>
              <w:bottom w:val="single" w:sz="4" w:space="0" w:color="979991"/>
              <w:right w:val="nil"/>
            </w:tcBorders>
            <w:shd w:val="clear" w:color="000000" w:fill="FFFFFF"/>
            <w:vAlign w:val="center"/>
            <w:hideMark/>
          </w:tcPr>
          <w:p w14:paraId="06172164"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7,029</w:t>
            </w:r>
          </w:p>
        </w:tc>
        <w:tc>
          <w:tcPr>
            <w:tcW w:w="1000" w:type="pct"/>
            <w:tcBorders>
              <w:top w:val="nil"/>
              <w:left w:val="single" w:sz="4" w:space="0" w:color="979991"/>
              <w:bottom w:val="single" w:sz="4" w:space="0" w:color="979991"/>
              <w:right w:val="single" w:sz="4" w:space="0" w:color="979991"/>
            </w:tcBorders>
            <w:shd w:val="clear" w:color="000000" w:fill="FFFFFF"/>
            <w:vAlign w:val="center"/>
            <w:hideMark/>
          </w:tcPr>
          <w:p w14:paraId="4068A007"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3,690</w:t>
            </w:r>
          </w:p>
        </w:tc>
      </w:tr>
      <w:tr w:rsidR="00B74800" w:rsidRPr="000854F1" w14:paraId="762869C0" w14:textId="77777777" w:rsidTr="00B74800">
        <w:trPr>
          <w:trHeight w:val="290"/>
        </w:trPr>
        <w:tc>
          <w:tcPr>
            <w:tcW w:w="1000" w:type="pct"/>
            <w:tcBorders>
              <w:top w:val="nil"/>
              <w:left w:val="single" w:sz="4" w:space="0" w:color="979991"/>
              <w:bottom w:val="single" w:sz="4" w:space="0" w:color="979991"/>
              <w:right w:val="nil"/>
            </w:tcBorders>
            <w:shd w:val="clear" w:color="000000" w:fill="F0F4FA"/>
            <w:vAlign w:val="center"/>
            <w:hideMark/>
          </w:tcPr>
          <w:p w14:paraId="3164CA39"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085112</w:t>
            </w:r>
          </w:p>
        </w:tc>
        <w:tc>
          <w:tcPr>
            <w:tcW w:w="1000" w:type="pct"/>
            <w:tcBorders>
              <w:top w:val="nil"/>
              <w:left w:val="single" w:sz="4" w:space="0" w:color="979991"/>
              <w:bottom w:val="single" w:sz="4" w:space="0" w:color="979991"/>
              <w:right w:val="nil"/>
            </w:tcBorders>
            <w:shd w:val="clear" w:color="000000" w:fill="FFFFFF"/>
            <w:vAlign w:val="center"/>
            <w:hideMark/>
          </w:tcPr>
          <w:p w14:paraId="02AEB11F"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14,935</w:t>
            </w:r>
          </w:p>
        </w:tc>
        <w:tc>
          <w:tcPr>
            <w:tcW w:w="1000" w:type="pct"/>
            <w:tcBorders>
              <w:top w:val="nil"/>
              <w:left w:val="single" w:sz="4" w:space="0" w:color="979991"/>
              <w:bottom w:val="single" w:sz="4" w:space="0" w:color="979991"/>
              <w:right w:val="nil"/>
            </w:tcBorders>
            <w:shd w:val="clear" w:color="000000" w:fill="FFFFFF"/>
            <w:vAlign w:val="center"/>
            <w:hideMark/>
          </w:tcPr>
          <w:p w14:paraId="02CD9F86"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15,069</w:t>
            </w:r>
          </w:p>
        </w:tc>
        <w:tc>
          <w:tcPr>
            <w:tcW w:w="1000" w:type="pct"/>
            <w:tcBorders>
              <w:top w:val="nil"/>
              <w:left w:val="single" w:sz="4" w:space="0" w:color="979991"/>
              <w:bottom w:val="single" w:sz="4" w:space="0" w:color="979991"/>
              <w:right w:val="nil"/>
            </w:tcBorders>
            <w:shd w:val="clear" w:color="000000" w:fill="FFFFFF"/>
            <w:vAlign w:val="center"/>
            <w:hideMark/>
          </w:tcPr>
          <w:p w14:paraId="256D8012"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10,399</w:t>
            </w:r>
          </w:p>
        </w:tc>
        <w:tc>
          <w:tcPr>
            <w:tcW w:w="1000" w:type="pct"/>
            <w:tcBorders>
              <w:top w:val="nil"/>
              <w:left w:val="single" w:sz="4" w:space="0" w:color="979991"/>
              <w:bottom w:val="single" w:sz="4" w:space="0" w:color="979991"/>
              <w:right w:val="single" w:sz="4" w:space="0" w:color="979991"/>
            </w:tcBorders>
            <w:shd w:val="clear" w:color="000000" w:fill="FFFFFF"/>
            <w:vAlign w:val="center"/>
            <w:hideMark/>
          </w:tcPr>
          <w:p w14:paraId="74D6F957"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13,074</w:t>
            </w:r>
          </w:p>
        </w:tc>
      </w:tr>
      <w:tr w:rsidR="00B74800" w:rsidRPr="000854F1" w14:paraId="70010C3D" w14:textId="77777777" w:rsidTr="00B74800">
        <w:trPr>
          <w:trHeight w:val="290"/>
        </w:trPr>
        <w:tc>
          <w:tcPr>
            <w:tcW w:w="1000" w:type="pct"/>
            <w:tcBorders>
              <w:top w:val="nil"/>
              <w:left w:val="single" w:sz="4" w:space="0" w:color="979991"/>
              <w:bottom w:val="single" w:sz="4" w:space="0" w:color="979991"/>
              <w:right w:val="nil"/>
            </w:tcBorders>
            <w:shd w:val="clear" w:color="000000" w:fill="F0F4FA"/>
            <w:vAlign w:val="center"/>
            <w:hideMark/>
          </w:tcPr>
          <w:p w14:paraId="076DE15E"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085114</w:t>
            </w:r>
          </w:p>
        </w:tc>
        <w:tc>
          <w:tcPr>
            <w:tcW w:w="1000" w:type="pct"/>
            <w:tcBorders>
              <w:top w:val="nil"/>
              <w:left w:val="single" w:sz="4" w:space="0" w:color="979991"/>
              <w:bottom w:val="single" w:sz="4" w:space="0" w:color="979991"/>
              <w:right w:val="nil"/>
            </w:tcBorders>
            <w:shd w:val="clear" w:color="000000" w:fill="FFFFFF"/>
            <w:vAlign w:val="center"/>
            <w:hideMark/>
          </w:tcPr>
          <w:p w14:paraId="1D6B74F2"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17,839</w:t>
            </w:r>
          </w:p>
        </w:tc>
        <w:tc>
          <w:tcPr>
            <w:tcW w:w="1000" w:type="pct"/>
            <w:tcBorders>
              <w:top w:val="nil"/>
              <w:left w:val="single" w:sz="4" w:space="0" w:color="979991"/>
              <w:bottom w:val="single" w:sz="4" w:space="0" w:color="979991"/>
              <w:right w:val="nil"/>
            </w:tcBorders>
            <w:shd w:val="clear" w:color="000000" w:fill="FFFFFF"/>
            <w:vAlign w:val="center"/>
            <w:hideMark/>
          </w:tcPr>
          <w:p w14:paraId="3E721851"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8,723</w:t>
            </w:r>
          </w:p>
        </w:tc>
        <w:tc>
          <w:tcPr>
            <w:tcW w:w="1000" w:type="pct"/>
            <w:tcBorders>
              <w:top w:val="nil"/>
              <w:left w:val="single" w:sz="4" w:space="0" w:color="979991"/>
              <w:bottom w:val="single" w:sz="4" w:space="0" w:color="979991"/>
              <w:right w:val="nil"/>
            </w:tcBorders>
            <w:shd w:val="clear" w:color="000000" w:fill="FFFFFF"/>
            <w:vAlign w:val="center"/>
            <w:hideMark/>
          </w:tcPr>
          <w:p w14:paraId="3A1BC24E"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16,545</w:t>
            </w:r>
          </w:p>
        </w:tc>
        <w:tc>
          <w:tcPr>
            <w:tcW w:w="1000" w:type="pct"/>
            <w:tcBorders>
              <w:top w:val="nil"/>
              <w:left w:val="single" w:sz="4" w:space="0" w:color="979991"/>
              <w:bottom w:val="single" w:sz="4" w:space="0" w:color="979991"/>
              <w:right w:val="single" w:sz="4" w:space="0" w:color="979991"/>
            </w:tcBorders>
            <w:shd w:val="clear" w:color="000000" w:fill="FFFFFF"/>
            <w:vAlign w:val="center"/>
            <w:hideMark/>
          </w:tcPr>
          <w:p w14:paraId="55F9ECDF"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9,008</w:t>
            </w:r>
          </w:p>
        </w:tc>
      </w:tr>
      <w:tr w:rsidR="00B74800" w:rsidRPr="000854F1" w14:paraId="3ABF53F4" w14:textId="77777777" w:rsidTr="00B74800">
        <w:trPr>
          <w:trHeight w:val="290"/>
        </w:trPr>
        <w:tc>
          <w:tcPr>
            <w:tcW w:w="1000" w:type="pct"/>
            <w:tcBorders>
              <w:top w:val="nil"/>
              <w:left w:val="single" w:sz="4" w:space="0" w:color="979991"/>
              <w:bottom w:val="single" w:sz="4" w:space="0" w:color="979991"/>
              <w:right w:val="nil"/>
            </w:tcBorders>
            <w:shd w:val="clear" w:color="000000" w:fill="F0F4FA"/>
            <w:vAlign w:val="center"/>
            <w:hideMark/>
          </w:tcPr>
          <w:p w14:paraId="733F6935"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085116</w:t>
            </w:r>
          </w:p>
        </w:tc>
        <w:tc>
          <w:tcPr>
            <w:tcW w:w="1000" w:type="pct"/>
            <w:tcBorders>
              <w:top w:val="nil"/>
              <w:left w:val="single" w:sz="4" w:space="0" w:color="979991"/>
              <w:bottom w:val="single" w:sz="4" w:space="0" w:color="979991"/>
              <w:right w:val="nil"/>
            </w:tcBorders>
            <w:shd w:val="clear" w:color="000000" w:fill="FFFFFF"/>
            <w:vAlign w:val="center"/>
            <w:hideMark/>
          </w:tcPr>
          <w:p w14:paraId="62B40991"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2,334</w:t>
            </w:r>
          </w:p>
        </w:tc>
        <w:tc>
          <w:tcPr>
            <w:tcW w:w="1000" w:type="pct"/>
            <w:tcBorders>
              <w:top w:val="nil"/>
              <w:left w:val="single" w:sz="4" w:space="0" w:color="979991"/>
              <w:bottom w:val="single" w:sz="4" w:space="0" w:color="979991"/>
              <w:right w:val="nil"/>
            </w:tcBorders>
            <w:shd w:val="clear" w:color="000000" w:fill="FFFFFF"/>
            <w:vAlign w:val="center"/>
            <w:hideMark/>
          </w:tcPr>
          <w:p w14:paraId="2FDFEE7F"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2,585</w:t>
            </w:r>
          </w:p>
        </w:tc>
        <w:tc>
          <w:tcPr>
            <w:tcW w:w="1000" w:type="pct"/>
            <w:tcBorders>
              <w:top w:val="nil"/>
              <w:left w:val="single" w:sz="4" w:space="0" w:color="979991"/>
              <w:bottom w:val="single" w:sz="4" w:space="0" w:color="979991"/>
              <w:right w:val="nil"/>
            </w:tcBorders>
            <w:shd w:val="clear" w:color="000000" w:fill="FFFFFF"/>
            <w:vAlign w:val="center"/>
            <w:hideMark/>
          </w:tcPr>
          <w:p w14:paraId="3CCD4A6A"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2,568</w:t>
            </w:r>
          </w:p>
        </w:tc>
        <w:tc>
          <w:tcPr>
            <w:tcW w:w="1000" w:type="pct"/>
            <w:tcBorders>
              <w:top w:val="nil"/>
              <w:left w:val="single" w:sz="4" w:space="0" w:color="979991"/>
              <w:bottom w:val="single" w:sz="4" w:space="0" w:color="979991"/>
              <w:right w:val="single" w:sz="4" w:space="0" w:color="979991"/>
            </w:tcBorders>
            <w:shd w:val="clear" w:color="000000" w:fill="FFFFFF"/>
            <w:vAlign w:val="center"/>
            <w:hideMark/>
          </w:tcPr>
          <w:p w14:paraId="2AAC9AE7"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2,500</w:t>
            </w:r>
          </w:p>
        </w:tc>
      </w:tr>
      <w:tr w:rsidR="00B74800" w:rsidRPr="000854F1" w14:paraId="0FA58F3F" w14:textId="77777777" w:rsidTr="00B74800">
        <w:trPr>
          <w:trHeight w:val="290"/>
        </w:trPr>
        <w:tc>
          <w:tcPr>
            <w:tcW w:w="1000" w:type="pct"/>
            <w:tcBorders>
              <w:top w:val="nil"/>
              <w:left w:val="single" w:sz="4" w:space="0" w:color="979991"/>
              <w:bottom w:val="single" w:sz="4" w:space="0" w:color="979991"/>
              <w:right w:val="nil"/>
            </w:tcBorders>
            <w:shd w:val="clear" w:color="000000" w:fill="F0F4FA"/>
            <w:vAlign w:val="center"/>
            <w:hideMark/>
          </w:tcPr>
          <w:p w14:paraId="59048EC8"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085118</w:t>
            </w:r>
          </w:p>
        </w:tc>
        <w:tc>
          <w:tcPr>
            <w:tcW w:w="1000" w:type="pct"/>
            <w:tcBorders>
              <w:top w:val="nil"/>
              <w:left w:val="single" w:sz="4" w:space="0" w:color="979991"/>
              <w:bottom w:val="single" w:sz="4" w:space="0" w:color="979991"/>
              <w:right w:val="nil"/>
            </w:tcBorders>
            <w:shd w:val="clear" w:color="000000" w:fill="FFFFFF"/>
            <w:vAlign w:val="center"/>
            <w:hideMark/>
          </w:tcPr>
          <w:p w14:paraId="1EE67203"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281</w:t>
            </w:r>
          </w:p>
        </w:tc>
        <w:tc>
          <w:tcPr>
            <w:tcW w:w="1000" w:type="pct"/>
            <w:tcBorders>
              <w:top w:val="nil"/>
              <w:left w:val="single" w:sz="4" w:space="0" w:color="979991"/>
              <w:bottom w:val="single" w:sz="4" w:space="0" w:color="979991"/>
              <w:right w:val="nil"/>
            </w:tcBorders>
            <w:shd w:val="clear" w:color="000000" w:fill="FFFFFF"/>
            <w:vAlign w:val="center"/>
            <w:hideMark/>
          </w:tcPr>
          <w:p w14:paraId="09B0B163"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1,385</w:t>
            </w:r>
          </w:p>
        </w:tc>
        <w:tc>
          <w:tcPr>
            <w:tcW w:w="1000" w:type="pct"/>
            <w:tcBorders>
              <w:top w:val="nil"/>
              <w:left w:val="single" w:sz="4" w:space="0" w:color="979991"/>
              <w:bottom w:val="single" w:sz="4" w:space="0" w:color="979991"/>
              <w:right w:val="nil"/>
            </w:tcBorders>
            <w:shd w:val="clear" w:color="000000" w:fill="FFFFFF"/>
            <w:vAlign w:val="center"/>
            <w:hideMark/>
          </w:tcPr>
          <w:p w14:paraId="5A91E3B4"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1,226</w:t>
            </w:r>
          </w:p>
        </w:tc>
        <w:tc>
          <w:tcPr>
            <w:tcW w:w="1000" w:type="pct"/>
            <w:tcBorders>
              <w:top w:val="nil"/>
              <w:left w:val="single" w:sz="4" w:space="0" w:color="979991"/>
              <w:bottom w:val="single" w:sz="4" w:space="0" w:color="979991"/>
              <w:right w:val="single" w:sz="4" w:space="0" w:color="979991"/>
            </w:tcBorders>
            <w:shd w:val="clear" w:color="000000" w:fill="FFFFFF"/>
            <w:vAlign w:val="center"/>
            <w:hideMark/>
          </w:tcPr>
          <w:p w14:paraId="29D947D5"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294</w:t>
            </w:r>
          </w:p>
        </w:tc>
      </w:tr>
      <w:tr w:rsidR="00B74800" w:rsidRPr="000854F1" w14:paraId="737C4598" w14:textId="77777777" w:rsidTr="00B74800">
        <w:trPr>
          <w:trHeight w:val="290"/>
        </w:trPr>
        <w:tc>
          <w:tcPr>
            <w:tcW w:w="1000" w:type="pct"/>
            <w:tcBorders>
              <w:top w:val="nil"/>
              <w:left w:val="single" w:sz="4" w:space="0" w:color="979991"/>
              <w:bottom w:val="single" w:sz="4" w:space="0" w:color="979991"/>
              <w:right w:val="nil"/>
            </w:tcBorders>
            <w:shd w:val="clear" w:color="000000" w:fill="F0F4FA"/>
            <w:vAlign w:val="center"/>
            <w:hideMark/>
          </w:tcPr>
          <w:p w14:paraId="5D7527B2"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085119</w:t>
            </w:r>
          </w:p>
        </w:tc>
        <w:tc>
          <w:tcPr>
            <w:tcW w:w="1000" w:type="pct"/>
            <w:tcBorders>
              <w:top w:val="nil"/>
              <w:left w:val="single" w:sz="4" w:space="0" w:color="979991"/>
              <w:bottom w:val="single" w:sz="4" w:space="0" w:color="979991"/>
              <w:right w:val="nil"/>
            </w:tcBorders>
            <w:shd w:val="clear" w:color="000000" w:fill="FFFFFF"/>
            <w:vAlign w:val="center"/>
            <w:hideMark/>
          </w:tcPr>
          <w:p w14:paraId="7280C043"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944</w:t>
            </w:r>
          </w:p>
        </w:tc>
        <w:tc>
          <w:tcPr>
            <w:tcW w:w="1000" w:type="pct"/>
            <w:tcBorders>
              <w:top w:val="nil"/>
              <w:left w:val="single" w:sz="4" w:space="0" w:color="979991"/>
              <w:bottom w:val="single" w:sz="4" w:space="0" w:color="979991"/>
              <w:right w:val="nil"/>
            </w:tcBorders>
            <w:shd w:val="clear" w:color="000000" w:fill="FFFFFF"/>
            <w:vAlign w:val="center"/>
            <w:hideMark/>
          </w:tcPr>
          <w:p w14:paraId="505CBA0F"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2,315</w:t>
            </w:r>
          </w:p>
        </w:tc>
        <w:tc>
          <w:tcPr>
            <w:tcW w:w="1000" w:type="pct"/>
            <w:tcBorders>
              <w:top w:val="nil"/>
              <w:left w:val="single" w:sz="4" w:space="0" w:color="979991"/>
              <w:bottom w:val="single" w:sz="4" w:space="0" w:color="979991"/>
              <w:right w:val="nil"/>
            </w:tcBorders>
            <w:shd w:val="clear" w:color="000000" w:fill="FFFFFF"/>
            <w:vAlign w:val="center"/>
            <w:hideMark/>
          </w:tcPr>
          <w:p w14:paraId="105AA4B3"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3,654</w:t>
            </w:r>
          </w:p>
        </w:tc>
        <w:tc>
          <w:tcPr>
            <w:tcW w:w="1000" w:type="pct"/>
            <w:tcBorders>
              <w:top w:val="nil"/>
              <w:left w:val="single" w:sz="4" w:space="0" w:color="979991"/>
              <w:bottom w:val="single" w:sz="4" w:space="0" w:color="979991"/>
              <w:right w:val="single" w:sz="4" w:space="0" w:color="979991"/>
            </w:tcBorders>
            <w:shd w:val="clear" w:color="000000" w:fill="FFFFFF"/>
            <w:vAlign w:val="center"/>
            <w:hideMark/>
          </w:tcPr>
          <w:p w14:paraId="006D12F1"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2,119</w:t>
            </w:r>
          </w:p>
        </w:tc>
      </w:tr>
      <w:tr w:rsidR="00B74800" w:rsidRPr="000854F1" w14:paraId="76604CAD" w14:textId="77777777" w:rsidTr="00B74800">
        <w:trPr>
          <w:trHeight w:val="290"/>
        </w:trPr>
        <w:tc>
          <w:tcPr>
            <w:tcW w:w="1000" w:type="pct"/>
            <w:tcBorders>
              <w:top w:val="nil"/>
              <w:left w:val="single" w:sz="4" w:space="0" w:color="979991"/>
              <w:bottom w:val="single" w:sz="4" w:space="0" w:color="979991"/>
              <w:right w:val="nil"/>
            </w:tcBorders>
            <w:shd w:val="clear" w:color="000000" w:fill="F0F4FA"/>
            <w:vAlign w:val="center"/>
            <w:hideMark/>
          </w:tcPr>
          <w:p w14:paraId="0186D235"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085402</w:t>
            </w:r>
          </w:p>
        </w:tc>
        <w:tc>
          <w:tcPr>
            <w:tcW w:w="1000" w:type="pct"/>
            <w:tcBorders>
              <w:top w:val="nil"/>
              <w:left w:val="single" w:sz="4" w:space="0" w:color="979991"/>
              <w:bottom w:val="single" w:sz="4" w:space="0" w:color="979991"/>
              <w:right w:val="nil"/>
            </w:tcBorders>
            <w:shd w:val="clear" w:color="000000" w:fill="FFFFFF"/>
            <w:vAlign w:val="center"/>
            <w:hideMark/>
          </w:tcPr>
          <w:p w14:paraId="2C3AEF2E"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127,561</w:t>
            </w:r>
          </w:p>
        </w:tc>
        <w:tc>
          <w:tcPr>
            <w:tcW w:w="1000" w:type="pct"/>
            <w:tcBorders>
              <w:top w:val="nil"/>
              <w:left w:val="single" w:sz="4" w:space="0" w:color="979991"/>
              <w:bottom w:val="single" w:sz="4" w:space="0" w:color="979991"/>
              <w:right w:val="nil"/>
            </w:tcBorders>
            <w:shd w:val="clear" w:color="000000" w:fill="FFFFFF"/>
            <w:vAlign w:val="center"/>
            <w:hideMark/>
          </w:tcPr>
          <w:p w14:paraId="6BF68CD4"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85,623</w:t>
            </w:r>
          </w:p>
        </w:tc>
        <w:tc>
          <w:tcPr>
            <w:tcW w:w="1000" w:type="pct"/>
            <w:tcBorders>
              <w:top w:val="nil"/>
              <w:left w:val="single" w:sz="4" w:space="0" w:color="979991"/>
              <w:bottom w:val="single" w:sz="4" w:space="0" w:color="979991"/>
              <w:right w:val="nil"/>
            </w:tcBorders>
            <w:shd w:val="clear" w:color="000000" w:fill="FFFFFF"/>
            <w:vAlign w:val="center"/>
            <w:hideMark/>
          </w:tcPr>
          <w:p w14:paraId="6C85938B"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98,270</w:t>
            </w:r>
          </w:p>
        </w:tc>
        <w:tc>
          <w:tcPr>
            <w:tcW w:w="1000" w:type="pct"/>
            <w:tcBorders>
              <w:top w:val="nil"/>
              <w:left w:val="single" w:sz="4" w:space="0" w:color="979991"/>
              <w:bottom w:val="single" w:sz="4" w:space="0" w:color="979991"/>
              <w:right w:val="single" w:sz="4" w:space="0" w:color="979991"/>
            </w:tcBorders>
            <w:shd w:val="clear" w:color="000000" w:fill="FFFFFF"/>
            <w:vAlign w:val="center"/>
            <w:hideMark/>
          </w:tcPr>
          <w:p w14:paraId="5B7A1ABB"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175,052</w:t>
            </w:r>
          </w:p>
        </w:tc>
      </w:tr>
      <w:tr w:rsidR="00B74800" w:rsidRPr="000854F1" w14:paraId="79D55C98" w14:textId="77777777" w:rsidTr="00B74800">
        <w:trPr>
          <w:trHeight w:val="290"/>
        </w:trPr>
        <w:tc>
          <w:tcPr>
            <w:tcW w:w="1000" w:type="pct"/>
            <w:tcBorders>
              <w:top w:val="nil"/>
              <w:left w:val="single" w:sz="4" w:space="0" w:color="979991"/>
              <w:bottom w:val="single" w:sz="4" w:space="0" w:color="979991"/>
              <w:right w:val="nil"/>
            </w:tcBorders>
            <w:shd w:val="clear" w:color="000000" w:fill="F0F4FA"/>
            <w:vAlign w:val="center"/>
            <w:hideMark/>
          </w:tcPr>
          <w:p w14:paraId="676A7365"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085501</w:t>
            </w:r>
          </w:p>
        </w:tc>
        <w:tc>
          <w:tcPr>
            <w:tcW w:w="1000" w:type="pct"/>
            <w:tcBorders>
              <w:top w:val="nil"/>
              <w:left w:val="single" w:sz="4" w:space="0" w:color="979991"/>
              <w:bottom w:val="single" w:sz="4" w:space="0" w:color="979991"/>
              <w:right w:val="nil"/>
            </w:tcBorders>
            <w:shd w:val="clear" w:color="000000" w:fill="FFFFFF"/>
            <w:vAlign w:val="center"/>
            <w:hideMark/>
          </w:tcPr>
          <w:p w14:paraId="79D9CEEB"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25,910</w:t>
            </w:r>
          </w:p>
        </w:tc>
        <w:tc>
          <w:tcPr>
            <w:tcW w:w="1000" w:type="pct"/>
            <w:tcBorders>
              <w:top w:val="nil"/>
              <w:left w:val="single" w:sz="4" w:space="0" w:color="979991"/>
              <w:bottom w:val="single" w:sz="4" w:space="0" w:color="979991"/>
              <w:right w:val="nil"/>
            </w:tcBorders>
            <w:shd w:val="clear" w:color="000000" w:fill="FFFFFF"/>
            <w:vAlign w:val="center"/>
            <w:hideMark/>
          </w:tcPr>
          <w:p w14:paraId="33E3F66C"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34,961</w:t>
            </w:r>
          </w:p>
        </w:tc>
        <w:tc>
          <w:tcPr>
            <w:tcW w:w="1000" w:type="pct"/>
            <w:tcBorders>
              <w:top w:val="nil"/>
              <w:left w:val="single" w:sz="4" w:space="0" w:color="979991"/>
              <w:bottom w:val="single" w:sz="4" w:space="0" w:color="979991"/>
              <w:right w:val="nil"/>
            </w:tcBorders>
            <w:shd w:val="clear" w:color="000000" w:fill="FFFFFF"/>
            <w:vAlign w:val="center"/>
            <w:hideMark/>
          </w:tcPr>
          <w:p w14:paraId="4B715A2F"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59,809</w:t>
            </w:r>
          </w:p>
        </w:tc>
        <w:tc>
          <w:tcPr>
            <w:tcW w:w="1000" w:type="pct"/>
            <w:tcBorders>
              <w:top w:val="nil"/>
              <w:left w:val="single" w:sz="4" w:space="0" w:color="979991"/>
              <w:bottom w:val="single" w:sz="4" w:space="0" w:color="979991"/>
              <w:right w:val="single" w:sz="4" w:space="0" w:color="979991"/>
            </w:tcBorders>
            <w:shd w:val="clear" w:color="000000" w:fill="FFFFFF"/>
            <w:vAlign w:val="center"/>
            <w:hideMark/>
          </w:tcPr>
          <w:p w14:paraId="569DABD1" w14:textId="77777777" w:rsidR="00B74800" w:rsidRPr="000854F1" w:rsidRDefault="00B74800" w:rsidP="000752FB">
            <w:pPr>
              <w:bidi w:val="0"/>
              <w:jc w:val="center"/>
              <w:rPr>
                <w:rFonts w:ascii="Calibri" w:hAnsi="Calibri" w:cs="Calibri"/>
                <w:color w:val="000000"/>
                <w:sz w:val="16"/>
                <w:szCs w:val="16"/>
              </w:rPr>
            </w:pPr>
            <w:r w:rsidRPr="000854F1">
              <w:rPr>
                <w:rFonts w:ascii="Calibri" w:hAnsi="Calibri" w:cs="Calibri"/>
                <w:color w:val="000000"/>
                <w:sz w:val="16"/>
                <w:szCs w:val="16"/>
              </w:rPr>
              <w:t>76,556</w:t>
            </w:r>
          </w:p>
        </w:tc>
      </w:tr>
    </w:tbl>
    <w:p w14:paraId="7F71B0BD" w14:textId="77777777" w:rsidR="00B74800" w:rsidRDefault="00B74800">
      <w:pPr>
        <w:rPr>
          <w:rFonts w:cs="FrankRuehl"/>
          <w:sz w:val="26"/>
          <w:szCs w:val="26"/>
          <w:rtl/>
        </w:rPr>
      </w:pPr>
    </w:p>
    <w:p w14:paraId="3FADA20B" w14:textId="032E605C" w:rsidR="00B74800" w:rsidRDefault="00B74800">
      <w:pPr>
        <w:rPr>
          <w:rFonts w:cs="FrankRuehl"/>
          <w:sz w:val="26"/>
          <w:szCs w:val="26"/>
          <w:rtl/>
        </w:rPr>
      </w:pPr>
    </w:p>
    <w:p w14:paraId="25334D2A" w14:textId="3C241063" w:rsidR="00B74800" w:rsidRDefault="00B74800">
      <w:pPr>
        <w:rPr>
          <w:rFonts w:cs="FrankRuehl"/>
          <w:sz w:val="26"/>
          <w:szCs w:val="26"/>
          <w:rtl/>
        </w:rPr>
      </w:pPr>
    </w:p>
    <w:p w14:paraId="4E95856C" w14:textId="592C69CF" w:rsidR="00B74800" w:rsidRDefault="00B74800">
      <w:pPr>
        <w:rPr>
          <w:rFonts w:cs="FrankRuehl"/>
          <w:sz w:val="26"/>
          <w:szCs w:val="26"/>
          <w:rtl/>
        </w:rPr>
      </w:pPr>
    </w:p>
    <w:p w14:paraId="17E4016B" w14:textId="211729D5" w:rsidR="00B74800" w:rsidRDefault="00B74800">
      <w:pPr>
        <w:rPr>
          <w:rFonts w:cs="FrankRuehl"/>
          <w:sz w:val="26"/>
          <w:szCs w:val="26"/>
          <w:rtl/>
        </w:rPr>
      </w:pPr>
    </w:p>
    <w:p w14:paraId="10ACA08E" w14:textId="499828B3" w:rsidR="00B74800" w:rsidRDefault="00B74800">
      <w:pPr>
        <w:rPr>
          <w:rFonts w:cs="FrankRuehl"/>
          <w:sz w:val="26"/>
          <w:szCs w:val="26"/>
          <w:rtl/>
        </w:rPr>
      </w:pPr>
    </w:p>
    <w:p w14:paraId="6D5E2EF2" w14:textId="513BE489" w:rsidR="00B74800" w:rsidRDefault="00B74800">
      <w:pPr>
        <w:rPr>
          <w:rFonts w:cs="FrankRuehl"/>
          <w:sz w:val="26"/>
          <w:szCs w:val="26"/>
          <w:rtl/>
        </w:rPr>
      </w:pPr>
    </w:p>
    <w:p w14:paraId="01BB47E5" w14:textId="08C1D3CB" w:rsidR="00B74800" w:rsidRDefault="00B74800">
      <w:pPr>
        <w:rPr>
          <w:rFonts w:cs="FrankRuehl"/>
          <w:sz w:val="26"/>
          <w:szCs w:val="26"/>
          <w:rtl/>
        </w:rPr>
      </w:pPr>
    </w:p>
    <w:p w14:paraId="0EE6BDB0" w14:textId="77777777" w:rsidR="00B74800" w:rsidRPr="000A3FA0" w:rsidRDefault="00B74800">
      <w:pPr>
        <w:rPr>
          <w:rFonts w:cs="FrankRuehl"/>
          <w:sz w:val="26"/>
          <w:szCs w:val="26"/>
          <w:rtl/>
        </w:rPr>
      </w:pPr>
    </w:p>
    <w:sectPr w:rsidR="00B74800" w:rsidRPr="000A3FA0" w:rsidSect="00A32326">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89FFD" w14:textId="77777777" w:rsidR="002E6A7F" w:rsidRDefault="002E6A7F" w:rsidP="00A32326">
      <w:r>
        <w:separator/>
      </w:r>
    </w:p>
  </w:endnote>
  <w:endnote w:type="continuationSeparator" w:id="0">
    <w:p w14:paraId="5C26E5ED" w14:textId="77777777" w:rsidR="002E6A7F" w:rsidRDefault="002E6A7F" w:rsidP="00A32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C0CB3" w14:textId="77777777" w:rsidR="0096594F" w:rsidRDefault="0096594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898E0" w14:textId="77777777" w:rsidR="0096594F" w:rsidRDefault="0096594F">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9DB7E" w14:textId="77777777" w:rsidR="0096594F" w:rsidRDefault="0096594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8A7EF" w14:textId="77777777" w:rsidR="002E6A7F" w:rsidRDefault="002E6A7F" w:rsidP="00A32326">
      <w:r>
        <w:separator/>
      </w:r>
    </w:p>
  </w:footnote>
  <w:footnote w:type="continuationSeparator" w:id="0">
    <w:p w14:paraId="09DDCD23" w14:textId="77777777" w:rsidR="002E6A7F" w:rsidRDefault="002E6A7F" w:rsidP="00A32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81A01" w14:textId="77777777" w:rsidR="0096594F" w:rsidRDefault="0096594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3310A" w14:textId="77777777" w:rsidR="00A32326" w:rsidRPr="00CB5FFD" w:rsidRDefault="002E6A7F" w:rsidP="00A32326">
    <w:pPr>
      <w:pStyle w:val="a4"/>
      <w:jc w:val="right"/>
      <w:rPr>
        <w:color w:val="4F81BD"/>
        <w:rtl/>
        <w:cs/>
      </w:rPr>
    </w:pPr>
    <w:r>
      <w:rPr>
        <w:noProof/>
        <w:rtl/>
      </w:rPr>
      <w:pict w14:anchorId="391C8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margin-left:-90pt;margin-top:-88.05pt;width:594.75pt;height:87.3pt;z-index:1;mso-position-horizontal-relative:margin;mso-position-vertical-relative:margin">
          <v:imagedata r:id="rId1" o:title="Header"/>
          <w10:wrap type="square" anchorx="margin" anchory="margin"/>
        </v:shape>
      </w:pict>
    </w:r>
  </w:p>
  <w:p w14:paraId="6E2D1A8E" w14:textId="77777777" w:rsidR="00A32326" w:rsidRPr="00CB5FFD" w:rsidRDefault="00A32326" w:rsidP="00A32326">
    <w:pPr>
      <w:pStyle w:val="a4"/>
      <w:jc w:val="right"/>
      <w:rPr>
        <w:color w:val="4F81BD"/>
        <w:rtl/>
        <w:cs/>
      </w:rPr>
    </w:pPr>
  </w:p>
  <w:p w14:paraId="5360B631" w14:textId="77777777" w:rsidR="00A32326" w:rsidRDefault="00A32326" w:rsidP="00A32326">
    <w:pPr>
      <w:pStyle w:val="a4"/>
    </w:pPr>
  </w:p>
  <w:p w14:paraId="403A5256" w14:textId="77777777" w:rsidR="00A32326" w:rsidRDefault="00A323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BF4B2" w14:textId="77777777" w:rsidR="0096594F" w:rsidRDefault="0096594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496B"/>
    <w:rsid w:val="000062C3"/>
    <w:rsid w:val="000A3FA0"/>
    <w:rsid w:val="002E6A7F"/>
    <w:rsid w:val="0033491A"/>
    <w:rsid w:val="00411078"/>
    <w:rsid w:val="00472E07"/>
    <w:rsid w:val="00507569"/>
    <w:rsid w:val="0051496B"/>
    <w:rsid w:val="00596B46"/>
    <w:rsid w:val="006F087D"/>
    <w:rsid w:val="007332A2"/>
    <w:rsid w:val="0096594F"/>
    <w:rsid w:val="009E3253"/>
    <w:rsid w:val="00A14A9C"/>
    <w:rsid w:val="00A32326"/>
    <w:rsid w:val="00A51CFB"/>
    <w:rsid w:val="00A6761F"/>
    <w:rsid w:val="00AC0FB8"/>
    <w:rsid w:val="00B74800"/>
    <w:rsid w:val="00BE74E8"/>
    <w:rsid w:val="00C81BEB"/>
    <w:rsid w:val="00D00A6A"/>
    <w:rsid w:val="00D02451"/>
    <w:rsid w:val="00D1564D"/>
    <w:rsid w:val="00D15DD5"/>
    <w:rsid w:val="00E15D12"/>
    <w:rsid w:val="00F7434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5A553E6B"/>
  <w15:chartTrackingRefBased/>
  <w15:docId w15:val="{48F446EA-7D42-4FD9-9957-F309C84E1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A32326"/>
    <w:pPr>
      <w:tabs>
        <w:tab w:val="center" w:pos="4153"/>
        <w:tab w:val="right" w:pos="8306"/>
      </w:tabs>
    </w:pPr>
  </w:style>
  <w:style w:type="paragraph" w:customStyle="1" w:styleId="a6">
    <w:name w:val="כותרת נדון"/>
    <w:basedOn w:val="a"/>
    <w:rPr>
      <w:bCs/>
      <w:szCs w:val="26"/>
      <w:u w:val="single"/>
    </w:rPr>
  </w:style>
  <w:style w:type="paragraph" w:customStyle="1" w:styleId="a7">
    <w:name w:val="מדינת ישראל"/>
    <w:basedOn w:val="a"/>
    <w:pPr>
      <w:jc w:val="center"/>
    </w:pPr>
    <w:rPr>
      <w:b/>
      <w:bCs/>
      <w:szCs w:val="28"/>
    </w:rPr>
  </w:style>
  <w:style w:type="character" w:customStyle="1" w:styleId="a5">
    <w:name w:val="כותרת עליונה תו"/>
    <w:link w:val="a4"/>
    <w:uiPriority w:val="99"/>
    <w:rsid w:val="00A32326"/>
    <w:rPr>
      <w:rFonts w:cs="Narkisim"/>
      <w:szCs w:val="24"/>
      <w:lang w:eastAsia="he-IL"/>
    </w:rPr>
  </w:style>
  <w:style w:type="paragraph" w:styleId="a8">
    <w:name w:val="footer"/>
    <w:basedOn w:val="a"/>
    <w:link w:val="a9"/>
    <w:uiPriority w:val="99"/>
    <w:unhideWhenUsed/>
    <w:rsid w:val="00A32326"/>
    <w:pPr>
      <w:tabs>
        <w:tab w:val="center" w:pos="4153"/>
        <w:tab w:val="right" w:pos="8306"/>
      </w:tabs>
    </w:pPr>
  </w:style>
  <w:style w:type="character" w:customStyle="1" w:styleId="a9">
    <w:name w:val="כותרת תחתונה תו"/>
    <w:link w:val="a8"/>
    <w:uiPriority w:val="99"/>
    <w:rsid w:val="00A32326"/>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284826">
      <w:bodyDiv w:val="1"/>
      <w:marLeft w:val="0"/>
      <w:marRight w:val="0"/>
      <w:marTop w:val="0"/>
      <w:marBottom w:val="0"/>
      <w:divBdr>
        <w:top w:val="none" w:sz="0" w:space="0" w:color="auto"/>
        <w:left w:val="none" w:sz="0" w:space="0" w:color="auto"/>
        <w:bottom w:val="none" w:sz="0" w:space="0" w:color="auto"/>
        <w:right w:val="none" w:sz="0" w:space="0" w:color="auto"/>
      </w:divBdr>
    </w:div>
    <w:div w:id="90033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1556</Words>
  <Characters>7781</Characters>
  <Application>Microsoft Office Word</Application>
  <DocSecurity>0</DocSecurity>
  <Lines>64</Lines>
  <Paragraphs>18</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שמרית יצחקי</cp:lastModifiedBy>
  <cp:revision>5</cp:revision>
  <cp:lastPrinted>1899-12-31T22:00:00Z</cp:lastPrinted>
  <dcterms:created xsi:type="dcterms:W3CDTF">2026-04-28T10:56:00Z</dcterms:created>
  <dcterms:modified xsi:type="dcterms:W3CDTF">2026-04-30T04:03:00Z</dcterms:modified>
</cp:coreProperties>
</file>