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6DBAD3" w14:textId="77777777" w:rsidR="0051496B" w:rsidRDefault="0051496B">
      <w:pPr>
        <w:pStyle w:val="a7"/>
        <w:rPr>
          <w:rtl/>
        </w:rPr>
      </w:pPr>
      <w:r>
        <w:rPr>
          <w:rtl/>
        </w:rPr>
        <w:t>מדינת ישראל</w:t>
      </w:r>
    </w:p>
    <w:p w14:paraId="28A50FD0" w14:textId="77777777" w:rsidR="0051496B" w:rsidRDefault="0051496B">
      <w:pPr>
        <w:pStyle w:val="a7"/>
        <w:rPr>
          <w:rtl/>
        </w:rPr>
      </w:pPr>
      <w:r>
        <w:rPr>
          <w:rtl/>
        </w:rPr>
        <w:t>האוצר - אגף התקציבים</w:t>
      </w:r>
    </w:p>
    <w:p w14:paraId="5F5C6C43" w14:textId="77777777" w:rsidR="0051496B" w:rsidRDefault="0051496B">
      <w:pPr>
        <w:rPr>
          <w:rtl/>
        </w:rPr>
      </w:pPr>
    </w:p>
    <w:p w14:paraId="77B22E0A" w14:textId="77777777" w:rsidR="0051496B" w:rsidRDefault="0051496B">
      <w:pPr>
        <w:rPr>
          <w:rtl/>
        </w:rPr>
      </w:pPr>
    </w:p>
    <w:p w14:paraId="099D1E76" w14:textId="77777777" w:rsidR="0051496B" w:rsidRPr="000A3FA0" w:rsidRDefault="0051496B">
      <w:pPr>
        <w:tabs>
          <w:tab w:val="left" w:pos="6300"/>
        </w:tabs>
        <w:rPr>
          <w:rFonts w:cs="FrankRuehl"/>
          <w:sz w:val="26"/>
          <w:szCs w:val="26"/>
          <w:rtl/>
        </w:rPr>
      </w:pPr>
      <w:r>
        <w:rPr>
          <w:rtl/>
        </w:rPr>
        <w:tab/>
      </w:r>
      <w:bookmarkStart w:id="0" w:name="TAKZIV8"/>
      <w:bookmarkEnd w:id="0"/>
    </w:p>
    <w:p w14:paraId="6BA64CD6" w14:textId="77777777" w:rsidR="0051496B" w:rsidRPr="000A3FA0" w:rsidRDefault="0051496B">
      <w:pPr>
        <w:tabs>
          <w:tab w:val="left" w:pos="6300"/>
        </w:tabs>
        <w:rPr>
          <w:rFonts w:cs="FrankRuehl"/>
          <w:sz w:val="26"/>
          <w:szCs w:val="26"/>
          <w:rtl/>
        </w:rPr>
      </w:pPr>
      <w:r w:rsidRPr="000A3FA0">
        <w:rPr>
          <w:rFonts w:cs="FrankRuehl"/>
          <w:sz w:val="26"/>
          <w:szCs w:val="26"/>
          <w:rtl/>
        </w:rPr>
        <w:tab/>
      </w:r>
      <w:r w:rsidRPr="000A3FA0">
        <w:rPr>
          <w:rFonts w:cs="FrankRuehl"/>
          <w:sz w:val="26"/>
          <w:szCs w:val="26"/>
          <w:rtl/>
        </w:rPr>
        <w:tab/>
      </w:r>
    </w:p>
    <w:p w14:paraId="65DEA1E1" w14:textId="77777777" w:rsidR="0051496B" w:rsidRPr="000A3FA0" w:rsidRDefault="0051496B" w:rsidP="007332A2">
      <w:pPr>
        <w:rPr>
          <w:rFonts w:cs="FrankRuehl"/>
          <w:sz w:val="26"/>
          <w:szCs w:val="26"/>
          <w:rtl/>
        </w:rPr>
      </w:pPr>
      <w:r w:rsidRPr="000A3FA0">
        <w:rPr>
          <w:rFonts w:cs="FrankRuehl"/>
          <w:sz w:val="26"/>
          <w:szCs w:val="26"/>
          <w:rtl/>
        </w:rPr>
        <w:tab/>
      </w:r>
      <w:r w:rsidR="007332A2" w:rsidRPr="000A3FA0">
        <w:rPr>
          <w:rFonts w:cs="FrankRuehl"/>
          <w:sz w:val="26"/>
          <w:szCs w:val="26"/>
          <w:rtl/>
        </w:rPr>
        <w:tab/>
      </w:r>
      <w:r w:rsidR="007332A2" w:rsidRPr="000A3FA0">
        <w:rPr>
          <w:rFonts w:cs="FrankRuehl"/>
          <w:sz w:val="26"/>
          <w:szCs w:val="26"/>
          <w:rtl/>
        </w:rPr>
        <w:tab/>
      </w:r>
      <w:r w:rsidR="007332A2" w:rsidRPr="000A3FA0">
        <w:rPr>
          <w:rFonts w:cs="FrankRuehl"/>
          <w:sz w:val="26"/>
          <w:szCs w:val="26"/>
          <w:rtl/>
        </w:rPr>
        <w:tab/>
      </w:r>
      <w:r w:rsidR="007332A2" w:rsidRPr="000A3FA0">
        <w:rPr>
          <w:rFonts w:cs="FrankRuehl"/>
          <w:sz w:val="26"/>
          <w:szCs w:val="26"/>
          <w:rtl/>
        </w:rPr>
        <w:tab/>
      </w:r>
      <w:r w:rsidR="007332A2" w:rsidRPr="000A3FA0">
        <w:rPr>
          <w:rFonts w:cs="FrankRuehl"/>
          <w:sz w:val="26"/>
          <w:szCs w:val="26"/>
          <w:rtl/>
        </w:rPr>
        <w:tab/>
      </w:r>
      <w:r w:rsidR="007332A2" w:rsidRPr="000A3FA0">
        <w:rPr>
          <w:rFonts w:cs="FrankRuehl"/>
          <w:sz w:val="26"/>
          <w:szCs w:val="26"/>
          <w:rtl/>
        </w:rPr>
        <w:tab/>
      </w:r>
      <w:r w:rsidR="007332A2" w:rsidRPr="000A3FA0">
        <w:rPr>
          <w:rFonts w:cs="FrankRuehl"/>
          <w:sz w:val="26"/>
          <w:szCs w:val="26"/>
          <w:rtl/>
        </w:rPr>
        <w:tab/>
      </w:r>
      <w:r w:rsidR="007332A2" w:rsidRPr="000A3FA0">
        <w:rPr>
          <w:rFonts w:cs="FrankRuehl"/>
          <w:sz w:val="26"/>
          <w:szCs w:val="26"/>
          <w:rtl/>
        </w:rPr>
        <w:tab/>
      </w:r>
      <w:r w:rsidRPr="000A3FA0">
        <w:rPr>
          <w:rFonts w:cs="FrankRuehl"/>
          <w:sz w:val="26"/>
          <w:szCs w:val="26"/>
          <w:rtl/>
        </w:rPr>
        <w:t xml:space="preserve">ירושלים, </w:t>
      </w:r>
      <w:bookmarkStart w:id="1" w:name="TAKZIV9"/>
      <w:bookmarkEnd w:id="1"/>
    </w:p>
    <w:p w14:paraId="28F5238F" w14:textId="1979BE92" w:rsidR="0051496B" w:rsidRPr="000A3FA0" w:rsidRDefault="0051496B" w:rsidP="007332A2">
      <w:pPr>
        <w:tabs>
          <w:tab w:val="left" w:pos="6039"/>
        </w:tabs>
        <w:rPr>
          <w:rFonts w:cs="FrankRuehl"/>
          <w:sz w:val="26"/>
          <w:szCs w:val="26"/>
          <w:rtl/>
        </w:rPr>
      </w:pPr>
      <w:r w:rsidRPr="000A3FA0">
        <w:rPr>
          <w:rFonts w:cs="FrankRuehl"/>
          <w:sz w:val="26"/>
          <w:szCs w:val="26"/>
          <w:rtl/>
        </w:rPr>
        <w:tab/>
        <w:t xml:space="preserve">בקשה מספר </w:t>
      </w:r>
      <w:bookmarkStart w:id="2" w:name="TAKZIV4"/>
      <w:r w:rsidR="005B39B4">
        <w:rPr>
          <w:rFonts w:cs="FrankRuehl"/>
          <w:sz w:val="26"/>
          <w:szCs w:val="26"/>
          <w:rtl/>
        </w:rPr>
        <w:t>001</w:t>
      </w:r>
      <w:bookmarkEnd w:id="2"/>
      <w:r w:rsidRPr="000A3FA0">
        <w:rPr>
          <w:rFonts w:cs="FrankRuehl"/>
          <w:sz w:val="26"/>
          <w:szCs w:val="26"/>
          <w:rtl/>
        </w:rPr>
        <w:t xml:space="preserve"> - </w:t>
      </w:r>
      <w:bookmarkStart w:id="3" w:name="TAKZIV3"/>
      <w:r w:rsidR="005B39B4">
        <w:rPr>
          <w:rFonts w:cs="FrankRuehl"/>
          <w:sz w:val="26"/>
          <w:szCs w:val="26"/>
          <w:rtl/>
        </w:rPr>
        <w:t>07</w:t>
      </w:r>
      <w:bookmarkEnd w:id="3"/>
    </w:p>
    <w:p w14:paraId="5F61F13A" w14:textId="77777777" w:rsidR="0051496B" w:rsidRPr="000A3FA0" w:rsidRDefault="0051496B">
      <w:pPr>
        <w:tabs>
          <w:tab w:val="left" w:pos="6300"/>
        </w:tabs>
        <w:rPr>
          <w:rFonts w:cs="FrankRuehl"/>
          <w:sz w:val="26"/>
          <w:szCs w:val="26"/>
          <w:rtl/>
        </w:rPr>
      </w:pPr>
      <w:r w:rsidRPr="000A3FA0">
        <w:rPr>
          <w:rFonts w:cs="FrankRuehl"/>
          <w:sz w:val="26"/>
          <w:szCs w:val="26"/>
          <w:rtl/>
        </w:rPr>
        <w:tab/>
      </w:r>
    </w:p>
    <w:p w14:paraId="4B701476" w14:textId="77777777" w:rsidR="0051496B" w:rsidRPr="000A3FA0" w:rsidRDefault="0051496B">
      <w:pPr>
        <w:tabs>
          <w:tab w:val="left" w:pos="6300"/>
        </w:tabs>
        <w:rPr>
          <w:rFonts w:cs="FrankRuehl"/>
          <w:sz w:val="26"/>
          <w:szCs w:val="26"/>
          <w:rtl/>
        </w:rPr>
      </w:pPr>
      <w:r w:rsidRPr="000A3FA0">
        <w:rPr>
          <w:rFonts w:cs="FrankRuehl"/>
          <w:sz w:val="26"/>
          <w:szCs w:val="26"/>
          <w:rtl/>
        </w:rPr>
        <w:tab/>
      </w:r>
    </w:p>
    <w:p w14:paraId="25CDDD44" w14:textId="77777777" w:rsidR="0051496B" w:rsidRPr="000A3FA0" w:rsidRDefault="0051496B">
      <w:pPr>
        <w:rPr>
          <w:rFonts w:cs="FrankRuehl"/>
          <w:sz w:val="26"/>
          <w:szCs w:val="26"/>
          <w:rtl/>
        </w:rPr>
      </w:pPr>
      <w:r w:rsidRPr="000A3FA0">
        <w:rPr>
          <w:rFonts w:cs="FrankRuehl"/>
          <w:sz w:val="26"/>
          <w:szCs w:val="26"/>
          <w:rtl/>
        </w:rPr>
        <w:t>לכבוד,</w:t>
      </w:r>
    </w:p>
    <w:p w14:paraId="65AE50D8" w14:textId="77777777" w:rsidR="0051496B" w:rsidRPr="000A3FA0" w:rsidRDefault="0051496B">
      <w:pPr>
        <w:rPr>
          <w:rFonts w:cs="FrankRuehl"/>
          <w:sz w:val="26"/>
          <w:szCs w:val="26"/>
          <w:rtl/>
        </w:rPr>
      </w:pPr>
      <w:r w:rsidRPr="000A3FA0">
        <w:rPr>
          <w:rFonts w:cs="FrankRuehl"/>
          <w:sz w:val="26"/>
          <w:szCs w:val="26"/>
          <w:rtl/>
        </w:rPr>
        <w:t>יו"ר ועדת הכספים</w:t>
      </w:r>
    </w:p>
    <w:p w14:paraId="6B6051D2" w14:textId="77777777" w:rsidR="0051496B" w:rsidRPr="000A3FA0" w:rsidRDefault="0051496B">
      <w:pPr>
        <w:rPr>
          <w:rFonts w:cs="FrankRuehl"/>
          <w:sz w:val="26"/>
          <w:szCs w:val="26"/>
          <w:rtl/>
        </w:rPr>
      </w:pPr>
      <w:r w:rsidRPr="000A3FA0">
        <w:rPr>
          <w:rFonts w:cs="FrankRuehl"/>
          <w:sz w:val="26"/>
          <w:szCs w:val="26"/>
          <w:rtl/>
        </w:rPr>
        <w:t>הכנסת</w:t>
      </w:r>
    </w:p>
    <w:p w14:paraId="692FDFF2" w14:textId="77777777" w:rsidR="0051496B" w:rsidRPr="000A3FA0" w:rsidRDefault="0051496B">
      <w:pPr>
        <w:rPr>
          <w:rFonts w:cs="FrankRuehl"/>
          <w:sz w:val="26"/>
          <w:szCs w:val="26"/>
          <w:rtl/>
        </w:rPr>
      </w:pPr>
    </w:p>
    <w:p w14:paraId="6CAF2E17" w14:textId="77777777" w:rsidR="0051496B" w:rsidRPr="000A3FA0" w:rsidRDefault="0051496B">
      <w:pPr>
        <w:rPr>
          <w:rFonts w:cs="FrankRuehl"/>
          <w:sz w:val="26"/>
          <w:szCs w:val="26"/>
          <w:rtl/>
        </w:rPr>
      </w:pPr>
      <w:r w:rsidRPr="000A3FA0">
        <w:rPr>
          <w:rFonts w:cs="FrankRuehl"/>
          <w:sz w:val="26"/>
          <w:szCs w:val="26"/>
          <w:rtl/>
        </w:rPr>
        <w:t>א.נ.,</w:t>
      </w:r>
    </w:p>
    <w:p w14:paraId="178806C5" w14:textId="77777777" w:rsidR="0051496B" w:rsidRPr="000A3FA0" w:rsidRDefault="0051496B">
      <w:pPr>
        <w:rPr>
          <w:rFonts w:cs="FrankRuehl"/>
          <w:sz w:val="26"/>
          <w:szCs w:val="26"/>
          <w:rtl/>
        </w:rPr>
      </w:pPr>
    </w:p>
    <w:p w14:paraId="587861F2" w14:textId="4E4F45D8" w:rsidR="0051496B" w:rsidRPr="000A3FA0" w:rsidRDefault="0051496B">
      <w:pPr>
        <w:pStyle w:val="a6"/>
        <w:rPr>
          <w:rFonts w:cs="FrankRuehl"/>
          <w:sz w:val="26"/>
          <w:rtl/>
        </w:rPr>
      </w:pPr>
      <w:r w:rsidRPr="000A3FA0">
        <w:rPr>
          <w:rFonts w:cs="FrankRuehl"/>
          <w:bCs w:val="0"/>
          <w:sz w:val="26"/>
          <w:u w:val="none"/>
          <w:rtl/>
        </w:rPr>
        <w:t xml:space="preserve">הנדון: </w:t>
      </w:r>
      <w:r w:rsidRPr="000A3FA0">
        <w:rPr>
          <w:rFonts w:cs="FrankRuehl"/>
          <w:bCs w:val="0"/>
          <w:sz w:val="26"/>
          <w:rtl/>
        </w:rPr>
        <w:t>שימוש בעודפי תקציב לשנת</w:t>
      </w:r>
      <w:r w:rsidRPr="000A3FA0">
        <w:rPr>
          <w:rFonts w:cs="FrankRuehl"/>
          <w:sz w:val="26"/>
          <w:rtl/>
        </w:rPr>
        <w:t xml:space="preserve"> </w:t>
      </w:r>
      <w:bookmarkStart w:id="4" w:name="TAKZIV1_2"/>
      <w:bookmarkStart w:id="5" w:name="TAKZIV1_1"/>
      <w:bookmarkEnd w:id="4"/>
      <w:r w:rsidR="005B39B4">
        <w:rPr>
          <w:rFonts w:cs="FrankRuehl"/>
          <w:sz w:val="26"/>
          <w:rtl/>
        </w:rPr>
        <w:t>2026</w:t>
      </w:r>
      <w:bookmarkEnd w:id="5"/>
      <w:r w:rsidRPr="000A3FA0">
        <w:rPr>
          <w:rFonts w:cs="FrankRuehl"/>
          <w:sz w:val="26"/>
          <w:rtl/>
        </w:rPr>
        <w:t xml:space="preserve">     </w:t>
      </w:r>
    </w:p>
    <w:p w14:paraId="1D526B77" w14:textId="77777777" w:rsidR="0051496B" w:rsidRPr="000A3FA0" w:rsidRDefault="0051496B" w:rsidP="00A6761F">
      <w:pPr>
        <w:jc w:val="both"/>
        <w:rPr>
          <w:rFonts w:cs="FrankRuehl"/>
          <w:sz w:val="26"/>
          <w:szCs w:val="26"/>
          <w:rtl/>
        </w:rPr>
      </w:pPr>
    </w:p>
    <w:p w14:paraId="32D38907" w14:textId="06F40F41" w:rsidR="0051496B" w:rsidRDefault="0051496B" w:rsidP="00722DAA">
      <w:pPr>
        <w:jc w:val="both"/>
        <w:rPr>
          <w:rFonts w:cs="FrankRuehl"/>
          <w:sz w:val="26"/>
          <w:szCs w:val="26"/>
          <w:rtl/>
        </w:rPr>
      </w:pPr>
      <w:r w:rsidRPr="000A3FA0">
        <w:rPr>
          <w:rFonts w:cs="FrankRuehl"/>
          <w:sz w:val="26"/>
          <w:szCs w:val="26"/>
          <w:rtl/>
        </w:rPr>
        <w:t>שר האוצר מתכבד להודיע לו</w:t>
      </w:r>
      <w:r w:rsidR="00A14A9C" w:rsidRPr="000A3FA0">
        <w:rPr>
          <w:rFonts w:cs="FrankRuehl" w:hint="cs"/>
          <w:sz w:val="26"/>
          <w:szCs w:val="26"/>
          <w:rtl/>
        </w:rPr>
        <w:t>ו</w:t>
      </w:r>
      <w:r w:rsidRPr="000A3FA0">
        <w:rPr>
          <w:rFonts w:cs="FrankRuehl"/>
          <w:sz w:val="26"/>
          <w:szCs w:val="26"/>
          <w:rtl/>
        </w:rPr>
        <w:t xml:space="preserve">עדת הכספים של הכנסת על העברת סכום של </w:t>
      </w:r>
      <w:bookmarkStart w:id="6" w:name="TAKZIV30"/>
      <w:r w:rsidR="005B39B4">
        <w:rPr>
          <w:rFonts w:cs="FrankRuehl"/>
          <w:sz w:val="26"/>
          <w:szCs w:val="26"/>
          <w:rtl/>
        </w:rPr>
        <w:t>1,032,453</w:t>
      </w:r>
      <w:bookmarkEnd w:id="6"/>
      <w:r w:rsidRPr="000A3FA0">
        <w:rPr>
          <w:rFonts w:cs="FrankRuehl"/>
          <w:sz w:val="26"/>
          <w:szCs w:val="26"/>
          <w:rtl/>
        </w:rPr>
        <w:t xml:space="preserve"> אלפי שקלים חדשים מסעיף </w:t>
      </w:r>
      <w:bookmarkStart w:id="7" w:name="TAKZIV3_1"/>
      <w:r w:rsidR="005B39B4">
        <w:rPr>
          <w:rFonts w:cs="FrankRuehl"/>
          <w:sz w:val="26"/>
          <w:szCs w:val="26"/>
          <w:rtl/>
        </w:rPr>
        <w:t>07</w:t>
      </w:r>
      <w:bookmarkEnd w:id="7"/>
      <w:r w:rsidRPr="000A3FA0">
        <w:rPr>
          <w:rFonts w:cs="FrankRuehl"/>
          <w:sz w:val="26"/>
          <w:szCs w:val="26"/>
          <w:rtl/>
        </w:rPr>
        <w:t xml:space="preserve"> - </w:t>
      </w:r>
      <w:bookmarkStart w:id="8" w:name="TAKZIV6_2"/>
      <w:r w:rsidR="005B39B4">
        <w:rPr>
          <w:rFonts w:cs="FrankRuehl"/>
          <w:sz w:val="26"/>
          <w:szCs w:val="26"/>
          <w:rtl/>
        </w:rPr>
        <w:t>המשרד לביטחון לאומי</w:t>
      </w:r>
      <w:bookmarkEnd w:id="8"/>
      <w:r w:rsidRPr="000A3FA0">
        <w:rPr>
          <w:rFonts w:cs="FrankRuehl"/>
          <w:sz w:val="26"/>
          <w:szCs w:val="26"/>
          <w:rtl/>
        </w:rPr>
        <w:t xml:space="preserve"> משנת הכספים </w:t>
      </w:r>
      <w:bookmarkStart w:id="9" w:name="TAKZIV2_1"/>
      <w:r w:rsidR="005B39B4">
        <w:rPr>
          <w:rFonts w:cs="FrankRuehl"/>
          <w:sz w:val="26"/>
          <w:szCs w:val="26"/>
          <w:rtl/>
        </w:rPr>
        <w:t>2025</w:t>
      </w:r>
      <w:bookmarkEnd w:id="9"/>
      <w:r w:rsidRPr="000A3FA0">
        <w:rPr>
          <w:rFonts w:cs="FrankRuehl"/>
          <w:sz w:val="26"/>
          <w:szCs w:val="26"/>
          <w:rtl/>
        </w:rPr>
        <w:t xml:space="preserve">, כעודף לשימוש בשנת הכספים </w:t>
      </w:r>
      <w:bookmarkStart w:id="10" w:name="TAKZIV1"/>
      <w:r w:rsidR="005B39B4">
        <w:rPr>
          <w:rFonts w:cs="FrankRuehl"/>
          <w:sz w:val="26"/>
          <w:szCs w:val="26"/>
          <w:rtl/>
        </w:rPr>
        <w:t>2026</w:t>
      </w:r>
      <w:bookmarkEnd w:id="10"/>
      <w:r w:rsidRPr="000A3FA0">
        <w:rPr>
          <w:rFonts w:cs="FrankRuehl"/>
          <w:sz w:val="26"/>
          <w:szCs w:val="26"/>
          <w:rtl/>
        </w:rPr>
        <w:t xml:space="preserve">, בהתאם לסעיף 13 (א) לחוק יסודות התקציב </w:t>
      </w:r>
      <w:proofErr w:type="spellStart"/>
      <w:r w:rsidRPr="000A3FA0">
        <w:rPr>
          <w:rFonts w:cs="FrankRuehl"/>
          <w:sz w:val="26"/>
          <w:szCs w:val="26"/>
          <w:rtl/>
        </w:rPr>
        <w:t>התשמ"ה</w:t>
      </w:r>
      <w:proofErr w:type="spellEnd"/>
      <w:r w:rsidRPr="000A3FA0">
        <w:rPr>
          <w:rFonts w:cs="FrankRuehl"/>
          <w:sz w:val="26"/>
          <w:szCs w:val="26"/>
          <w:rtl/>
        </w:rPr>
        <w:t xml:space="preserve"> - 1985,</w:t>
      </w:r>
      <w:r w:rsidR="00722DAA">
        <w:rPr>
          <w:rFonts w:cs="FrankRuehl" w:hint="cs"/>
          <w:sz w:val="26"/>
          <w:szCs w:val="26"/>
          <w:rtl/>
        </w:rPr>
        <w:t xml:space="preserve"> </w:t>
      </w:r>
      <w:r w:rsidRPr="000A3FA0">
        <w:rPr>
          <w:rFonts w:cs="FrankRuehl"/>
          <w:sz w:val="26"/>
          <w:szCs w:val="26"/>
          <w:rtl/>
        </w:rPr>
        <w:t>כמפורט בתדפיס המצורף בזה.</w:t>
      </w:r>
    </w:p>
    <w:p w14:paraId="77A7FCFD" w14:textId="3FC36756" w:rsidR="00722DAA" w:rsidRDefault="00722DAA" w:rsidP="00722DAA">
      <w:pPr>
        <w:jc w:val="both"/>
        <w:rPr>
          <w:rFonts w:cs="FrankRuehl"/>
          <w:sz w:val="26"/>
          <w:szCs w:val="26"/>
          <w:rtl/>
        </w:rPr>
      </w:pPr>
    </w:p>
    <w:p w14:paraId="7019618D" w14:textId="5827F856" w:rsidR="00085F57" w:rsidRDefault="00085F57" w:rsidP="00085F57">
      <w:pPr>
        <w:jc w:val="both"/>
        <w:rPr>
          <w:rFonts w:cs="FrankRuehl"/>
          <w:sz w:val="26"/>
          <w:szCs w:val="26"/>
        </w:rPr>
      </w:pPr>
      <w:r>
        <w:rPr>
          <w:rFonts w:cs="FrankRuehl"/>
          <w:b/>
          <w:bCs/>
          <w:sz w:val="26"/>
          <w:szCs w:val="26"/>
          <w:rtl/>
        </w:rPr>
        <w:t>הבקשה דנה בסעיף תקציבי:</w:t>
      </w:r>
      <w:r>
        <w:rPr>
          <w:rFonts w:cs="FrankRuehl"/>
          <w:sz w:val="26"/>
          <w:szCs w:val="26"/>
          <w:rtl/>
        </w:rPr>
        <w:t xml:space="preserve"> </w:t>
      </w:r>
      <w:r>
        <w:rPr>
          <w:rFonts w:cs="FrankRuehl" w:hint="cs"/>
          <w:sz w:val="26"/>
          <w:szCs w:val="26"/>
          <w:rtl/>
        </w:rPr>
        <w:t>07</w:t>
      </w:r>
      <w:r>
        <w:rPr>
          <w:rFonts w:cs="FrankRuehl"/>
          <w:sz w:val="26"/>
          <w:szCs w:val="26"/>
          <w:rtl/>
        </w:rPr>
        <w:t xml:space="preserve"> - המשרד לביטחון לאומי</w:t>
      </w:r>
    </w:p>
    <w:p w14:paraId="18C0451A" w14:textId="77777777" w:rsidR="00085F57" w:rsidRDefault="00085F57" w:rsidP="00085F57">
      <w:pPr>
        <w:jc w:val="both"/>
        <w:rPr>
          <w:rFonts w:cs="FrankRuehl"/>
          <w:sz w:val="26"/>
          <w:szCs w:val="26"/>
          <w:rtl/>
        </w:rPr>
      </w:pPr>
    </w:p>
    <w:p w14:paraId="2327B90F" w14:textId="77777777" w:rsidR="00085F57" w:rsidRDefault="00085F57" w:rsidP="00085F57">
      <w:pPr>
        <w:jc w:val="both"/>
        <w:rPr>
          <w:rFonts w:cs="FrankRuehl"/>
          <w:b/>
          <w:bCs/>
          <w:sz w:val="26"/>
          <w:szCs w:val="26"/>
          <w:rtl/>
        </w:rPr>
      </w:pPr>
      <w:r>
        <w:rPr>
          <w:rFonts w:cs="FrankRuehl"/>
          <w:b/>
          <w:bCs/>
          <w:sz w:val="26"/>
          <w:szCs w:val="26"/>
          <w:rtl/>
        </w:rPr>
        <w:t>עיקרי הפנייה:</w:t>
      </w:r>
    </w:p>
    <w:p w14:paraId="54713D48" w14:textId="6FF38A12" w:rsidR="00722DAA" w:rsidRDefault="00085F57" w:rsidP="00722DAA">
      <w:pPr>
        <w:contextualSpacing/>
        <w:jc w:val="both"/>
        <w:rPr>
          <w:rFonts w:ascii="FrankRuehl" w:hAnsi="FrankRuehl" w:cs="FrankRuehl"/>
          <w:sz w:val="26"/>
          <w:szCs w:val="26"/>
          <w:lang w:eastAsia="en-US"/>
        </w:rPr>
      </w:pPr>
      <w:r>
        <w:rPr>
          <w:rFonts w:ascii="FrankRuehl" w:hAnsi="FrankRuehl" w:cs="FrankRuehl" w:hint="cs"/>
          <w:sz w:val="26"/>
          <w:szCs w:val="26"/>
          <w:rtl/>
        </w:rPr>
        <w:t>ה</w:t>
      </w:r>
      <w:r w:rsidR="00722DAA">
        <w:rPr>
          <w:rFonts w:ascii="FrankRuehl" w:hAnsi="FrankRuehl" w:cs="FrankRuehl"/>
          <w:sz w:val="26"/>
          <w:szCs w:val="26"/>
          <w:rtl/>
        </w:rPr>
        <w:t xml:space="preserve">פנייה </w:t>
      </w:r>
      <w:r>
        <w:rPr>
          <w:rFonts w:ascii="FrankRuehl" w:hAnsi="FrankRuehl" w:cs="FrankRuehl" w:hint="cs"/>
          <w:sz w:val="26"/>
          <w:szCs w:val="26"/>
          <w:rtl/>
        </w:rPr>
        <w:t>נועדה</w:t>
      </w:r>
      <w:r w:rsidR="00722DAA">
        <w:rPr>
          <w:rFonts w:ascii="FrankRuehl" w:hAnsi="FrankRuehl" w:cs="FrankRuehl"/>
          <w:sz w:val="26"/>
          <w:szCs w:val="26"/>
          <w:rtl/>
        </w:rPr>
        <w:t xml:space="preserve"> להעברת עודפים מחויבים משנת התקציב 2025 לשימוש בשנת התקציב 2026 בסך של 1,032,453 אלפי ש"ח ע"פ הפירוט הבא: </w:t>
      </w:r>
    </w:p>
    <w:p w14:paraId="1748D3E4" w14:textId="77777777" w:rsidR="00722DAA" w:rsidRDefault="00722DAA" w:rsidP="00722DAA">
      <w:pPr>
        <w:contextualSpacing/>
        <w:jc w:val="both"/>
        <w:rPr>
          <w:rFonts w:ascii="FrankRuehl" w:hAnsi="FrankRuehl" w:cs="FrankRuehl"/>
          <w:sz w:val="26"/>
          <w:szCs w:val="26"/>
          <w:rtl/>
        </w:rPr>
      </w:pPr>
    </w:p>
    <w:p w14:paraId="5FF59869" w14:textId="77777777" w:rsidR="00722DAA" w:rsidRDefault="00722DAA" w:rsidP="00722DAA">
      <w:pPr>
        <w:jc w:val="both"/>
        <w:rPr>
          <w:rFonts w:ascii="FrankRuehl" w:hAnsi="FrankRuehl" w:cs="FrankRuehl"/>
          <w:b/>
          <w:bCs/>
          <w:sz w:val="26"/>
          <w:szCs w:val="26"/>
          <w:rtl/>
        </w:rPr>
      </w:pPr>
      <w:r>
        <w:rPr>
          <w:rFonts w:ascii="FrankRuehl" w:hAnsi="FrankRuehl" w:cs="FrankRuehl"/>
          <w:b/>
          <w:bCs/>
          <w:sz w:val="26"/>
          <w:szCs w:val="26"/>
          <w:rtl/>
        </w:rPr>
        <w:t>תכנית 07-50-02: קניות (מטה המשרד לביטחון פנים) – 173,669 אלפי ש"ח בהוצאה</w:t>
      </w:r>
    </w:p>
    <w:p w14:paraId="6BE4D207" w14:textId="77777777" w:rsidR="00722DAA" w:rsidRDefault="00722DAA" w:rsidP="00722DAA">
      <w:pPr>
        <w:jc w:val="both"/>
        <w:rPr>
          <w:rFonts w:ascii="FrankRuehl" w:hAnsi="FrankRuehl" w:cs="FrankRuehl"/>
          <w:b/>
          <w:bCs/>
          <w:sz w:val="26"/>
          <w:szCs w:val="26"/>
          <w:rtl/>
        </w:rPr>
      </w:pPr>
      <w:r>
        <w:rPr>
          <w:rFonts w:ascii="FrankRuehl" w:hAnsi="FrankRuehl" w:cs="FrankRuehl"/>
          <w:b/>
          <w:bCs/>
          <w:sz w:val="26"/>
          <w:szCs w:val="26"/>
          <w:rtl/>
        </w:rPr>
        <w:t xml:space="preserve">תיאור </w:t>
      </w:r>
      <w:proofErr w:type="spellStart"/>
      <w:r>
        <w:rPr>
          <w:rFonts w:ascii="FrankRuehl" w:hAnsi="FrankRuehl" w:cs="FrankRuehl"/>
          <w:b/>
          <w:bCs/>
          <w:sz w:val="26"/>
          <w:szCs w:val="26"/>
          <w:rtl/>
        </w:rPr>
        <w:t>התכנית</w:t>
      </w:r>
      <w:proofErr w:type="spellEnd"/>
      <w:r>
        <w:rPr>
          <w:rFonts w:ascii="FrankRuehl" w:hAnsi="FrankRuehl" w:cs="FrankRuehl"/>
          <w:b/>
          <w:bCs/>
          <w:sz w:val="26"/>
          <w:szCs w:val="26"/>
          <w:rtl/>
        </w:rPr>
        <w:t xml:space="preserve">: </w:t>
      </w:r>
      <w:proofErr w:type="spellStart"/>
      <w:r>
        <w:rPr>
          <w:rFonts w:ascii="FrankRuehl" w:hAnsi="FrankRuehl" w:cs="FrankRuehl"/>
          <w:sz w:val="26"/>
          <w:szCs w:val="26"/>
          <w:rtl/>
        </w:rPr>
        <w:t>התכנית</w:t>
      </w:r>
      <w:proofErr w:type="spellEnd"/>
      <w:r>
        <w:rPr>
          <w:rFonts w:ascii="FrankRuehl" w:hAnsi="FrankRuehl" w:cs="FrankRuehl"/>
          <w:sz w:val="26"/>
          <w:szCs w:val="26"/>
          <w:rtl/>
        </w:rPr>
        <w:t xml:space="preserve"> כוללת את תקציב התפעול והפעילויות של מטה המשרד לביטחון פנים. בנוסף </w:t>
      </w:r>
      <w:proofErr w:type="spellStart"/>
      <w:r>
        <w:rPr>
          <w:rFonts w:ascii="FrankRuehl" w:hAnsi="FrankRuehl" w:cs="FrankRuehl"/>
          <w:sz w:val="26"/>
          <w:szCs w:val="26"/>
          <w:rtl/>
        </w:rPr>
        <w:t>התכנית</w:t>
      </w:r>
      <w:proofErr w:type="spellEnd"/>
      <w:r>
        <w:rPr>
          <w:rFonts w:ascii="FrankRuehl" w:hAnsi="FrankRuehl" w:cs="FrankRuehl"/>
          <w:sz w:val="26"/>
          <w:szCs w:val="26"/>
          <w:rtl/>
        </w:rPr>
        <w:t xml:space="preserve"> מכילה את התקצוב של הרשות לביטחון קהילתי ואת טייסת הכיבוי</w:t>
      </w:r>
      <w:r>
        <w:rPr>
          <w:rFonts w:ascii="FrankRuehl" w:hAnsi="FrankRuehl" w:cs="FrankRuehl"/>
          <w:b/>
          <w:bCs/>
          <w:sz w:val="26"/>
          <w:szCs w:val="26"/>
          <w:rtl/>
        </w:rPr>
        <w:t>.</w:t>
      </w:r>
    </w:p>
    <w:p w14:paraId="445A473C" w14:textId="54D7C23D" w:rsidR="00722DAA" w:rsidRDefault="00722DAA" w:rsidP="00722DAA">
      <w:pPr>
        <w:jc w:val="both"/>
        <w:rPr>
          <w:rFonts w:ascii="FrankRuehl" w:hAnsi="FrankRuehl" w:cs="FrankRuehl"/>
          <w:sz w:val="26"/>
          <w:szCs w:val="26"/>
          <w:rtl/>
        </w:rPr>
      </w:pPr>
      <w:r>
        <w:rPr>
          <w:rFonts w:ascii="FrankRuehl" w:hAnsi="FrankRuehl" w:cs="FrankRuehl"/>
          <w:b/>
          <w:bCs/>
          <w:sz w:val="26"/>
          <w:szCs w:val="26"/>
          <w:rtl/>
        </w:rPr>
        <w:t xml:space="preserve">סיבות מרכזיות בגינן נוצרו עודפים </w:t>
      </w:r>
      <w:proofErr w:type="spellStart"/>
      <w:r>
        <w:rPr>
          <w:rFonts w:ascii="FrankRuehl" w:hAnsi="FrankRuehl" w:cs="FrankRuehl"/>
          <w:b/>
          <w:bCs/>
          <w:sz w:val="26"/>
          <w:szCs w:val="26"/>
          <w:rtl/>
        </w:rPr>
        <w:t>בתכנית</w:t>
      </w:r>
      <w:proofErr w:type="spellEnd"/>
      <w:r>
        <w:rPr>
          <w:rFonts w:ascii="FrankRuehl" w:hAnsi="FrankRuehl" w:cs="FrankRuehl"/>
          <w:b/>
          <w:bCs/>
          <w:sz w:val="26"/>
          <w:szCs w:val="26"/>
          <w:rtl/>
        </w:rPr>
        <w:t xml:space="preserve">: </w:t>
      </w:r>
      <w:r>
        <w:rPr>
          <w:rFonts w:ascii="FrankRuehl" w:hAnsi="FrankRuehl" w:cs="FrankRuehl"/>
          <w:sz w:val="26"/>
          <w:szCs w:val="26"/>
          <w:rtl/>
        </w:rPr>
        <w:t xml:space="preserve">התחייבויות חוצות שנה  ברכש של תקציב התפעול השוטף של המשרד וכן </w:t>
      </w:r>
      <w:proofErr w:type="spellStart"/>
      <w:r>
        <w:rPr>
          <w:rFonts w:ascii="FrankRuehl" w:hAnsi="FrankRuehl" w:cs="FrankRuehl"/>
          <w:sz w:val="26"/>
          <w:szCs w:val="26"/>
          <w:rtl/>
        </w:rPr>
        <w:t>בתכנית</w:t>
      </w:r>
      <w:proofErr w:type="spellEnd"/>
      <w:r>
        <w:rPr>
          <w:rFonts w:ascii="FrankRuehl" w:hAnsi="FrankRuehl" w:cs="FrankRuehl"/>
          <w:sz w:val="26"/>
          <w:szCs w:val="26"/>
          <w:rtl/>
        </w:rPr>
        <w:t xml:space="preserve"> מערכי האכיפה העירוניים, בהם המשרד מתקשר עם רשויות מקומיות </w:t>
      </w:r>
      <w:r>
        <w:rPr>
          <w:rFonts w:ascii="FrankRuehl" w:hAnsi="FrankRuehl" w:cs="FrankRuehl" w:hint="cs"/>
          <w:sz w:val="26"/>
          <w:szCs w:val="26"/>
          <w:rtl/>
        </w:rPr>
        <w:t>עבור</w:t>
      </w:r>
      <w:r>
        <w:rPr>
          <w:rFonts w:ascii="FrankRuehl" w:hAnsi="FrankRuehl" w:cs="FrankRuehl"/>
          <w:sz w:val="26"/>
          <w:szCs w:val="26"/>
          <w:rtl/>
        </w:rPr>
        <w:t xml:space="preserve"> תקצוב חלקי של עלות הפקחים. בנוסף, התחייבויות חוצות שנה של פעילויות הרשות לביטחון קהילתי הפועלת תחת המשרד וכן התחייבויות חוצות שנה לצורך הקמת אזורי חיץ.</w:t>
      </w:r>
    </w:p>
    <w:p w14:paraId="566BA9D4" w14:textId="77777777" w:rsidR="00722DAA" w:rsidRDefault="00722DAA" w:rsidP="00722DAA">
      <w:pPr>
        <w:jc w:val="both"/>
        <w:rPr>
          <w:rFonts w:ascii="FrankRuehl" w:hAnsi="FrankRuehl" w:cs="FrankRuehl"/>
          <w:b/>
          <w:bCs/>
          <w:sz w:val="26"/>
          <w:szCs w:val="26"/>
          <w:rtl/>
        </w:rPr>
      </w:pPr>
    </w:p>
    <w:p w14:paraId="7B5F0C78" w14:textId="77777777" w:rsidR="00722DAA" w:rsidRDefault="00722DAA" w:rsidP="00722DAA">
      <w:pPr>
        <w:jc w:val="both"/>
        <w:rPr>
          <w:rFonts w:ascii="FrankRuehl" w:hAnsi="FrankRuehl" w:cs="FrankRuehl"/>
          <w:b/>
          <w:bCs/>
          <w:sz w:val="26"/>
          <w:szCs w:val="26"/>
        </w:rPr>
      </w:pPr>
      <w:r>
        <w:rPr>
          <w:rFonts w:ascii="FrankRuehl" w:hAnsi="FrankRuehl" w:cs="FrankRuehl"/>
          <w:b/>
          <w:bCs/>
          <w:sz w:val="26"/>
          <w:szCs w:val="26"/>
          <w:rtl/>
        </w:rPr>
        <w:t>תכנית 07-55-02: קניות (הרשות להגנה על עדים) – 20,677 אלפי ש"ח בהוצאה</w:t>
      </w:r>
    </w:p>
    <w:p w14:paraId="086E4B5D" w14:textId="77777777" w:rsidR="00722DAA" w:rsidRDefault="00722DAA" w:rsidP="00722DAA">
      <w:pPr>
        <w:jc w:val="both"/>
        <w:rPr>
          <w:rFonts w:ascii="FrankRuehl" w:hAnsi="FrankRuehl" w:cs="FrankRuehl"/>
          <w:b/>
          <w:bCs/>
          <w:sz w:val="26"/>
          <w:szCs w:val="26"/>
          <w:rtl/>
        </w:rPr>
      </w:pPr>
      <w:r>
        <w:rPr>
          <w:rFonts w:ascii="FrankRuehl" w:hAnsi="FrankRuehl" w:cs="FrankRuehl"/>
          <w:b/>
          <w:bCs/>
          <w:sz w:val="26"/>
          <w:szCs w:val="26"/>
          <w:rtl/>
        </w:rPr>
        <w:t xml:space="preserve">תיאור </w:t>
      </w:r>
      <w:proofErr w:type="spellStart"/>
      <w:r>
        <w:rPr>
          <w:rFonts w:ascii="FrankRuehl" w:hAnsi="FrankRuehl" w:cs="FrankRuehl"/>
          <w:b/>
          <w:bCs/>
          <w:sz w:val="26"/>
          <w:szCs w:val="26"/>
          <w:rtl/>
        </w:rPr>
        <w:t>התכנית</w:t>
      </w:r>
      <w:proofErr w:type="spellEnd"/>
      <w:r>
        <w:rPr>
          <w:rFonts w:ascii="FrankRuehl" w:hAnsi="FrankRuehl" w:cs="FrankRuehl"/>
          <w:b/>
          <w:bCs/>
          <w:sz w:val="26"/>
          <w:szCs w:val="26"/>
          <w:rtl/>
        </w:rPr>
        <w:t xml:space="preserve">: </w:t>
      </w:r>
      <w:proofErr w:type="spellStart"/>
      <w:r>
        <w:rPr>
          <w:rFonts w:ascii="FrankRuehl" w:hAnsi="FrankRuehl" w:cs="FrankRuehl"/>
          <w:sz w:val="26"/>
          <w:szCs w:val="26"/>
          <w:rtl/>
        </w:rPr>
        <w:t>התכנית</w:t>
      </w:r>
      <w:proofErr w:type="spellEnd"/>
      <w:r>
        <w:rPr>
          <w:rFonts w:ascii="FrankRuehl" w:hAnsi="FrankRuehl" w:cs="FrankRuehl"/>
          <w:sz w:val="26"/>
          <w:szCs w:val="26"/>
          <w:rtl/>
        </w:rPr>
        <w:t xml:space="preserve"> כוללת את תקציב התפעול והפעילויות הרשות להגנת עדים למען מענה מבצעי להגנה על עדים מאוימים ברמת סיכון גבוהה בארץ ובחו"ל. </w:t>
      </w:r>
    </w:p>
    <w:p w14:paraId="0A4DD454" w14:textId="77777777" w:rsidR="00722DAA" w:rsidRDefault="00722DAA" w:rsidP="00722DAA">
      <w:pPr>
        <w:jc w:val="both"/>
        <w:rPr>
          <w:rFonts w:ascii="FrankRuehl" w:hAnsi="FrankRuehl" w:cs="FrankRuehl"/>
          <w:sz w:val="26"/>
          <w:szCs w:val="26"/>
          <w:rtl/>
        </w:rPr>
      </w:pPr>
      <w:r>
        <w:rPr>
          <w:rFonts w:ascii="FrankRuehl" w:hAnsi="FrankRuehl" w:cs="FrankRuehl"/>
          <w:b/>
          <w:bCs/>
          <w:sz w:val="26"/>
          <w:szCs w:val="26"/>
          <w:rtl/>
        </w:rPr>
        <w:t xml:space="preserve">סיבות מרכזיות בגינן נוצרו עודפים </w:t>
      </w:r>
      <w:proofErr w:type="spellStart"/>
      <w:r>
        <w:rPr>
          <w:rFonts w:ascii="FrankRuehl" w:hAnsi="FrankRuehl" w:cs="FrankRuehl"/>
          <w:b/>
          <w:bCs/>
          <w:sz w:val="26"/>
          <w:szCs w:val="26"/>
          <w:rtl/>
        </w:rPr>
        <w:t>בתכנית</w:t>
      </w:r>
      <w:proofErr w:type="spellEnd"/>
      <w:r>
        <w:rPr>
          <w:rFonts w:ascii="FrankRuehl" w:hAnsi="FrankRuehl" w:cs="FrankRuehl"/>
          <w:b/>
          <w:bCs/>
          <w:sz w:val="26"/>
          <w:szCs w:val="26"/>
          <w:rtl/>
        </w:rPr>
        <w:t xml:space="preserve">: </w:t>
      </w:r>
      <w:r>
        <w:rPr>
          <w:rFonts w:ascii="FrankRuehl" w:hAnsi="FrankRuehl" w:cs="FrankRuehl"/>
          <w:sz w:val="26"/>
          <w:szCs w:val="26"/>
          <w:rtl/>
        </w:rPr>
        <w:t>העודפים נוצרו בגין התחייבויות חוצות שנה בתחומי התפעול השוטף של הרשות.</w:t>
      </w:r>
    </w:p>
    <w:p w14:paraId="66D74E10" w14:textId="77777777" w:rsidR="00722DAA" w:rsidRDefault="00722DAA" w:rsidP="00722DAA">
      <w:pPr>
        <w:jc w:val="both"/>
        <w:rPr>
          <w:rFonts w:ascii="FrankRuehl" w:hAnsi="FrankRuehl" w:cs="FrankRuehl"/>
          <w:sz w:val="26"/>
          <w:szCs w:val="26"/>
          <w:rtl/>
        </w:rPr>
      </w:pPr>
    </w:p>
    <w:p w14:paraId="6CDABAD0" w14:textId="77777777" w:rsidR="00722DAA" w:rsidRDefault="00722DAA" w:rsidP="00722DAA">
      <w:pPr>
        <w:jc w:val="both"/>
        <w:rPr>
          <w:rFonts w:ascii="FrankRuehl" w:hAnsi="FrankRuehl" w:cs="FrankRuehl"/>
          <w:sz w:val="26"/>
          <w:szCs w:val="26"/>
          <w:rtl/>
        </w:rPr>
      </w:pPr>
      <w:r>
        <w:rPr>
          <w:rFonts w:ascii="FrankRuehl" w:hAnsi="FrankRuehl" w:cs="FrankRuehl"/>
          <w:b/>
          <w:bCs/>
          <w:sz w:val="26"/>
          <w:szCs w:val="26"/>
          <w:rtl/>
        </w:rPr>
        <w:t>תכנית 07-60-01: שכר (רשות הכבאות וההצלה) – 7,695 אלפי ש"ח בהוצאה</w:t>
      </w:r>
    </w:p>
    <w:p w14:paraId="1E3DB932" w14:textId="77777777" w:rsidR="00722DAA" w:rsidRDefault="00722DAA" w:rsidP="00722DAA">
      <w:pPr>
        <w:jc w:val="both"/>
        <w:rPr>
          <w:rFonts w:ascii="FrankRuehl" w:hAnsi="FrankRuehl" w:cs="FrankRuehl"/>
          <w:sz w:val="26"/>
          <w:szCs w:val="26"/>
          <w:rtl/>
        </w:rPr>
      </w:pPr>
      <w:r>
        <w:rPr>
          <w:rFonts w:ascii="FrankRuehl" w:hAnsi="FrankRuehl" w:cs="FrankRuehl"/>
          <w:b/>
          <w:bCs/>
          <w:sz w:val="26"/>
          <w:szCs w:val="26"/>
          <w:rtl/>
        </w:rPr>
        <w:t xml:space="preserve">תיאור </w:t>
      </w:r>
      <w:proofErr w:type="spellStart"/>
      <w:r>
        <w:rPr>
          <w:rFonts w:ascii="FrankRuehl" w:hAnsi="FrankRuehl" w:cs="FrankRuehl"/>
          <w:b/>
          <w:bCs/>
          <w:sz w:val="26"/>
          <w:szCs w:val="26"/>
          <w:rtl/>
        </w:rPr>
        <w:t>התכנית</w:t>
      </w:r>
      <w:proofErr w:type="spellEnd"/>
      <w:r>
        <w:rPr>
          <w:rFonts w:ascii="FrankRuehl" w:hAnsi="FrankRuehl" w:cs="FrankRuehl"/>
          <w:sz w:val="26"/>
          <w:szCs w:val="26"/>
          <w:rtl/>
        </w:rPr>
        <w:t>: תכנית זו משמשת לתקצוב מרכיבי השכר של הרשות לכבאות והצלה.</w:t>
      </w:r>
    </w:p>
    <w:p w14:paraId="40F681EA" w14:textId="77777777" w:rsidR="00722DAA" w:rsidRDefault="00722DAA" w:rsidP="00722DAA">
      <w:pPr>
        <w:jc w:val="both"/>
        <w:rPr>
          <w:rFonts w:ascii="FrankRuehl" w:hAnsi="FrankRuehl" w:cs="FrankRuehl"/>
          <w:sz w:val="26"/>
          <w:szCs w:val="26"/>
          <w:rtl/>
        </w:rPr>
      </w:pPr>
      <w:r>
        <w:rPr>
          <w:rFonts w:ascii="FrankRuehl" w:hAnsi="FrankRuehl" w:cs="FrankRuehl"/>
          <w:b/>
          <w:bCs/>
          <w:sz w:val="26"/>
          <w:szCs w:val="26"/>
          <w:rtl/>
        </w:rPr>
        <w:t xml:space="preserve">סיבות מרכזיות בגינן נוצרו עודפים </w:t>
      </w:r>
      <w:proofErr w:type="spellStart"/>
      <w:r>
        <w:rPr>
          <w:rFonts w:ascii="FrankRuehl" w:hAnsi="FrankRuehl" w:cs="FrankRuehl"/>
          <w:b/>
          <w:bCs/>
          <w:sz w:val="26"/>
          <w:szCs w:val="26"/>
          <w:rtl/>
        </w:rPr>
        <w:t>בתכנית</w:t>
      </w:r>
      <w:proofErr w:type="spellEnd"/>
      <w:r>
        <w:rPr>
          <w:rFonts w:ascii="FrankRuehl" w:hAnsi="FrankRuehl" w:cs="FrankRuehl"/>
          <w:b/>
          <w:bCs/>
          <w:sz w:val="26"/>
          <w:szCs w:val="26"/>
          <w:rtl/>
        </w:rPr>
        <w:t xml:space="preserve">: </w:t>
      </w:r>
      <w:r>
        <w:rPr>
          <w:rFonts w:ascii="FrankRuehl" w:hAnsi="FrankRuehl" w:cs="FrankRuehl"/>
          <w:sz w:val="26"/>
          <w:szCs w:val="26"/>
          <w:rtl/>
        </w:rPr>
        <w:t>העודפים נוצרו בגין</w:t>
      </w:r>
      <w:r>
        <w:rPr>
          <w:rFonts w:cs="FrankRuehl"/>
          <w:sz w:val="26"/>
          <w:szCs w:val="26"/>
          <w:rtl/>
        </w:rPr>
        <w:t xml:space="preserve"> </w:t>
      </w:r>
      <w:r>
        <w:rPr>
          <w:rFonts w:ascii="FrankRuehl" w:hAnsi="FrankRuehl" w:cs="FrankRuehl"/>
          <w:sz w:val="26"/>
          <w:szCs w:val="26"/>
          <w:rtl/>
        </w:rPr>
        <w:t>תשלומי סוף שנה עבור הוצאות נלוות לשכר.</w:t>
      </w:r>
    </w:p>
    <w:p w14:paraId="4BE2C42D" w14:textId="77777777" w:rsidR="00722DAA" w:rsidRDefault="00722DAA" w:rsidP="00722DAA">
      <w:pPr>
        <w:jc w:val="both"/>
        <w:rPr>
          <w:rFonts w:ascii="FrankRuehl" w:hAnsi="FrankRuehl" w:cs="FrankRuehl"/>
          <w:sz w:val="26"/>
          <w:szCs w:val="26"/>
          <w:rtl/>
        </w:rPr>
      </w:pPr>
    </w:p>
    <w:p w14:paraId="558CC7D7" w14:textId="77777777" w:rsidR="00722DAA" w:rsidRDefault="00722DAA" w:rsidP="00722DAA">
      <w:pPr>
        <w:jc w:val="both"/>
        <w:rPr>
          <w:rFonts w:ascii="FrankRuehl" w:hAnsi="FrankRuehl" w:cs="FrankRuehl"/>
          <w:sz w:val="26"/>
          <w:szCs w:val="26"/>
          <w:rtl/>
        </w:rPr>
      </w:pPr>
      <w:r>
        <w:rPr>
          <w:rFonts w:ascii="FrankRuehl" w:hAnsi="FrankRuehl" w:cs="FrankRuehl"/>
          <w:b/>
          <w:bCs/>
          <w:sz w:val="26"/>
          <w:szCs w:val="26"/>
          <w:rtl/>
        </w:rPr>
        <w:t>תכנית 07-60-02: קניות (רשות הכבאות וההצלה) – 130,878 אלפי ש"ח בהוצאה</w:t>
      </w:r>
    </w:p>
    <w:p w14:paraId="14DB669D" w14:textId="77777777" w:rsidR="00722DAA" w:rsidRDefault="00722DAA" w:rsidP="00722DAA">
      <w:pPr>
        <w:jc w:val="both"/>
        <w:rPr>
          <w:rFonts w:ascii="FrankRuehl" w:hAnsi="FrankRuehl" w:cs="FrankRuehl"/>
          <w:b/>
          <w:bCs/>
          <w:sz w:val="26"/>
          <w:szCs w:val="26"/>
          <w:rtl/>
        </w:rPr>
      </w:pPr>
      <w:r>
        <w:rPr>
          <w:rFonts w:ascii="FrankRuehl" w:hAnsi="FrankRuehl" w:cs="FrankRuehl"/>
          <w:b/>
          <w:bCs/>
          <w:sz w:val="26"/>
          <w:szCs w:val="26"/>
          <w:rtl/>
        </w:rPr>
        <w:t xml:space="preserve">תיאור </w:t>
      </w:r>
      <w:proofErr w:type="spellStart"/>
      <w:r>
        <w:rPr>
          <w:rFonts w:ascii="FrankRuehl" w:hAnsi="FrankRuehl" w:cs="FrankRuehl"/>
          <w:b/>
          <w:bCs/>
          <w:sz w:val="26"/>
          <w:szCs w:val="26"/>
          <w:rtl/>
        </w:rPr>
        <w:t>התכנית</w:t>
      </w:r>
      <w:proofErr w:type="spellEnd"/>
      <w:r>
        <w:rPr>
          <w:rFonts w:ascii="FrankRuehl" w:hAnsi="FrankRuehl" w:cs="FrankRuehl"/>
          <w:sz w:val="26"/>
          <w:szCs w:val="26"/>
          <w:rtl/>
        </w:rPr>
        <w:t xml:space="preserve">:  </w:t>
      </w:r>
      <w:proofErr w:type="spellStart"/>
      <w:r>
        <w:rPr>
          <w:rFonts w:ascii="FrankRuehl" w:hAnsi="FrankRuehl" w:cs="FrankRuehl"/>
          <w:sz w:val="26"/>
          <w:szCs w:val="26"/>
          <w:rtl/>
        </w:rPr>
        <w:t>התכנית</w:t>
      </w:r>
      <w:proofErr w:type="spellEnd"/>
      <w:r>
        <w:rPr>
          <w:rFonts w:ascii="FrankRuehl" w:hAnsi="FrankRuehl" w:cs="FrankRuehl"/>
          <w:sz w:val="26"/>
          <w:szCs w:val="26"/>
          <w:rtl/>
        </w:rPr>
        <w:t xml:space="preserve"> כוללת את תקציב הקניות של רשות הכבאות וההצלה ובכלל זה תקציב התפעול, לרבות אחזקה ושיפוץ של תחנות כיבוי אש, הכשרות, אימונים וכן את תקציב ההתעצמות המשמש לרכש ציוד, רכבי כיבוי ובינוי תחנות חדשות.</w:t>
      </w:r>
    </w:p>
    <w:p w14:paraId="3FFC50E7" w14:textId="77777777" w:rsidR="00722DAA" w:rsidRDefault="00722DAA" w:rsidP="00722DAA">
      <w:pPr>
        <w:jc w:val="both"/>
        <w:rPr>
          <w:rFonts w:ascii="FrankRuehl" w:hAnsi="FrankRuehl" w:cs="FrankRuehl"/>
          <w:sz w:val="26"/>
          <w:szCs w:val="26"/>
        </w:rPr>
      </w:pPr>
      <w:r>
        <w:rPr>
          <w:rFonts w:ascii="FrankRuehl" w:hAnsi="FrankRuehl" w:cs="FrankRuehl"/>
          <w:b/>
          <w:bCs/>
          <w:sz w:val="26"/>
          <w:szCs w:val="26"/>
          <w:rtl/>
        </w:rPr>
        <w:lastRenderedPageBreak/>
        <w:t xml:space="preserve">סיבות מרכזיות בגינן נוצרו עודפים </w:t>
      </w:r>
      <w:proofErr w:type="spellStart"/>
      <w:r>
        <w:rPr>
          <w:rFonts w:ascii="FrankRuehl" w:hAnsi="FrankRuehl" w:cs="FrankRuehl"/>
          <w:b/>
          <w:bCs/>
          <w:sz w:val="26"/>
          <w:szCs w:val="26"/>
          <w:rtl/>
        </w:rPr>
        <w:t>בתכנית</w:t>
      </w:r>
      <w:proofErr w:type="spellEnd"/>
      <w:r>
        <w:rPr>
          <w:rFonts w:ascii="FrankRuehl" w:hAnsi="FrankRuehl" w:cs="FrankRuehl"/>
          <w:b/>
          <w:bCs/>
          <w:sz w:val="26"/>
          <w:szCs w:val="26"/>
          <w:rtl/>
        </w:rPr>
        <w:t xml:space="preserve">: </w:t>
      </w:r>
      <w:r>
        <w:rPr>
          <w:rFonts w:ascii="FrankRuehl" w:hAnsi="FrankRuehl" w:cs="FrankRuehl"/>
          <w:sz w:val="26"/>
          <w:szCs w:val="26"/>
          <w:rtl/>
        </w:rPr>
        <w:t>העודפים נוצרו בגין התחייבויות חוצות שנה בתחומי התפעול השוטף וכן בגין פרויקטים מתמשכים של הליכי רכש של אמצעי כיבוי והליכי בינוי ופיתוח, בהם הביצוע נעשה בקצב התקדמות העבודה על פי חוזים והתקשרויות.</w:t>
      </w:r>
    </w:p>
    <w:p w14:paraId="4DB88CC7" w14:textId="77777777" w:rsidR="00722DAA" w:rsidRDefault="00722DAA" w:rsidP="00722DAA">
      <w:pPr>
        <w:jc w:val="both"/>
        <w:rPr>
          <w:rFonts w:ascii="FrankRuehl" w:hAnsi="FrankRuehl" w:cs="FrankRuehl"/>
          <w:sz w:val="26"/>
          <w:szCs w:val="26"/>
          <w:rtl/>
        </w:rPr>
      </w:pPr>
    </w:p>
    <w:p w14:paraId="3BFD867C" w14:textId="77777777" w:rsidR="00722DAA" w:rsidRDefault="00722DAA" w:rsidP="00722DAA">
      <w:pPr>
        <w:jc w:val="both"/>
        <w:rPr>
          <w:rFonts w:ascii="FrankRuehl" w:hAnsi="FrankRuehl" w:cs="FrankRuehl"/>
          <w:b/>
          <w:bCs/>
          <w:sz w:val="26"/>
          <w:szCs w:val="26"/>
          <w:rtl/>
        </w:rPr>
      </w:pPr>
      <w:r>
        <w:rPr>
          <w:rFonts w:ascii="FrankRuehl" w:hAnsi="FrankRuehl" w:cs="FrankRuehl"/>
          <w:b/>
          <w:bCs/>
          <w:sz w:val="26"/>
          <w:szCs w:val="26"/>
          <w:rtl/>
        </w:rPr>
        <w:t>תכנית 07-70-01: שכר (שירות בתי הסוהר) – 12,578 אלפי ש"ח בהוצאה</w:t>
      </w:r>
    </w:p>
    <w:p w14:paraId="081D14DF" w14:textId="77777777" w:rsidR="00722DAA" w:rsidRDefault="00722DAA" w:rsidP="00722DAA">
      <w:pPr>
        <w:jc w:val="both"/>
        <w:rPr>
          <w:rFonts w:ascii="FrankRuehl" w:hAnsi="FrankRuehl" w:cs="FrankRuehl"/>
          <w:b/>
          <w:bCs/>
          <w:sz w:val="26"/>
          <w:szCs w:val="26"/>
          <w:rtl/>
        </w:rPr>
      </w:pPr>
      <w:r>
        <w:rPr>
          <w:rFonts w:ascii="FrankRuehl" w:hAnsi="FrankRuehl" w:cs="FrankRuehl"/>
          <w:b/>
          <w:bCs/>
          <w:sz w:val="26"/>
          <w:szCs w:val="26"/>
          <w:rtl/>
        </w:rPr>
        <w:t xml:space="preserve">תיאור </w:t>
      </w:r>
      <w:proofErr w:type="spellStart"/>
      <w:r>
        <w:rPr>
          <w:rFonts w:ascii="FrankRuehl" w:hAnsi="FrankRuehl" w:cs="FrankRuehl"/>
          <w:b/>
          <w:bCs/>
          <w:sz w:val="26"/>
          <w:szCs w:val="26"/>
          <w:rtl/>
        </w:rPr>
        <w:t>התכנית</w:t>
      </w:r>
      <w:proofErr w:type="spellEnd"/>
      <w:r>
        <w:rPr>
          <w:rFonts w:ascii="FrankRuehl" w:hAnsi="FrankRuehl" w:cs="FrankRuehl"/>
          <w:sz w:val="26"/>
          <w:szCs w:val="26"/>
          <w:rtl/>
        </w:rPr>
        <w:t>: תכנית זו משמשת לתקצוב השכר של כלל המשרתים בשירות בתי הסוהר וכן הוצאות נלוות כגון תחבורה ציבורית, שי לחגים ונופש מבצעי למשרתים.</w:t>
      </w:r>
    </w:p>
    <w:p w14:paraId="5EB66FF9" w14:textId="77777777" w:rsidR="00722DAA" w:rsidRDefault="00722DAA" w:rsidP="00722DAA">
      <w:pPr>
        <w:jc w:val="both"/>
        <w:rPr>
          <w:rFonts w:ascii="FrankRuehl" w:hAnsi="FrankRuehl" w:cs="FrankRuehl"/>
          <w:sz w:val="26"/>
          <w:szCs w:val="26"/>
          <w:rtl/>
        </w:rPr>
      </w:pPr>
      <w:r>
        <w:rPr>
          <w:rFonts w:ascii="FrankRuehl" w:hAnsi="FrankRuehl" w:cs="FrankRuehl"/>
          <w:b/>
          <w:bCs/>
          <w:sz w:val="26"/>
          <w:szCs w:val="26"/>
          <w:rtl/>
        </w:rPr>
        <w:t xml:space="preserve">סיבות מרכזיות בגינן נוצרו עודפים </w:t>
      </w:r>
      <w:proofErr w:type="spellStart"/>
      <w:r>
        <w:rPr>
          <w:rFonts w:ascii="FrankRuehl" w:hAnsi="FrankRuehl" w:cs="FrankRuehl"/>
          <w:b/>
          <w:bCs/>
          <w:sz w:val="26"/>
          <w:szCs w:val="26"/>
          <w:rtl/>
        </w:rPr>
        <w:t>בתכנית</w:t>
      </w:r>
      <w:proofErr w:type="spellEnd"/>
      <w:r>
        <w:rPr>
          <w:rFonts w:ascii="FrankRuehl" w:hAnsi="FrankRuehl" w:cs="FrankRuehl"/>
          <w:b/>
          <w:bCs/>
          <w:sz w:val="26"/>
          <w:szCs w:val="26"/>
          <w:rtl/>
        </w:rPr>
        <w:t xml:space="preserve">: </w:t>
      </w:r>
      <w:r>
        <w:rPr>
          <w:rFonts w:ascii="FrankRuehl" w:hAnsi="FrankRuehl" w:cs="FrankRuehl"/>
          <w:sz w:val="26"/>
          <w:szCs w:val="26"/>
          <w:rtl/>
        </w:rPr>
        <w:t>העודפים נוצרו בגין</w:t>
      </w:r>
      <w:r>
        <w:rPr>
          <w:rFonts w:cs="FrankRuehl"/>
          <w:sz w:val="26"/>
          <w:szCs w:val="26"/>
          <w:rtl/>
        </w:rPr>
        <w:t xml:space="preserve"> </w:t>
      </w:r>
      <w:r>
        <w:rPr>
          <w:rFonts w:ascii="FrankRuehl" w:hAnsi="FrankRuehl" w:cs="FrankRuehl"/>
          <w:sz w:val="26"/>
          <w:szCs w:val="26"/>
          <w:rtl/>
        </w:rPr>
        <w:t>תשלומי סוף שנה עבור הוצאות נלוות לשכר.</w:t>
      </w:r>
    </w:p>
    <w:p w14:paraId="17F28FCE" w14:textId="77777777" w:rsidR="00722DAA" w:rsidRDefault="00722DAA" w:rsidP="00722DAA">
      <w:pPr>
        <w:jc w:val="both"/>
        <w:rPr>
          <w:rFonts w:ascii="FrankRuehl" w:hAnsi="FrankRuehl" w:cs="FrankRuehl"/>
          <w:sz w:val="26"/>
          <w:szCs w:val="26"/>
          <w:rtl/>
        </w:rPr>
      </w:pPr>
    </w:p>
    <w:p w14:paraId="4F839E56" w14:textId="77777777" w:rsidR="00722DAA" w:rsidRDefault="00722DAA" w:rsidP="00722DAA">
      <w:pPr>
        <w:jc w:val="both"/>
        <w:rPr>
          <w:rFonts w:ascii="FrankRuehl" w:hAnsi="FrankRuehl" w:cs="FrankRuehl"/>
          <w:b/>
          <w:bCs/>
          <w:sz w:val="26"/>
          <w:szCs w:val="26"/>
          <w:rtl/>
        </w:rPr>
      </w:pPr>
      <w:r>
        <w:rPr>
          <w:rFonts w:ascii="FrankRuehl" w:hAnsi="FrankRuehl" w:cs="FrankRuehl"/>
          <w:b/>
          <w:bCs/>
          <w:sz w:val="26"/>
          <w:szCs w:val="26"/>
          <w:rtl/>
        </w:rPr>
        <w:t>תכנית 07-70-02: קניות (שירות בתי הסוהר) – 247,942 אלפי ש"ח בהוצאה</w:t>
      </w:r>
    </w:p>
    <w:p w14:paraId="075E348B" w14:textId="77777777" w:rsidR="00722DAA" w:rsidRDefault="00722DAA" w:rsidP="00722DAA">
      <w:pPr>
        <w:jc w:val="both"/>
        <w:rPr>
          <w:rFonts w:ascii="FrankRuehl" w:hAnsi="FrankRuehl" w:cs="FrankRuehl"/>
          <w:sz w:val="26"/>
          <w:szCs w:val="26"/>
          <w:rtl/>
        </w:rPr>
      </w:pPr>
      <w:r>
        <w:rPr>
          <w:rFonts w:ascii="FrankRuehl" w:hAnsi="FrankRuehl" w:cs="FrankRuehl"/>
          <w:b/>
          <w:bCs/>
          <w:sz w:val="26"/>
          <w:szCs w:val="26"/>
          <w:rtl/>
        </w:rPr>
        <w:t xml:space="preserve">תיאור </w:t>
      </w:r>
      <w:proofErr w:type="spellStart"/>
      <w:r>
        <w:rPr>
          <w:rFonts w:ascii="FrankRuehl" w:hAnsi="FrankRuehl" w:cs="FrankRuehl"/>
          <w:b/>
          <w:bCs/>
          <w:sz w:val="26"/>
          <w:szCs w:val="26"/>
          <w:rtl/>
        </w:rPr>
        <w:t>התכנית</w:t>
      </w:r>
      <w:proofErr w:type="spellEnd"/>
      <w:r>
        <w:rPr>
          <w:rFonts w:ascii="FrankRuehl" w:hAnsi="FrankRuehl" w:cs="FrankRuehl"/>
          <w:b/>
          <w:bCs/>
          <w:sz w:val="26"/>
          <w:szCs w:val="26"/>
          <w:rtl/>
        </w:rPr>
        <w:t xml:space="preserve">: </w:t>
      </w:r>
      <w:proofErr w:type="spellStart"/>
      <w:r>
        <w:rPr>
          <w:rFonts w:ascii="FrankRuehl" w:hAnsi="FrankRuehl" w:cs="FrankRuehl"/>
          <w:sz w:val="26"/>
          <w:szCs w:val="26"/>
          <w:rtl/>
        </w:rPr>
        <w:t>התכנית</w:t>
      </w:r>
      <w:proofErr w:type="spellEnd"/>
      <w:r>
        <w:rPr>
          <w:rFonts w:ascii="FrankRuehl" w:hAnsi="FrankRuehl" w:cs="FrankRuehl"/>
          <w:sz w:val="26"/>
          <w:szCs w:val="26"/>
          <w:rtl/>
        </w:rPr>
        <w:t xml:space="preserve"> כוללת את תקציב הקניות של שירות בתי הסוהר ובכלל זה תקציב התפעול, לרבות אחזקה של בתי הסוהר והמערכות הטכנולוגיות בשימוש השירות, הכשרות, אימונים, תקציב הקיום והמחייה של האסירים וכן תעסוקה ושיקום אסירים</w:t>
      </w:r>
      <w:r>
        <w:rPr>
          <w:rFonts w:ascii="FrankRuehl" w:hAnsi="FrankRuehl" w:cs="FrankRuehl"/>
          <w:b/>
          <w:bCs/>
          <w:sz w:val="26"/>
          <w:szCs w:val="26"/>
          <w:rtl/>
        </w:rPr>
        <w:t>.</w:t>
      </w:r>
    </w:p>
    <w:p w14:paraId="4412702B" w14:textId="77777777" w:rsidR="00722DAA" w:rsidRDefault="00722DAA" w:rsidP="00722DAA">
      <w:pPr>
        <w:jc w:val="both"/>
        <w:rPr>
          <w:rFonts w:ascii="FrankRuehl" w:hAnsi="FrankRuehl" w:cs="FrankRuehl"/>
          <w:sz w:val="26"/>
          <w:szCs w:val="26"/>
          <w:rtl/>
        </w:rPr>
      </w:pPr>
      <w:r>
        <w:rPr>
          <w:rFonts w:ascii="FrankRuehl" w:hAnsi="FrankRuehl" w:cs="FrankRuehl"/>
          <w:b/>
          <w:bCs/>
          <w:sz w:val="26"/>
          <w:szCs w:val="26"/>
          <w:rtl/>
        </w:rPr>
        <w:t xml:space="preserve">סיבות מרכזיות בגינן נוצרו עודפים </w:t>
      </w:r>
      <w:proofErr w:type="spellStart"/>
      <w:r>
        <w:rPr>
          <w:rFonts w:ascii="FrankRuehl" w:hAnsi="FrankRuehl" w:cs="FrankRuehl"/>
          <w:b/>
          <w:bCs/>
          <w:sz w:val="26"/>
          <w:szCs w:val="26"/>
          <w:rtl/>
        </w:rPr>
        <w:t>בתכנית</w:t>
      </w:r>
      <w:proofErr w:type="spellEnd"/>
      <w:r>
        <w:rPr>
          <w:rFonts w:ascii="FrankRuehl" w:hAnsi="FrankRuehl" w:cs="FrankRuehl"/>
          <w:b/>
          <w:bCs/>
          <w:sz w:val="26"/>
          <w:szCs w:val="26"/>
          <w:rtl/>
        </w:rPr>
        <w:t xml:space="preserve">: </w:t>
      </w:r>
      <w:r>
        <w:rPr>
          <w:rFonts w:ascii="FrankRuehl" w:hAnsi="FrankRuehl" w:cs="FrankRuehl"/>
          <w:sz w:val="26"/>
          <w:szCs w:val="26"/>
          <w:rtl/>
        </w:rPr>
        <w:t>התחייבויות חוצות שנה בתחומי התפעול השוטף וכן בגין פרויקטים מתמשכים, כגון הליכי רכש וחוזי התקשרות בתחום הטכנולוגיה, שהם פרויקטים חוצי שנה, ועל כן נוצרים עודפים.</w:t>
      </w:r>
    </w:p>
    <w:p w14:paraId="1265F9E4" w14:textId="77777777" w:rsidR="00722DAA" w:rsidRDefault="00722DAA" w:rsidP="00722DAA">
      <w:pPr>
        <w:jc w:val="both"/>
        <w:rPr>
          <w:rFonts w:ascii="FrankRuehl" w:hAnsi="FrankRuehl" w:cs="FrankRuehl"/>
          <w:sz w:val="26"/>
          <w:szCs w:val="26"/>
          <w:rtl/>
        </w:rPr>
      </w:pPr>
    </w:p>
    <w:p w14:paraId="6D305241" w14:textId="77777777" w:rsidR="00722DAA" w:rsidRDefault="00722DAA" w:rsidP="00722DAA">
      <w:pPr>
        <w:jc w:val="both"/>
        <w:rPr>
          <w:rFonts w:ascii="FrankRuehl" w:hAnsi="FrankRuehl" w:cs="FrankRuehl"/>
          <w:b/>
          <w:bCs/>
          <w:sz w:val="26"/>
          <w:szCs w:val="26"/>
        </w:rPr>
      </w:pPr>
      <w:r>
        <w:rPr>
          <w:rFonts w:ascii="FrankRuehl" w:hAnsi="FrankRuehl" w:cs="FrankRuehl"/>
          <w:b/>
          <w:bCs/>
          <w:sz w:val="26"/>
          <w:szCs w:val="26"/>
          <w:rtl/>
        </w:rPr>
        <w:t>תכנית 07-80-01: שכר (משטרת ישראל) –  928 אלפי ש"ח בהוצאה</w:t>
      </w:r>
    </w:p>
    <w:p w14:paraId="71D06AD1" w14:textId="77777777" w:rsidR="00722DAA" w:rsidRDefault="00722DAA" w:rsidP="00722DAA">
      <w:pPr>
        <w:jc w:val="both"/>
        <w:rPr>
          <w:rFonts w:ascii="FrankRuehl" w:hAnsi="FrankRuehl" w:cs="FrankRuehl"/>
          <w:b/>
          <w:bCs/>
          <w:sz w:val="26"/>
          <w:szCs w:val="26"/>
        </w:rPr>
      </w:pPr>
      <w:r>
        <w:rPr>
          <w:rFonts w:ascii="FrankRuehl" w:hAnsi="FrankRuehl" w:cs="FrankRuehl"/>
          <w:b/>
          <w:bCs/>
          <w:sz w:val="26"/>
          <w:szCs w:val="26"/>
          <w:rtl/>
        </w:rPr>
        <w:t xml:space="preserve">תיאור </w:t>
      </w:r>
      <w:proofErr w:type="spellStart"/>
      <w:r>
        <w:rPr>
          <w:rFonts w:ascii="FrankRuehl" w:hAnsi="FrankRuehl" w:cs="FrankRuehl"/>
          <w:b/>
          <w:bCs/>
          <w:sz w:val="26"/>
          <w:szCs w:val="26"/>
          <w:rtl/>
        </w:rPr>
        <w:t>התכנית</w:t>
      </w:r>
      <w:proofErr w:type="spellEnd"/>
      <w:r>
        <w:rPr>
          <w:rFonts w:ascii="FrankRuehl" w:hAnsi="FrankRuehl" w:cs="FrankRuehl"/>
          <w:sz w:val="26"/>
          <w:szCs w:val="26"/>
          <w:rtl/>
        </w:rPr>
        <w:t xml:space="preserve">: </w:t>
      </w:r>
      <w:r>
        <w:rPr>
          <w:rFonts w:cs="FrankRuehl"/>
          <w:sz w:val="26"/>
          <w:szCs w:val="26"/>
          <w:rtl/>
        </w:rPr>
        <w:t>תכנית זו כוללת את תקציב השכר של שוטרי הקבע במשטרת ישראל, שוטרי חובה, סטודנטים ומתמחים וכן הוצאות נלוות לשכר</w:t>
      </w:r>
      <w:r>
        <w:rPr>
          <w:rFonts w:ascii="FrankRuehl" w:hAnsi="FrankRuehl" w:cs="FrankRuehl"/>
          <w:b/>
          <w:bCs/>
          <w:sz w:val="26"/>
          <w:szCs w:val="26"/>
          <w:rtl/>
        </w:rPr>
        <w:t>.</w:t>
      </w:r>
    </w:p>
    <w:p w14:paraId="639EC0A5" w14:textId="77777777" w:rsidR="00722DAA" w:rsidRDefault="00722DAA" w:rsidP="00722DAA">
      <w:pPr>
        <w:jc w:val="both"/>
        <w:rPr>
          <w:rFonts w:ascii="FrankRuehl" w:hAnsi="FrankRuehl" w:cs="FrankRuehl"/>
          <w:sz w:val="26"/>
          <w:szCs w:val="26"/>
          <w:rtl/>
        </w:rPr>
      </w:pPr>
      <w:r>
        <w:rPr>
          <w:rFonts w:ascii="FrankRuehl" w:hAnsi="FrankRuehl" w:cs="FrankRuehl"/>
          <w:b/>
          <w:bCs/>
          <w:sz w:val="26"/>
          <w:szCs w:val="26"/>
          <w:rtl/>
        </w:rPr>
        <w:t xml:space="preserve">סיבות מרכזיות בגינן נוצרו עודפים </w:t>
      </w:r>
      <w:proofErr w:type="spellStart"/>
      <w:r>
        <w:rPr>
          <w:rFonts w:ascii="FrankRuehl" w:hAnsi="FrankRuehl" w:cs="FrankRuehl"/>
          <w:b/>
          <w:bCs/>
          <w:sz w:val="26"/>
          <w:szCs w:val="26"/>
          <w:rtl/>
        </w:rPr>
        <w:t>בתכנית</w:t>
      </w:r>
      <w:proofErr w:type="spellEnd"/>
      <w:r>
        <w:rPr>
          <w:rFonts w:ascii="FrankRuehl" w:hAnsi="FrankRuehl" w:cs="FrankRuehl"/>
          <w:b/>
          <w:bCs/>
          <w:sz w:val="26"/>
          <w:szCs w:val="26"/>
          <w:rtl/>
        </w:rPr>
        <w:t xml:space="preserve">: </w:t>
      </w:r>
      <w:r>
        <w:rPr>
          <w:rFonts w:ascii="FrankRuehl" w:hAnsi="FrankRuehl" w:cs="FrankRuehl"/>
          <w:sz w:val="26"/>
          <w:szCs w:val="26"/>
          <w:rtl/>
        </w:rPr>
        <w:t>העודפים נוצרו בגין</w:t>
      </w:r>
      <w:r>
        <w:rPr>
          <w:rFonts w:cs="FrankRuehl"/>
          <w:sz w:val="26"/>
          <w:szCs w:val="26"/>
          <w:rtl/>
        </w:rPr>
        <w:t xml:space="preserve"> </w:t>
      </w:r>
      <w:r>
        <w:rPr>
          <w:rFonts w:ascii="FrankRuehl" w:hAnsi="FrankRuehl" w:cs="FrankRuehl"/>
          <w:sz w:val="26"/>
          <w:szCs w:val="26"/>
          <w:rtl/>
        </w:rPr>
        <w:t>תשלומי סוף שנה עבור הוצאות נלוות לשכר.</w:t>
      </w:r>
    </w:p>
    <w:p w14:paraId="5C51695C" w14:textId="77777777" w:rsidR="00722DAA" w:rsidRDefault="00722DAA" w:rsidP="00722DAA">
      <w:pPr>
        <w:jc w:val="both"/>
        <w:rPr>
          <w:rFonts w:ascii="FrankRuehl" w:hAnsi="FrankRuehl" w:cs="FrankRuehl"/>
          <w:sz w:val="26"/>
          <w:szCs w:val="26"/>
          <w:rtl/>
        </w:rPr>
      </w:pPr>
    </w:p>
    <w:p w14:paraId="3A43CC15" w14:textId="77777777" w:rsidR="00722DAA" w:rsidRDefault="00722DAA" w:rsidP="00722DAA">
      <w:pPr>
        <w:jc w:val="both"/>
        <w:rPr>
          <w:rFonts w:ascii="FrankRuehl" w:hAnsi="FrankRuehl" w:cs="FrankRuehl"/>
          <w:b/>
          <w:bCs/>
          <w:sz w:val="26"/>
          <w:szCs w:val="26"/>
          <w:rtl/>
        </w:rPr>
      </w:pPr>
      <w:r>
        <w:rPr>
          <w:rFonts w:ascii="FrankRuehl" w:hAnsi="FrankRuehl" w:cs="FrankRuehl"/>
          <w:b/>
          <w:bCs/>
          <w:sz w:val="26"/>
          <w:szCs w:val="26"/>
          <w:rtl/>
        </w:rPr>
        <w:t>תכנית 07-80-02: קניות (משטרת ישראל) – 422,908 אלפי ש"ח בהוצאה</w:t>
      </w:r>
    </w:p>
    <w:p w14:paraId="55F91D6A" w14:textId="77777777" w:rsidR="00722DAA" w:rsidRDefault="00722DAA" w:rsidP="00722DAA">
      <w:pPr>
        <w:jc w:val="both"/>
        <w:rPr>
          <w:rFonts w:ascii="FrankRuehl" w:hAnsi="FrankRuehl" w:cs="FrankRuehl"/>
          <w:b/>
          <w:bCs/>
          <w:sz w:val="26"/>
          <w:szCs w:val="26"/>
        </w:rPr>
      </w:pPr>
      <w:r>
        <w:rPr>
          <w:rFonts w:ascii="FrankRuehl" w:hAnsi="FrankRuehl" w:cs="FrankRuehl"/>
          <w:b/>
          <w:bCs/>
          <w:sz w:val="26"/>
          <w:szCs w:val="26"/>
          <w:rtl/>
        </w:rPr>
        <w:t xml:space="preserve">תיאור </w:t>
      </w:r>
      <w:proofErr w:type="spellStart"/>
      <w:r>
        <w:rPr>
          <w:rFonts w:ascii="FrankRuehl" w:hAnsi="FrankRuehl" w:cs="FrankRuehl"/>
          <w:b/>
          <w:bCs/>
          <w:sz w:val="26"/>
          <w:szCs w:val="26"/>
          <w:rtl/>
        </w:rPr>
        <w:t>התכנית</w:t>
      </w:r>
      <w:proofErr w:type="spellEnd"/>
      <w:r>
        <w:rPr>
          <w:rFonts w:ascii="FrankRuehl" w:hAnsi="FrankRuehl" w:cs="FrankRuehl"/>
          <w:b/>
          <w:bCs/>
          <w:sz w:val="26"/>
          <w:szCs w:val="26"/>
          <w:rtl/>
        </w:rPr>
        <w:t xml:space="preserve">: </w:t>
      </w:r>
      <w:proofErr w:type="spellStart"/>
      <w:r>
        <w:rPr>
          <w:rFonts w:cs="FrankRuehl"/>
          <w:sz w:val="26"/>
          <w:szCs w:val="26"/>
          <w:rtl/>
        </w:rPr>
        <w:t>התכנית</w:t>
      </w:r>
      <w:proofErr w:type="spellEnd"/>
      <w:r>
        <w:rPr>
          <w:rFonts w:cs="FrankRuehl"/>
          <w:sz w:val="26"/>
          <w:szCs w:val="26"/>
          <w:rtl/>
        </w:rPr>
        <w:t xml:space="preserve"> כוללת את תקציב התפעול, הסעדה, מדים, הכשרות, אימונים, דלק, רכש ואחזקת כלי רכב בשימוש המשטרה. כמו כן תכנית זו מכילה את תקציב האחזקה והשיפוץ של מבנים בשימוש המשטרה ואחזקה של מערכים טכנולוגיים בשימוש המשטרה</w:t>
      </w:r>
      <w:r>
        <w:rPr>
          <w:rFonts w:ascii="FrankRuehl" w:hAnsi="FrankRuehl" w:cs="FrankRuehl"/>
          <w:b/>
          <w:bCs/>
          <w:sz w:val="26"/>
          <w:szCs w:val="26"/>
          <w:rtl/>
        </w:rPr>
        <w:t>.</w:t>
      </w:r>
    </w:p>
    <w:p w14:paraId="50EA58E7" w14:textId="77777777" w:rsidR="00722DAA" w:rsidRDefault="00722DAA" w:rsidP="00722DAA">
      <w:pPr>
        <w:jc w:val="both"/>
        <w:rPr>
          <w:rFonts w:ascii="FrankRuehl" w:hAnsi="FrankRuehl" w:cs="FrankRuehl"/>
          <w:b/>
          <w:bCs/>
          <w:sz w:val="26"/>
          <w:szCs w:val="26"/>
          <w:rtl/>
        </w:rPr>
      </w:pPr>
      <w:r>
        <w:rPr>
          <w:rFonts w:ascii="FrankRuehl" w:hAnsi="FrankRuehl" w:cs="FrankRuehl"/>
          <w:b/>
          <w:bCs/>
          <w:sz w:val="26"/>
          <w:szCs w:val="26"/>
          <w:rtl/>
        </w:rPr>
        <w:t xml:space="preserve">סיבות מרכזיות בגינן נוצרו עודפים </w:t>
      </w:r>
      <w:proofErr w:type="spellStart"/>
      <w:r>
        <w:rPr>
          <w:rFonts w:ascii="FrankRuehl" w:hAnsi="FrankRuehl" w:cs="FrankRuehl"/>
          <w:b/>
          <w:bCs/>
          <w:sz w:val="26"/>
          <w:szCs w:val="26"/>
          <w:rtl/>
        </w:rPr>
        <w:t>בתכנית</w:t>
      </w:r>
      <w:proofErr w:type="spellEnd"/>
      <w:r>
        <w:rPr>
          <w:rFonts w:ascii="FrankRuehl" w:hAnsi="FrankRuehl" w:cs="FrankRuehl"/>
          <w:b/>
          <w:bCs/>
          <w:sz w:val="26"/>
          <w:szCs w:val="26"/>
          <w:rtl/>
        </w:rPr>
        <w:t xml:space="preserve">: </w:t>
      </w:r>
      <w:r>
        <w:rPr>
          <w:rFonts w:ascii="FrankRuehl" w:hAnsi="FrankRuehl" w:cs="FrankRuehl"/>
          <w:sz w:val="26"/>
          <w:szCs w:val="26"/>
          <w:rtl/>
        </w:rPr>
        <w:t>העודפים נוצרו בגין התחייבויות חוצות שנה בתחומי הרכש והתפעול השוטף וכן בגין הוצאות התעצמות: רכש כלי רכב, רכב מבצעי ומנהלי ומרכיבי ביטחון.</w:t>
      </w:r>
    </w:p>
    <w:p w14:paraId="49617740" w14:textId="77777777" w:rsidR="00722DAA" w:rsidRDefault="00722DAA" w:rsidP="00722DAA">
      <w:pPr>
        <w:jc w:val="both"/>
        <w:rPr>
          <w:rFonts w:ascii="FrankRuehl" w:hAnsi="FrankRuehl" w:cs="FrankRuehl"/>
          <w:b/>
          <w:bCs/>
          <w:sz w:val="26"/>
          <w:szCs w:val="26"/>
          <w:rtl/>
        </w:rPr>
      </w:pPr>
    </w:p>
    <w:p w14:paraId="3B28AA37" w14:textId="77777777" w:rsidR="00722DAA" w:rsidRDefault="00722DAA" w:rsidP="00722DAA">
      <w:pPr>
        <w:jc w:val="both"/>
        <w:rPr>
          <w:rFonts w:ascii="FrankRuehl" w:hAnsi="FrankRuehl" w:cs="FrankRuehl"/>
          <w:b/>
          <w:bCs/>
          <w:sz w:val="26"/>
          <w:szCs w:val="26"/>
        </w:rPr>
      </w:pPr>
      <w:r>
        <w:rPr>
          <w:rFonts w:ascii="FrankRuehl" w:hAnsi="FrankRuehl" w:cs="FrankRuehl"/>
          <w:b/>
          <w:bCs/>
          <w:sz w:val="26"/>
          <w:szCs w:val="26"/>
          <w:rtl/>
        </w:rPr>
        <w:t xml:space="preserve">תכנית 07-80-03: רכישת שירותי </w:t>
      </w:r>
      <w:proofErr w:type="spellStart"/>
      <w:r>
        <w:rPr>
          <w:rFonts w:ascii="FrankRuehl" w:hAnsi="FrankRuehl" w:cs="FrankRuehl"/>
          <w:b/>
          <w:bCs/>
          <w:sz w:val="26"/>
          <w:szCs w:val="26"/>
          <w:rtl/>
        </w:rPr>
        <w:t>כח</w:t>
      </w:r>
      <w:proofErr w:type="spellEnd"/>
      <w:r>
        <w:rPr>
          <w:rFonts w:ascii="FrankRuehl" w:hAnsi="FrankRuehl" w:cs="FrankRuehl"/>
          <w:b/>
          <w:bCs/>
          <w:sz w:val="26"/>
          <w:szCs w:val="26"/>
          <w:rtl/>
        </w:rPr>
        <w:t xml:space="preserve"> אדם (משטרת ישראל) – 15,178 אלפי ש"ח בהוצאה</w:t>
      </w:r>
    </w:p>
    <w:p w14:paraId="2216E343" w14:textId="77777777" w:rsidR="00722DAA" w:rsidRDefault="00722DAA" w:rsidP="00722DAA">
      <w:pPr>
        <w:jc w:val="both"/>
        <w:rPr>
          <w:rFonts w:ascii="FrankRuehl" w:hAnsi="FrankRuehl" w:cs="FrankRuehl"/>
          <w:b/>
          <w:bCs/>
          <w:sz w:val="26"/>
          <w:szCs w:val="26"/>
        </w:rPr>
      </w:pPr>
      <w:r>
        <w:rPr>
          <w:rFonts w:ascii="FrankRuehl" w:hAnsi="FrankRuehl" w:cs="FrankRuehl"/>
          <w:b/>
          <w:bCs/>
          <w:sz w:val="26"/>
          <w:szCs w:val="26"/>
          <w:rtl/>
        </w:rPr>
        <w:t xml:space="preserve">תיאור </w:t>
      </w:r>
      <w:proofErr w:type="spellStart"/>
      <w:r>
        <w:rPr>
          <w:rFonts w:ascii="FrankRuehl" w:hAnsi="FrankRuehl" w:cs="FrankRuehl"/>
          <w:b/>
          <w:bCs/>
          <w:sz w:val="26"/>
          <w:szCs w:val="26"/>
          <w:rtl/>
        </w:rPr>
        <w:t>התכנית</w:t>
      </w:r>
      <w:proofErr w:type="spellEnd"/>
      <w:r>
        <w:rPr>
          <w:rFonts w:ascii="FrankRuehl" w:hAnsi="FrankRuehl" w:cs="FrankRuehl"/>
          <w:b/>
          <w:bCs/>
          <w:sz w:val="26"/>
          <w:szCs w:val="26"/>
          <w:rtl/>
        </w:rPr>
        <w:t xml:space="preserve">: </w:t>
      </w:r>
      <w:proofErr w:type="spellStart"/>
      <w:r>
        <w:rPr>
          <w:rFonts w:ascii="David" w:hAnsi="David" w:cs="FrankRuehl"/>
          <w:sz w:val="26"/>
          <w:szCs w:val="26"/>
          <w:rtl/>
        </w:rPr>
        <w:t>התכנית</w:t>
      </w:r>
      <w:proofErr w:type="spellEnd"/>
      <w:r>
        <w:rPr>
          <w:rFonts w:ascii="David" w:hAnsi="David" w:cs="FrankRuehl"/>
          <w:sz w:val="26"/>
          <w:szCs w:val="26"/>
          <w:rtl/>
        </w:rPr>
        <w:t xml:space="preserve"> כולל את תקציב האבטחה על מוסדות החינוך באמצעות מיקור חוץ לגורמי אבטחה שאינם שוטרים וכן את תקציבי שירותי האבטחה לעוטף ירושלים.</w:t>
      </w:r>
    </w:p>
    <w:p w14:paraId="63194EAA" w14:textId="77777777" w:rsidR="00722DAA" w:rsidRDefault="00722DAA" w:rsidP="00722DAA">
      <w:pPr>
        <w:jc w:val="both"/>
        <w:rPr>
          <w:rFonts w:ascii="FrankRuehl" w:hAnsi="FrankRuehl" w:cs="FrankRuehl"/>
          <w:b/>
          <w:bCs/>
          <w:sz w:val="26"/>
          <w:szCs w:val="26"/>
          <w:rtl/>
        </w:rPr>
      </w:pPr>
      <w:r>
        <w:rPr>
          <w:rFonts w:ascii="FrankRuehl" w:hAnsi="FrankRuehl" w:cs="FrankRuehl"/>
          <w:b/>
          <w:bCs/>
          <w:sz w:val="26"/>
          <w:szCs w:val="26"/>
          <w:rtl/>
        </w:rPr>
        <w:t xml:space="preserve">סיבות מרכזיות בגינן נוצרו עודפים </w:t>
      </w:r>
      <w:proofErr w:type="spellStart"/>
      <w:r>
        <w:rPr>
          <w:rFonts w:ascii="FrankRuehl" w:hAnsi="FrankRuehl" w:cs="FrankRuehl"/>
          <w:b/>
          <w:bCs/>
          <w:sz w:val="26"/>
          <w:szCs w:val="26"/>
          <w:rtl/>
        </w:rPr>
        <w:t>בתכנית</w:t>
      </w:r>
      <w:proofErr w:type="spellEnd"/>
      <w:r>
        <w:rPr>
          <w:rFonts w:ascii="FrankRuehl" w:hAnsi="FrankRuehl" w:cs="FrankRuehl"/>
          <w:b/>
          <w:bCs/>
          <w:sz w:val="26"/>
          <w:szCs w:val="26"/>
          <w:rtl/>
        </w:rPr>
        <w:t xml:space="preserve">: </w:t>
      </w:r>
      <w:r>
        <w:rPr>
          <w:rFonts w:ascii="FrankRuehl" w:hAnsi="FrankRuehl" w:cs="FrankRuehl"/>
          <w:sz w:val="26"/>
          <w:szCs w:val="26"/>
          <w:rtl/>
        </w:rPr>
        <w:t>העודפים נוצרו בגין</w:t>
      </w:r>
      <w:r>
        <w:rPr>
          <w:rFonts w:cs="FrankRuehl"/>
          <w:sz w:val="26"/>
          <w:szCs w:val="26"/>
          <w:rtl/>
        </w:rPr>
        <w:t xml:space="preserve"> </w:t>
      </w:r>
      <w:r>
        <w:rPr>
          <w:rFonts w:ascii="FrankRuehl" w:hAnsi="FrankRuehl" w:cs="FrankRuehl"/>
          <w:sz w:val="26"/>
          <w:szCs w:val="26"/>
          <w:rtl/>
        </w:rPr>
        <w:t>תשלומי סוף שנה עבור שירותי אבטחה וטכנולוגיה שמבוצעים דרך הזמנות בדומה לרכש.</w:t>
      </w:r>
    </w:p>
    <w:p w14:paraId="49CFA88D" w14:textId="77777777" w:rsidR="007332A2" w:rsidRPr="000A3FA0" w:rsidRDefault="007332A2" w:rsidP="00722DAA">
      <w:pPr>
        <w:jc w:val="both"/>
        <w:rPr>
          <w:rFonts w:cs="FrankRuehl"/>
          <w:sz w:val="26"/>
          <w:szCs w:val="26"/>
          <w:rtl/>
        </w:rPr>
      </w:pPr>
    </w:p>
    <w:p w14:paraId="3E81FDF8" w14:textId="77777777" w:rsidR="0051496B" w:rsidRPr="000A3FA0" w:rsidRDefault="0051496B" w:rsidP="00722DAA">
      <w:pPr>
        <w:jc w:val="both"/>
        <w:rPr>
          <w:rFonts w:cs="FrankRuehl"/>
          <w:sz w:val="26"/>
          <w:szCs w:val="26"/>
          <w:rtl/>
        </w:rPr>
      </w:pPr>
      <w:r w:rsidRPr="000A3FA0">
        <w:rPr>
          <w:rFonts w:cs="FrankRuehl"/>
          <w:sz w:val="26"/>
          <w:szCs w:val="26"/>
          <w:rtl/>
        </w:rPr>
        <w:t>האישור ייכנס לתקפו, אם לא יעוכב ע"י ועדת הכספים של הכנסת, לאחר 21 יום מתאריך מכתב זה.</w:t>
      </w:r>
    </w:p>
    <w:p w14:paraId="1BF8D748" w14:textId="77777777" w:rsidR="0051496B" w:rsidRPr="000A3FA0" w:rsidRDefault="0051496B" w:rsidP="00A6761F">
      <w:pPr>
        <w:jc w:val="both"/>
        <w:rPr>
          <w:rFonts w:cs="FrankRuehl"/>
          <w:sz w:val="26"/>
          <w:szCs w:val="26"/>
          <w:rtl/>
        </w:rPr>
      </w:pPr>
    </w:p>
    <w:p w14:paraId="3467A3DF" w14:textId="77777777" w:rsidR="0051496B" w:rsidRPr="000A3FA0" w:rsidRDefault="0051496B" w:rsidP="00A6761F">
      <w:pPr>
        <w:jc w:val="both"/>
        <w:rPr>
          <w:rFonts w:cs="FrankRuehl"/>
          <w:sz w:val="26"/>
          <w:szCs w:val="26"/>
          <w:rtl/>
        </w:rPr>
      </w:pPr>
    </w:p>
    <w:p w14:paraId="07067D21" w14:textId="77777777" w:rsidR="0051496B" w:rsidRPr="000A3FA0" w:rsidRDefault="0051496B" w:rsidP="00AC0FB8">
      <w:pPr>
        <w:tabs>
          <w:tab w:val="left" w:pos="6416"/>
          <w:tab w:val="center" w:pos="6867"/>
        </w:tabs>
        <w:rPr>
          <w:rFonts w:cs="FrankRuehl"/>
          <w:sz w:val="26"/>
          <w:szCs w:val="26"/>
          <w:rtl/>
        </w:rPr>
      </w:pPr>
      <w:r w:rsidRPr="000A3FA0">
        <w:rPr>
          <w:rFonts w:cs="FrankRuehl"/>
          <w:sz w:val="26"/>
          <w:szCs w:val="26"/>
          <w:rtl/>
        </w:rPr>
        <w:tab/>
      </w:r>
      <w:r w:rsidR="00AC0FB8">
        <w:rPr>
          <w:rFonts w:cs="FrankRuehl"/>
          <w:sz w:val="26"/>
          <w:szCs w:val="26"/>
          <w:rtl/>
        </w:rPr>
        <w:tab/>
      </w:r>
      <w:r w:rsidRPr="000A3FA0">
        <w:rPr>
          <w:rFonts w:cs="FrankRuehl"/>
          <w:sz w:val="26"/>
          <w:szCs w:val="26"/>
          <w:rtl/>
        </w:rPr>
        <w:t>בכבוד רב,</w:t>
      </w:r>
    </w:p>
    <w:p w14:paraId="1EFB09AC" w14:textId="77777777" w:rsidR="0051496B" w:rsidRDefault="0051496B">
      <w:pPr>
        <w:tabs>
          <w:tab w:val="center" w:pos="6867"/>
        </w:tabs>
        <w:rPr>
          <w:rFonts w:cs="FrankRuehl"/>
          <w:sz w:val="26"/>
          <w:szCs w:val="26"/>
          <w:rtl/>
        </w:rPr>
      </w:pPr>
    </w:p>
    <w:p w14:paraId="1FAEC52E" w14:textId="77777777" w:rsidR="00AC0FB8" w:rsidRPr="000A3FA0" w:rsidRDefault="00AC0FB8">
      <w:pPr>
        <w:tabs>
          <w:tab w:val="center" w:pos="6867"/>
        </w:tabs>
        <w:rPr>
          <w:rFonts w:cs="FrankRuehl"/>
          <w:sz w:val="26"/>
          <w:szCs w:val="26"/>
        </w:rPr>
      </w:pPr>
      <w:r>
        <w:rPr>
          <w:rFonts w:cs="FrankRuehl"/>
          <w:sz w:val="26"/>
          <w:szCs w:val="26"/>
          <w:rtl/>
        </w:rPr>
        <w:tab/>
      </w:r>
      <w:bookmarkStart w:id="11" w:name="Sign_Image"/>
      <w:bookmarkEnd w:id="11"/>
    </w:p>
    <w:p w14:paraId="0ECF4A4F" w14:textId="77777777" w:rsidR="0051496B" w:rsidRPr="000A3FA0" w:rsidRDefault="0051496B">
      <w:pPr>
        <w:tabs>
          <w:tab w:val="center" w:pos="6867"/>
        </w:tabs>
        <w:rPr>
          <w:rFonts w:cs="FrankRuehl"/>
          <w:sz w:val="26"/>
          <w:szCs w:val="26"/>
          <w:rtl/>
        </w:rPr>
      </w:pPr>
    </w:p>
    <w:p w14:paraId="41626EF3" w14:textId="77777777" w:rsidR="0051496B" w:rsidRPr="000A3FA0" w:rsidRDefault="0051496B">
      <w:pPr>
        <w:tabs>
          <w:tab w:val="center" w:pos="6867"/>
        </w:tabs>
        <w:rPr>
          <w:rFonts w:cs="FrankRuehl"/>
          <w:sz w:val="26"/>
          <w:szCs w:val="26"/>
        </w:rPr>
      </w:pPr>
      <w:r w:rsidRPr="000A3FA0">
        <w:rPr>
          <w:rFonts w:cs="FrankRuehl"/>
          <w:sz w:val="26"/>
          <w:szCs w:val="26"/>
          <w:rtl/>
        </w:rPr>
        <w:tab/>
      </w:r>
    </w:p>
    <w:p w14:paraId="7847273B" w14:textId="77777777" w:rsidR="0051496B" w:rsidRPr="000A3FA0" w:rsidRDefault="0051496B" w:rsidP="000062C3">
      <w:pPr>
        <w:tabs>
          <w:tab w:val="center" w:pos="6867"/>
        </w:tabs>
        <w:rPr>
          <w:rFonts w:cs="FrankRuehl"/>
          <w:sz w:val="26"/>
          <w:szCs w:val="26"/>
          <w:rtl/>
        </w:rPr>
      </w:pPr>
      <w:r w:rsidRPr="000A3FA0">
        <w:rPr>
          <w:rFonts w:cs="FrankRuehl"/>
          <w:sz w:val="26"/>
          <w:szCs w:val="26"/>
          <w:rtl/>
        </w:rPr>
        <w:tab/>
      </w:r>
    </w:p>
    <w:p w14:paraId="5CB90329" w14:textId="77777777" w:rsidR="0051496B" w:rsidRPr="000A3FA0" w:rsidRDefault="0051496B">
      <w:pPr>
        <w:rPr>
          <w:rFonts w:cs="FrankRuehl"/>
          <w:sz w:val="26"/>
          <w:szCs w:val="26"/>
          <w:rtl/>
        </w:rPr>
      </w:pPr>
    </w:p>
    <w:p w14:paraId="40BB1822" w14:textId="77777777" w:rsidR="0051496B" w:rsidRPr="000A3FA0" w:rsidRDefault="0051496B">
      <w:pPr>
        <w:rPr>
          <w:rFonts w:cs="FrankRuehl"/>
          <w:sz w:val="26"/>
          <w:szCs w:val="26"/>
          <w:rtl/>
        </w:rPr>
      </w:pPr>
      <w:r w:rsidRPr="000A3FA0">
        <w:rPr>
          <w:rFonts w:cs="FrankRuehl"/>
          <w:sz w:val="26"/>
          <w:szCs w:val="26"/>
          <w:rtl/>
        </w:rPr>
        <w:t>העתק:</w:t>
      </w:r>
    </w:p>
    <w:p w14:paraId="64999AD4" w14:textId="77777777" w:rsidR="0051496B" w:rsidRPr="000A3FA0" w:rsidRDefault="0051496B">
      <w:pPr>
        <w:rPr>
          <w:rFonts w:cs="FrankRuehl"/>
          <w:sz w:val="26"/>
          <w:szCs w:val="26"/>
          <w:rtl/>
        </w:rPr>
      </w:pPr>
      <w:r w:rsidRPr="000A3FA0">
        <w:rPr>
          <w:rFonts w:cs="FrankRuehl"/>
          <w:sz w:val="26"/>
          <w:szCs w:val="26"/>
          <w:rtl/>
        </w:rPr>
        <w:t>החשב הכללי</w:t>
      </w:r>
    </w:p>
    <w:p w14:paraId="73D5A5FB" w14:textId="77777777" w:rsidR="0051496B" w:rsidRPr="000A3FA0" w:rsidRDefault="0051496B">
      <w:pPr>
        <w:rPr>
          <w:rFonts w:cs="FrankRuehl"/>
          <w:sz w:val="26"/>
          <w:szCs w:val="26"/>
          <w:rtl/>
        </w:rPr>
      </w:pPr>
      <w:r w:rsidRPr="000A3FA0">
        <w:rPr>
          <w:rFonts w:cs="FrankRuehl"/>
          <w:sz w:val="26"/>
          <w:szCs w:val="26"/>
          <w:rtl/>
        </w:rPr>
        <w:t>מבקר המדינה (2)</w:t>
      </w:r>
    </w:p>
    <w:p w14:paraId="32450703" w14:textId="77777777" w:rsidR="005B39B4" w:rsidRDefault="005B39B4">
      <w:pPr>
        <w:rPr>
          <w:rFonts w:cs="FrankRuehl"/>
          <w:sz w:val="26"/>
          <w:szCs w:val="26"/>
          <w:rtl/>
        </w:rPr>
      </w:pPr>
      <w:bookmarkStart w:id="12" w:name="TAKZIV22"/>
      <w:r>
        <w:rPr>
          <w:rFonts w:cs="FrankRuehl"/>
          <w:sz w:val="26"/>
          <w:szCs w:val="26"/>
          <w:rtl/>
        </w:rPr>
        <w:t xml:space="preserve">חשב המשרד </w:t>
      </w:r>
      <w:proofErr w:type="spellStart"/>
      <w:r>
        <w:rPr>
          <w:rFonts w:cs="FrankRuehl"/>
          <w:sz w:val="26"/>
          <w:szCs w:val="26"/>
          <w:rtl/>
        </w:rPr>
        <w:t>לבטחון</w:t>
      </w:r>
      <w:proofErr w:type="spellEnd"/>
      <w:r>
        <w:rPr>
          <w:rFonts w:cs="FrankRuehl"/>
          <w:sz w:val="26"/>
          <w:szCs w:val="26"/>
          <w:rtl/>
        </w:rPr>
        <w:t xml:space="preserve"> פנים</w:t>
      </w:r>
    </w:p>
    <w:p w14:paraId="0E20C8DB" w14:textId="77777777" w:rsidR="005B39B4" w:rsidRDefault="005B39B4">
      <w:pPr>
        <w:rPr>
          <w:rFonts w:cs="FrankRuehl"/>
          <w:sz w:val="26"/>
          <w:szCs w:val="26"/>
          <w:rtl/>
        </w:rPr>
      </w:pPr>
      <w:r>
        <w:rPr>
          <w:rFonts w:cs="FrankRuehl"/>
          <w:sz w:val="26"/>
          <w:szCs w:val="26"/>
          <w:rtl/>
        </w:rPr>
        <w:lastRenderedPageBreak/>
        <w:t>חשב משטרת ישראל</w:t>
      </w:r>
    </w:p>
    <w:p w14:paraId="664D8EC2" w14:textId="43A8BF04" w:rsidR="0051496B" w:rsidRPr="000A3FA0" w:rsidRDefault="005B39B4">
      <w:pPr>
        <w:rPr>
          <w:rFonts w:cs="FrankRuehl"/>
          <w:sz w:val="26"/>
          <w:szCs w:val="26"/>
          <w:rtl/>
        </w:rPr>
      </w:pPr>
      <w:r>
        <w:rPr>
          <w:rFonts w:cs="FrankRuehl"/>
          <w:sz w:val="26"/>
          <w:szCs w:val="26"/>
          <w:rtl/>
        </w:rPr>
        <w:t>חשב שרות בתי הסוהר</w:t>
      </w:r>
      <w:bookmarkEnd w:id="12"/>
    </w:p>
    <w:p w14:paraId="486A9CFD" w14:textId="6E90A527" w:rsidR="0051496B" w:rsidRPr="000A3FA0" w:rsidRDefault="0051496B">
      <w:pPr>
        <w:rPr>
          <w:rFonts w:cs="FrankRuehl"/>
          <w:sz w:val="26"/>
          <w:szCs w:val="26"/>
          <w:rtl/>
        </w:rPr>
      </w:pPr>
      <w:r w:rsidRPr="000A3FA0">
        <w:rPr>
          <w:rFonts w:cs="FrankRuehl"/>
          <w:sz w:val="26"/>
          <w:szCs w:val="26"/>
          <w:rtl/>
        </w:rPr>
        <w:t xml:space="preserve">קצין תקציבים </w:t>
      </w:r>
      <w:bookmarkStart w:id="13" w:name="TAKZIV6"/>
      <w:r w:rsidR="005B39B4">
        <w:rPr>
          <w:rFonts w:cs="FrankRuehl"/>
          <w:sz w:val="26"/>
          <w:szCs w:val="26"/>
          <w:rtl/>
        </w:rPr>
        <w:t>המשרד לביטחון לאומי</w:t>
      </w:r>
      <w:bookmarkEnd w:id="13"/>
    </w:p>
    <w:p w14:paraId="3D15810F" w14:textId="3E1CB943" w:rsidR="0051496B" w:rsidRPr="000A3FA0" w:rsidRDefault="0051496B">
      <w:pPr>
        <w:rPr>
          <w:rFonts w:cs="FrankRuehl"/>
          <w:sz w:val="26"/>
          <w:szCs w:val="26"/>
          <w:rtl/>
        </w:rPr>
      </w:pPr>
      <w:r w:rsidRPr="000A3FA0">
        <w:rPr>
          <w:rFonts w:cs="FrankRuehl"/>
          <w:sz w:val="26"/>
          <w:szCs w:val="26"/>
          <w:rtl/>
        </w:rPr>
        <w:t xml:space="preserve">רפרנט </w:t>
      </w:r>
      <w:bookmarkStart w:id="14" w:name="TAKZIV6_1"/>
      <w:r w:rsidR="005B39B4">
        <w:rPr>
          <w:rFonts w:cs="FrankRuehl"/>
          <w:sz w:val="26"/>
          <w:szCs w:val="26"/>
          <w:rtl/>
        </w:rPr>
        <w:t>המשרד לביטחון לאומי</w:t>
      </w:r>
      <w:bookmarkEnd w:id="14"/>
    </w:p>
    <w:p w14:paraId="7D04EC8B" w14:textId="77777777" w:rsidR="0051496B" w:rsidRPr="000A3FA0" w:rsidRDefault="0051496B">
      <w:pPr>
        <w:rPr>
          <w:rFonts w:cs="FrankRuehl"/>
          <w:sz w:val="26"/>
          <w:szCs w:val="26"/>
          <w:rtl/>
        </w:rPr>
      </w:pPr>
      <w:bookmarkStart w:id="15" w:name="TAKZIV23"/>
      <w:bookmarkEnd w:id="15"/>
    </w:p>
    <w:p w14:paraId="40F3975E" w14:textId="77777777" w:rsidR="0051496B" w:rsidRPr="000A3FA0" w:rsidRDefault="0051496B">
      <w:pPr>
        <w:rPr>
          <w:rFonts w:cs="FrankRuehl"/>
          <w:sz w:val="26"/>
          <w:szCs w:val="26"/>
          <w:rtl/>
        </w:rPr>
      </w:pPr>
    </w:p>
    <w:p w14:paraId="5C02C930" w14:textId="10A051F6" w:rsidR="0051496B" w:rsidRDefault="0051496B">
      <w:pPr>
        <w:rPr>
          <w:rFonts w:cs="FrankRuehl"/>
          <w:sz w:val="26"/>
          <w:szCs w:val="26"/>
          <w:rtl/>
        </w:rPr>
      </w:pPr>
      <w:bookmarkStart w:id="16" w:name="TAKZIV25"/>
      <w:bookmarkEnd w:id="16"/>
    </w:p>
    <w:p w14:paraId="7174FC91" w14:textId="300A3B57" w:rsidR="000B31B5" w:rsidRDefault="000B31B5">
      <w:pPr>
        <w:rPr>
          <w:rFonts w:cs="FrankRuehl"/>
          <w:sz w:val="26"/>
          <w:szCs w:val="26"/>
          <w:rtl/>
        </w:rPr>
      </w:pPr>
    </w:p>
    <w:p w14:paraId="13934B67" w14:textId="14C07D3F" w:rsidR="000B31B5" w:rsidRDefault="000B31B5">
      <w:pPr>
        <w:rPr>
          <w:rFonts w:cs="FrankRuehl"/>
          <w:sz w:val="26"/>
          <w:szCs w:val="26"/>
          <w:rtl/>
        </w:rPr>
      </w:pPr>
    </w:p>
    <w:p w14:paraId="379190A9" w14:textId="666774C4" w:rsidR="000B31B5" w:rsidRDefault="000B31B5">
      <w:pPr>
        <w:rPr>
          <w:rFonts w:cs="FrankRuehl"/>
          <w:sz w:val="26"/>
          <w:szCs w:val="26"/>
          <w:rtl/>
        </w:rPr>
      </w:pPr>
    </w:p>
    <w:p w14:paraId="29F76716" w14:textId="133A6F57" w:rsidR="000B31B5" w:rsidRDefault="000B31B5">
      <w:pPr>
        <w:rPr>
          <w:rFonts w:cs="FrankRuehl"/>
          <w:sz w:val="26"/>
          <w:szCs w:val="26"/>
          <w:rtl/>
        </w:rPr>
      </w:pPr>
    </w:p>
    <w:p w14:paraId="43CE26DC" w14:textId="56B59FFC" w:rsidR="000B31B5" w:rsidRDefault="000B31B5">
      <w:pPr>
        <w:rPr>
          <w:rFonts w:cs="FrankRuehl"/>
          <w:sz w:val="26"/>
          <w:szCs w:val="26"/>
          <w:rtl/>
        </w:rPr>
      </w:pPr>
    </w:p>
    <w:p w14:paraId="10C76D20" w14:textId="4DB231A7" w:rsidR="000B31B5" w:rsidRDefault="000B31B5">
      <w:pPr>
        <w:rPr>
          <w:rFonts w:cs="FrankRuehl"/>
          <w:sz w:val="26"/>
          <w:szCs w:val="26"/>
          <w:rtl/>
        </w:rPr>
      </w:pPr>
    </w:p>
    <w:p w14:paraId="4827A304" w14:textId="33A5B801" w:rsidR="000B31B5" w:rsidRDefault="000B31B5">
      <w:pPr>
        <w:rPr>
          <w:rFonts w:cs="FrankRuehl"/>
          <w:sz w:val="26"/>
          <w:szCs w:val="26"/>
          <w:rtl/>
        </w:rPr>
      </w:pPr>
    </w:p>
    <w:p w14:paraId="7790D940" w14:textId="0AEB52C1" w:rsidR="000B31B5" w:rsidRDefault="000B31B5">
      <w:pPr>
        <w:rPr>
          <w:rFonts w:cs="FrankRuehl"/>
          <w:sz w:val="26"/>
          <w:szCs w:val="26"/>
          <w:rtl/>
        </w:rPr>
      </w:pPr>
    </w:p>
    <w:p w14:paraId="00D27C2D" w14:textId="25F27775" w:rsidR="000B31B5" w:rsidRDefault="000B31B5">
      <w:pPr>
        <w:rPr>
          <w:rFonts w:cs="FrankRuehl"/>
          <w:sz w:val="26"/>
          <w:szCs w:val="26"/>
          <w:rtl/>
        </w:rPr>
      </w:pPr>
    </w:p>
    <w:p w14:paraId="61DD8451" w14:textId="0A2A0157" w:rsidR="000B31B5" w:rsidRDefault="000B31B5">
      <w:pPr>
        <w:rPr>
          <w:rFonts w:cs="FrankRuehl"/>
          <w:sz w:val="26"/>
          <w:szCs w:val="26"/>
          <w:rtl/>
        </w:rPr>
      </w:pPr>
    </w:p>
    <w:p w14:paraId="0882239A" w14:textId="039C78E1" w:rsidR="000B31B5" w:rsidRDefault="000B31B5">
      <w:pPr>
        <w:rPr>
          <w:rFonts w:cs="FrankRuehl"/>
          <w:sz w:val="26"/>
          <w:szCs w:val="26"/>
          <w:rtl/>
        </w:rPr>
      </w:pPr>
    </w:p>
    <w:p w14:paraId="24D6107A" w14:textId="4342EFC3" w:rsidR="000B31B5" w:rsidRDefault="000B31B5">
      <w:pPr>
        <w:rPr>
          <w:rFonts w:cs="FrankRuehl"/>
          <w:sz w:val="26"/>
          <w:szCs w:val="26"/>
          <w:rtl/>
        </w:rPr>
      </w:pPr>
    </w:p>
    <w:p w14:paraId="79F4E4B4" w14:textId="42F6B790" w:rsidR="000B31B5" w:rsidRDefault="000B31B5">
      <w:pPr>
        <w:rPr>
          <w:rFonts w:cs="FrankRuehl"/>
          <w:sz w:val="26"/>
          <w:szCs w:val="26"/>
          <w:rtl/>
        </w:rPr>
      </w:pPr>
    </w:p>
    <w:p w14:paraId="0DECF7FE" w14:textId="56F2753B" w:rsidR="000B31B5" w:rsidRDefault="000B31B5">
      <w:pPr>
        <w:rPr>
          <w:rFonts w:cs="FrankRuehl"/>
          <w:sz w:val="26"/>
          <w:szCs w:val="26"/>
          <w:rtl/>
        </w:rPr>
      </w:pPr>
    </w:p>
    <w:p w14:paraId="2E884DD9" w14:textId="3E1F4983" w:rsidR="000B31B5" w:rsidRDefault="000B31B5">
      <w:pPr>
        <w:rPr>
          <w:rFonts w:cs="FrankRuehl"/>
          <w:sz w:val="26"/>
          <w:szCs w:val="26"/>
          <w:rtl/>
        </w:rPr>
      </w:pPr>
    </w:p>
    <w:p w14:paraId="5153EB99" w14:textId="1B823197" w:rsidR="000B31B5" w:rsidRDefault="000B31B5">
      <w:pPr>
        <w:rPr>
          <w:rFonts w:cs="FrankRuehl"/>
          <w:sz w:val="26"/>
          <w:szCs w:val="26"/>
          <w:rtl/>
        </w:rPr>
      </w:pPr>
    </w:p>
    <w:p w14:paraId="6CB51BA2" w14:textId="7AF21560" w:rsidR="000B31B5" w:rsidRDefault="000B31B5">
      <w:pPr>
        <w:rPr>
          <w:rFonts w:cs="FrankRuehl"/>
          <w:sz w:val="26"/>
          <w:szCs w:val="26"/>
          <w:rtl/>
        </w:rPr>
      </w:pPr>
    </w:p>
    <w:p w14:paraId="342B0A13" w14:textId="722E3AAA" w:rsidR="000B31B5" w:rsidRDefault="000B31B5">
      <w:pPr>
        <w:rPr>
          <w:rFonts w:cs="FrankRuehl"/>
          <w:sz w:val="26"/>
          <w:szCs w:val="26"/>
          <w:rtl/>
        </w:rPr>
      </w:pPr>
    </w:p>
    <w:p w14:paraId="728D7BB3" w14:textId="38CF6A41" w:rsidR="000B31B5" w:rsidRDefault="000B31B5">
      <w:pPr>
        <w:rPr>
          <w:rFonts w:cs="FrankRuehl"/>
          <w:sz w:val="26"/>
          <w:szCs w:val="26"/>
          <w:rtl/>
        </w:rPr>
      </w:pPr>
    </w:p>
    <w:p w14:paraId="082C0C92" w14:textId="1CEADF0F" w:rsidR="000B31B5" w:rsidRDefault="000B31B5">
      <w:pPr>
        <w:rPr>
          <w:rFonts w:cs="FrankRuehl"/>
          <w:sz w:val="26"/>
          <w:szCs w:val="26"/>
          <w:rtl/>
        </w:rPr>
      </w:pPr>
    </w:p>
    <w:p w14:paraId="797C07C1" w14:textId="264277FE" w:rsidR="000B31B5" w:rsidRDefault="000B31B5">
      <w:pPr>
        <w:rPr>
          <w:rFonts w:cs="FrankRuehl"/>
          <w:sz w:val="26"/>
          <w:szCs w:val="26"/>
          <w:rtl/>
        </w:rPr>
      </w:pPr>
    </w:p>
    <w:p w14:paraId="5F020EEF" w14:textId="6D03C17C" w:rsidR="000B31B5" w:rsidRDefault="000B31B5">
      <w:pPr>
        <w:rPr>
          <w:rFonts w:cs="FrankRuehl"/>
          <w:sz w:val="26"/>
          <w:szCs w:val="26"/>
          <w:rtl/>
        </w:rPr>
      </w:pPr>
    </w:p>
    <w:p w14:paraId="4422AA02" w14:textId="00E0E13A" w:rsidR="000B31B5" w:rsidRDefault="000B31B5">
      <w:pPr>
        <w:rPr>
          <w:rFonts w:cs="FrankRuehl"/>
          <w:sz w:val="26"/>
          <w:szCs w:val="26"/>
          <w:rtl/>
        </w:rPr>
      </w:pPr>
    </w:p>
    <w:p w14:paraId="4E2D2105" w14:textId="3458AA70" w:rsidR="000B31B5" w:rsidRDefault="000B31B5">
      <w:pPr>
        <w:rPr>
          <w:rFonts w:cs="FrankRuehl"/>
          <w:sz w:val="26"/>
          <w:szCs w:val="26"/>
          <w:rtl/>
        </w:rPr>
      </w:pPr>
    </w:p>
    <w:p w14:paraId="488F6606" w14:textId="4049DE21" w:rsidR="000B31B5" w:rsidRDefault="000B31B5">
      <w:pPr>
        <w:rPr>
          <w:rFonts w:cs="FrankRuehl"/>
          <w:sz w:val="26"/>
          <w:szCs w:val="26"/>
          <w:rtl/>
        </w:rPr>
      </w:pPr>
    </w:p>
    <w:p w14:paraId="6CDB6BAE" w14:textId="38BEEE4B" w:rsidR="000B31B5" w:rsidRDefault="000B31B5">
      <w:pPr>
        <w:rPr>
          <w:rFonts w:cs="FrankRuehl"/>
          <w:sz w:val="26"/>
          <w:szCs w:val="26"/>
          <w:rtl/>
        </w:rPr>
      </w:pPr>
    </w:p>
    <w:p w14:paraId="0FC8854C" w14:textId="1AAE641E" w:rsidR="000B31B5" w:rsidRDefault="000B31B5">
      <w:pPr>
        <w:rPr>
          <w:rFonts w:cs="FrankRuehl"/>
          <w:sz w:val="26"/>
          <w:szCs w:val="26"/>
          <w:rtl/>
        </w:rPr>
      </w:pPr>
    </w:p>
    <w:p w14:paraId="2F438C85" w14:textId="4D7297F1" w:rsidR="000B31B5" w:rsidRDefault="000B31B5">
      <w:pPr>
        <w:rPr>
          <w:rFonts w:cs="FrankRuehl"/>
          <w:sz w:val="26"/>
          <w:szCs w:val="26"/>
          <w:rtl/>
        </w:rPr>
      </w:pPr>
    </w:p>
    <w:p w14:paraId="403BD949" w14:textId="530B8C1A" w:rsidR="000B31B5" w:rsidRDefault="000B31B5">
      <w:pPr>
        <w:rPr>
          <w:rFonts w:cs="FrankRuehl"/>
          <w:sz w:val="26"/>
          <w:szCs w:val="26"/>
          <w:rtl/>
        </w:rPr>
      </w:pPr>
    </w:p>
    <w:p w14:paraId="7D0A9F54" w14:textId="1B8F4A36" w:rsidR="000B31B5" w:rsidRDefault="000B31B5">
      <w:pPr>
        <w:rPr>
          <w:rFonts w:cs="FrankRuehl"/>
          <w:sz w:val="26"/>
          <w:szCs w:val="26"/>
          <w:rtl/>
        </w:rPr>
      </w:pPr>
    </w:p>
    <w:p w14:paraId="631EB449" w14:textId="2BF736FA" w:rsidR="000B31B5" w:rsidRDefault="000B31B5">
      <w:pPr>
        <w:rPr>
          <w:rFonts w:cs="FrankRuehl"/>
          <w:sz w:val="26"/>
          <w:szCs w:val="26"/>
          <w:rtl/>
        </w:rPr>
      </w:pPr>
    </w:p>
    <w:p w14:paraId="4604E239" w14:textId="44677089" w:rsidR="000B31B5" w:rsidRDefault="000B31B5">
      <w:pPr>
        <w:rPr>
          <w:rFonts w:cs="FrankRuehl"/>
          <w:sz w:val="26"/>
          <w:szCs w:val="26"/>
          <w:rtl/>
        </w:rPr>
      </w:pPr>
    </w:p>
    <w:p w14:paraId="4F550AB7" w14:textId="0C88EB3F" w:rsidR="000B31B5" w:rsidRDefault="000B31B5">
      <w:pPr>
        <w:rPr>
          <w:rFonts w:cs="FrankRuehl"/>
          <w:sz w:val="26"/>
          <w:szCs w:val="26"/>
          <w:rtl/>
        </w:rPr>
      </w:pPr>
    </w:p>
    <w:p w14:paraId="7BB57E6A" w14:textId="7CBFA0FD" w:rsidR="000B31B5" w:rsidRDefault="000B31B5">
      <w:pPr>
        <w:rPr>
          <w:rFonts w:cs="FrankRuehl"/>
          <w:sz w:val="26"/>
          <w:szCs w:val="26"/>
          <w:rtl/>
        </w:rPr>
      </w:pPr>
    </w:p>
    <w:p w14:paraId="5E900D1C" w14:textId="5753C71C" w:rsidR="000B31B5" w:rsidRDefault="000B31B5">
      <w:pPr>
        <w:rPr>
          <w:rFonts w:cs="FrankRuehl"/>
          <w:sz w:val="26"/>
          <w:szCs w:val="26"/>
          <w:rtl/>
        </w:rPr>
      </w:pPr>
    </w:p>
    <w:p w14:paraId="440A5224" w14:textId="5AFE082B" w:rsidR="000B31B5" w:rsidRDefault="000B31B5">
      <w:pPr>
        <w:rPr>
          <w:rFonts w:cs="FrankRuehl"/>
          <w:sz w:val="26"/>
          <w:szCs w:val="26"/>
          <w:rtl/>
        </w:rPr>
      </w:pPr>
    </w:p>
    <w:p w14:paraId="5E8C3256" w14:textId="4373E97B" w:rsidR="000B31B5" w:rsidRDefault="000B31B5">
      <w:pPr>
        <w:rPr>
          <w:rFonts w:cs="FrankRuehl"/>
          <w:sz w:val="26"/>
          <w:szCs w:val="26"/>
          <w:rtl/>
        </w:rPr>
      </w:pPr>
    </w:p>
    <w:p w14:paraId="50D0DE29" w14:textId="77E7B9DC" w:rsidR="000B31B5" w:rsidRDefault="000B31B5">
      <w:pPr>
        <w:rPr>
          <w:rFonts w:cs="FrankRuehl"/>
          <w:sz w:val="26"/>
          <w:szCs w:val="26"/>
          <w:rtl/>
        </w:rPr>
      </w:pPr>
    </w:p>
    <w:p w14:paraId="0FD22D81" w14:textId="0D2855A7" w:rsidR="000B31B5" w:rsidRDefault="000B31B5">
      <w:pPr>
        <w:rPr>
          <w:rFonts w:cs="FrankRuehl"/>
          <w:sz w:val="26"/>
          <w:szCs w:val="26"/>
          <w:rtl/>
        </w:rPr>
      </w:pPr>
    </w:p>
    <w:p w14:paraId="5F6AAC73" w14:textId="1A66AE3E" w:rsidR="000B31B5" w:rsidRDefault="000B31B5">
      <w:pPr>
        <w:rPr>
          <w:rFonts w:cs="FrankRuehl"/>
          <w:sz w:val="26"/>
          <w:szCs w:val="26"/>
          <w:rtl/>
        </w:rPr>
      </w:pPr>
    </w:p>
    <w:p w14:paraId="70373AAA" w14:textId="11D28A2A" w:rsidR="000B31B5" w:rsidRDefault="000B31B5">
      <w:pPr>
        <w:rPr>
          <w:rFonts w:cs="FrankRuehl"/>
          <w:sz w:val="26"/>
          <w:szCs w:val="26"/>
          <w:rtl/>
        </w:rPr>
      </w:pPr>
    </w:p>
    <w:p w14:paraId="550B3138" w14:textId="296C0185" w:rsidR="000B31B5" w:rsidRDefault="000B31B5">
      <w:pPr>
        <w:rPr>
          <w:rFonts w:cs="FrankRuehl"/>
          <w:sz w:val="26"/>
          <w:szCs w:val="26"/>
          <w:rtl/>
        </w:rPr>
      </w:pPr>
    </w:p>
    <w:p w14:paraId="2F830C6E" w14:textId="5180ABE1" w:rsidR="000B31B5" w:rsidRDefault="000B31B5">
      <w:pPr>
        <w:rPr>
          <w:rFonts w:cs="FrankRuehl"/>
          <w:sz w:val="26"/>
          <w:szCs w:val="26"/>
          <w:rtl/>
        </w:rPr>
      </w:pPr>
    </w:p>
    <w:p w14:paraId="504EC15C" w14:textId="785CD277" w:rsidR="000B31B5" w:rsidRDefault="000B31B5">
      <w:pPr>
        <w:rPr>
          <w:rFonts w:cs="FrankRuehl"/>
          <w:sz w:val="26"/>
          <w:szCs w:val="26"/>
          <w:rtl/>
        </w:rPr>
      </w:pPr>
    </w:p>
    <w:p w14:paraId="1C031C97" w14:textId="3E6C7BFC" w:rsidR="000B31B5" w:rsidRDefault="000B31B5">
      <w:pPr>
        <w:rPr>
          <w:rFonts w:cs="FrankRuehl"/>
          <w:sz w:val="26"/>
          <w:szCs w:val="26"/>
          <w:rtl/>
        </w:rPr>
      </w:pPr>
    </w:p>
    <w:p w14:paraId="07C981C8" w14:textId="77777777" w:rsidR="000B31B5" w:rsidRDefault="000B31B5" w:rsidP="000B31B5">
      <w:pPr>
        <w:jc w:val="center"/>
        <w:rPr>
          <w:rFonts w:cs="FrankRuehl"/>
          <w:b/>
          <w:bCs/>
          <w:sz w:val="26"/>
          <w:szCs w:val="26"/>
          <w:u w:val="single"/>
          <w:lang w:eastAsia="en-US"/>
        </w:rPr>
      </w:pPr>
      <w:r>
        <w:rPr>
          <w:rFonts w:cs="FrankRuehl"/>
          <w:b/>
          <w:bCs/>
          <w:sz w:val="26"/>
          <w:szCs w:val="26"/>
          <w:u w:val="single"/>
          <w:rtl/>
        </w:rPr>
        <w:lastRenderedPageBreak/>
        <w:t>נספח לדברי ההסבר</w:t>
      </w:r>
    </w:p>
    <w:p w14:paraId="5884974B" w14:textId="77777777" w:rsidR="000B31B5" w:rsidRDefault="000B31B5" w:rsidP="000B31B5">
      <w:pPr>
        <w:jc w:val="center"/>
        <w:rPr>
          <w:rFonts w:cs="FrankRuehl"/>
          <w:b/>
          <w:bCs/>
          <w:sz w:val="26"/>
          <w:szCs w:val="26"/>
          <w:u w:val="single"/>
        </w:rPr>
      </w:pPr>
    </w:p>
    <w:p w14:paraId="71ACF694" w14:textId="77777777" w:rsidR="000B31B5" w:rsidRDefault="000B31B5" w:rsidP="000B31B5">
      <w:pPr>
        <w:jc w:val="center"/>
        <w:rPr>
          <w:rFonts w:cs="FrankRuehl"/>
          <w:b/>
          <w:bCs/>
          <w:sz w:val="26"/>
          <w:szCs w:val="26"/>
          <w:rtl/>
        </w:rPr>
      </w:pPr>
      <w:r>
        <w:rPr>
          <w:rFonts w:cs="FrankRuehl"/>
          <w:b/>
          <w:bCs/>
          <w:sz w:val="26"/>
          <w:szCs w:val="26"/>
          <w:rtl/>
        </w:rPr>
        <w:t>היסטוריה תקציבית של הפנייה</w:t>
      </w:r>
    </w:p>
    <w:p w14:paraId="0C62A854" w14:textId="3FE05464" w:rsidR="000B31B5" w:rsidRDefault="000B31B5">
      <w:pPr>
        <w:rPr>
          <w:rFonts w:cs="FrankRuehl"/>
          <w:sz w:val="26"/>
          <w:szCs w:val="26"/>
          <w:rtl/>
        </w:rPr>
      </w:pPr>
    </w:p>
    <w:tbl>
      <w:tblPr>
        <w:tblW w:w="5000" w:type="pct"/>
        <w:tblLook w:val="04A0" w:firstRow="1" w:lastRow="0" w:firstColumn="1" w:lastColumn="0" w:noHBand="0" w:noVBand="1"/>
      </w:tblPr>
      <w:tblGrid>
        <w:gridCol w:w="1650"/>
        <w:gridCol w:w="1894"/>
        <w:gridCol w:w="1650"/>
        <w:gridCol w:w="1650"/>
        <w:gridCol w:w="1679"/>
      </w:tblGrid>
      <w:tr w:rsidR="000B31B5" w:rsidRPr="000B31B5" w14:paraId="77EB193B" w14:textId="77777777" w:rsidTr="000B31B5">
        <w:trPr>
          <w:trHeight w:val="675"/>
        </w:trPr>
        <w:tc>
          <w:tcPr>
            <w:tcW w:w="968" w:type="pct"/>
            <w:tcBorders>
              <w:top w:val="single" w:sz="4" w:space="0" w:color="979991"/>
              <w:left w:val="single" w:sz="4" w:space="0" w:color="979991"/>
              <w:bottom w:val="nil"/>
              <w:right w:val="nil"/>
            </w:tcBorders>
            <w:shd w:val="clear" w:color="000000" w:fill="F0F4FA"/>
            <w:vAlign w:val="center"/>
            <w:hideMark/>
          </w:tcPr>
          <w:p w14:paraId="7C6FD11F" w14:textId="77777777" w:rsidR="000B31B5" w:rsidRPr="000B31B5" w:rsidRDefault="000B31B5" w:rsidP="000B31B5">
            <w:pPr>
              <w:overflowPunct/>
              <w:autoSpaceDE/>
              <w:autoSpaceDN/>
              <w:adjustRightInd/>
              <w:jc w:val="center"/>
              <w:textAlignment w:val="auto"/>
              <w:rPr>
                <w:rFonts w:ascii="Calibri" w:hAnsi="Calibri" w:cs="Calibri"/>
                <w:b/>
                <w:bCs/>
                <w:color w:val="000000"/>
                <w:sz w:val="16"/>
                <w:szCs w:val="16"/>
                <w:lang w:eastAsia="en-US"/>
              </w:rPr>
            </w:pPr>
            <w:r w:rsidRPr="000B31B5">
              <w:rPr>
                <w:rFonts w:ascii="Calibri" w:hAnsi="Calibri" w:cs="Calibri"/>
                <w:b/>
                <w:bCs/>
                <w:color w:val="000000"/>
                <w:sz w:val="16"/>
                <w:szCs w:val="16"/>
                <w:rtl/>
                <w:lang w:eastAsia="en-US"/>
              </w:rPr>
              <w:t>קוד תוכנית</w:t>
            </w:r>
          </w:p>
        </w:tc>
        <w:tc>
          <w:tcPr>
            <w:tcW w:w="1111" w:type="pct"/>
            <w:tcBorders>
              <w:top w:val="single" w:sz="4" w:space="0" w:color="979991"/>
              <w:left w:val="single" w:sz="4" w:space="0" w:color="979991"/>
              <w:bottom w:val="single" w:sz="4" w:space="0" w:color="979991"/>
              <w:right w:val="nil"/>
            </w:tcBorders>
            <w:shd w:val="clear" w:color="000000" w:fill="F0F4FA"/>
            <w:vAlign w:val="center"/>
            <w:hideMark/>
          </w:tcPr>
          <w:p w14:paraId="68B6819A" w14:textId="77777777" w:rsidR="000B31B5" w:rsidRPr="000B31B5" w:rsidRDefault="000B31B5" w:rsidP="000B31B5">
            <w:pPr>
              <w:overflowPunct/>
              <w:autoSpaceDE/>
              <w:autoSpaceDN/>
              <w:adjustRightInd/>
              <w:jc w:val="center"/>
              <w:textAlignment w:val="auto"/>
              <w:rPr>
                <w:rFonts w:ascii="Calibri" w:hAnsi="Calibri" w:cs="Calibri"/>
                <w:b/>
                <w:bCs/>
                <w:color w:val="000000"/>
                <w:sz w:val="16"/>
                <w:szCs w:val="16"/>
                <w:rtl/>
                <w:lang w:eastAsia="en-US"/>
              </w:rPr>
            </w:pPr>
            <w:r w:rsidRPr="000B31B5">
              <w:rPr>
                <w:rFonts w:ascii="Calibri" w:hAnsi="Calibri" w:cs="Calibri"/>
                <w:b/>
                <w:bCs/>
                <w:color w:val="000000"/>
                <w:sz w:val="16"/>
                <w:szCs w:val="16"/>
                <w:rtl/>
                <w:lang w:eastAsia="en-US"/>
              </w:rPr>
              <w:t>השינוי התקציבי של העודף המוצע בפניה</w:t>
            </w:r>
          </w:p>
        </w:tc>
        <w:tc>
          <w:tcPr>
            <w:tcW w:w="968" w:type="pct"/>
            <w:tcBorders>
              <w:top w:val="single" w:sz="4" w:space="0" w:color="979991"/>
              <w:left w:val="single" w:sz="4" w:space="0" w:color="979991"/>
              <w:bottom w:val="single" w:sz="4" w:space="0" w:color="979991"/>
              <w:right w:val="nil"/>
            </w:tcBorders>
            <w:shd w:val="clear" w:color="000000" w:fill="F0F4FA"/>
            <w:vAlign w:val="center"/>
            <w:hideMark/>
          </w:tcPr>
          <w:p w14:paraId="3C96EE27" w14:textId="77777777" w:rsidR="000B31B5" w:rsidRPr="000B31B5" w:rsidRDefault="000B31B5" w:rsidP="000B31B5">
            <w:pPr>
              <w:overflowPunct/>
              <w:autoSpaceDE/>
              <w:autoSpaceDN/>
              <w:adjustRightInd/>
              <w:jc w:val="center"/>
              <w:textAlignment w:val="auto"/>
              <w:rPr>
                <w:rFonts w:ascii="Calibri" w:hAnsi="Calibri" w:cs="Calibri"/>
                <w:b/>
                <w:bCs/>
                <w:color w:val="000000"/>
                <w:sz w:val="16"/>
                <w:szCs w:val="16"/>
                <w:rtl/>
                <w:lang w:eastAsia="en-US"/>
              </w:rPr>
            </w:pPr>
            <w:r w:rsidRPr="000B31B5">
              <w:rPr>
                <w:rFonts w:ascii="Calibri" w:hAnsi="Calibri" w:cs="Calibri"/>
                <w:b/>
                <w:bCs/>
                <w:color w:val="000000"/>
                <w:sz w:val="16"/>
                <w:szCs w:val="16"/>
                <w:rtl/>
                <w:lang w:eastAsia="en-US"/>
              </w:rPr>
              <w:t>סך עודף שהועבר ב-2025</w:t>
            </w:r>
          </w:p>
        </w:tc>
        <w:tc>
          <w:tcPr>
            <w:tcW w:w="968" w:type="pct"/>
            <w:tcBorders>
              <w:top w:val="single" w:sz="4" w:space="0" w:color="979991"/>
              <w:left w:val="single" w:sz="4" w:space="0" w:color="979991"/>
              <w:bottom w:val="single" w:sz="4" w:space="0" w:color="979991"/>
              <w:right w:val="nil"/>
            </w:tcBorders>
            <w:shd w:val="clear" w:color="000000" w:fill="F0F4FA"/>
            <w:vAlign w:val="center"/>
            <w:hideMark/>
          </w:tcPr>
          <w:p w14:paraId="053B15A7" w14:textId="77777777" w:rsidR="000B31B5" w:rsidRPr="000B31B5" w:rsidRDefault="000B31B5" w:rsidP="000B31B5">
            <w:pPr>
              <w:overflowPunct/>
              <w:autoSpaceDE/>
              <w:autoSpaceDN/>
              <w:adjustRightInd/>
              <w:jc w:val="center"/>
              <w:textAlignment w:val="auto"/>
              <w:rPr>
                <w:rFonts w:ascii="Calibri" w:hAnsi="Calibri" w:cs="Calibri"/>
                <w:b/>
                <w:bCs/>
                <w:color w:val="000000"/>
                <w:sz w:val="16"/>
                <w:szCs w:val="16"/>
                <w:rtl/>
                <w:lang w:eastAsia="en-US"/>
              </w:rPr>
            </w:pPr>
            <w:r w:rsidRPr="000B31B5">
              <w:rPr>
                <w:rFonts w:ascii="Calibri" w:hAnsi="Calibri" w:cs="Calibri"/>
                <w:b/>
                <w:bCs/>
                <w:color w:val="000000"/>
                <w:sz w:val="16"/>
                <w:szCs w:val="16"/>
                <w:rtl/>
                <w:lang w:eastAsia="en-US"/>
              </w:rPr>
              <w:t>סך עודף שהועבר ב-2024</w:t>
            </w:r>
          </w:p>
        </w:tc>
        <w:tc>
          <w:tcPr>
            <w:tcW w:w="986" w:type="pct"/>
            <w:tcBorders>
              <w:top w:val="single" w:sz="4" w:space="0" w:color="979991"/>
              <w:left w:val="single" w:sz="4" w:space="0" w:color="979991"/>
              <w:bottom w:val="single" w:sz="4" w:space="0" w:color="979991"/>
              <w:right w:val="single" w:sz="4" w:space="0" w:color="979991"/>
            </w:tcBorders>
            <w:shd w:val="clear" w:color="000000" w:fill="F0F4FA"/>
            <w:vAlign w:val="center"/>
            <w:hideMark/>
          </w:tcPr>
          <w:p w14:paraId="46BA6615" w14:textId="77777777" w:rsidR="000B31B5" w:rsidRPr="000B31B5" w:rsidRDefault="000B31B5" w:rsidP="000B31B5">
            <w:pPr>
              <w:overflowPunct/>
              <w:autoSpaceDE/>
              <w:autoSpaceDN/>
              <w:adjustRightInd/>
              <w:jc w:val="center"/>
              <w:textAlignment w:val="auto"/>
              <w:rPr>
                <w:rFonts w:ascii="Calibri" w:hAnsi="Calibri" w:cs="Calibri"/>
                <w:b/>
                <w:bCs/>
                <w:color w:val="000000"/>
                <w:sz w:val="16"/>
                <w:szCs w:val="16"/>
                <w:rtl/>
                <w:lang w:eastAsia="en-US"/>
              </w:rPr>
            </w:pPr>
            <w:r w:rsidRPr="000B31B5">
              <w:rPr>
                <w:rFonts w:ascii="Calibri" w:hAnsi="Calibri" w:cs="Calibri"/>
                <w:b/>
                <w:bCs/>
                <w:color w:val="000000"/>
                <w:sz w:val="16"/>
                <w:szCs w:val="16"/>
                <w:rtl/>
                <w:lang w:eastAsia="en-US"/>
              </w:rPr>
              <w:t>סך עודף שהועבר ב-2023</w:t>
            </w:r>
          </w:p>
        </w:tc>
      </w:tr>
      <w:tr w:rsidR="000B31B5" w:rsidRPr="000B31B5" w14:paraId="7E6B8894" w14:textId="77777777" w:rsidTr="000B31B5">
        <w:trPr>
          <w:trHeight w:val="300"/>
        </w:trPr>
        <w:tc>
          <w:tcPr>
            <w:tcW w:w="968" w:type="pct"/>
            <w:tcBorders>
              <w:top w:val="single" w:sz="4" w:space="0" w:color="979991"/>
              <w:left w:val="single" w:sz="4" w:space="0" w:color="979991"/>
              <w:bottom w:val="single" w:sz="4" w:space="0" w:color="979991"/>
              <w:right w:val="nil"/>
            </w:tcBorders>
            <w:shd w:val="clear" w:color="000000" w:fill="F0F4FA"/>
            <w:vAlign w:val="center"/>
            <w:hideMark/>
          </w:tcPr>
          <w:p w14:paraId="1133D1F7" w14:textId="77777777" w:rsidR="000B31B5" w:rsidRPr="000B31B5" w:rsidRDefault="000B31B5" w:rsidP="000B31B5">
            <w:pPr>
              <w:overflowPunct/>
              <w:autoSpaceDE/>
              <w:autoSpaceDN/>
              <w:bidi w:val="0"/>
              <w:adjustRightInd/>
              <w:jc w:val="center"/>
              <w:textAlignment w:val="auto"/>
              <w:rPr>
                <w:rFonts w:ascii="Calibri" w:hAnsi="Calibri" w:cs="Calibri"/>
                <w:color w:val="000000"/>
                <w:sz w:val="16"/>
                <w:szCs w:val="16"/>
                <w:rtl/>
                <w:lang w:eastAsia="en-US"/>
              </w:rPr>
            </w:pPr>
            <w:r w:rsidRPr="000B31B5">
              <w:rPr>
                <w:rFonts w:ascii="Calibri" w:hAnsi="Calibri" w:cs="Calibri"/>
                <w:color w:val="000000"/>
                <w:sz w:val="16"/>
                <w:szCs w:val="16"/>
                <w:lang w:eastAsia="en-US"/>
              </w:rPr>
              <w:t>075001</w:t>
            </w:r>
          </w:p>
        </w:tc>
        <w:tc>
          <w:tcPr>
            <w:tcW w:w="1111" w:type="pct"/>
            <w:tcBorders>
              <w:top w:val="nil"/>
              <w:left w:val="single" w:sz="4" w:space="0" w:color="979991"/>
              <w:bottom w:val="single" w:sz="4" w:space="0" w:color="979991"/>
              <w:right w:val="nil"/>
            </w:tcBorders>
            <w:shd w:val="clear" w:color="000000" w:fill="FFFFFF"/>
            <w:vAlign w:val="center"/>
            <w:hideMark/>
          </w:tcPr>
          <w:p w14:paraId="0C0AA901" w14:textId="77777777" w:rsidR="000B31B5" w:rsidRPr="000B31B5" w:rsidRDefault="000B31B5" w:rsidP="000B31B5">
            <w:pPr>
              <w:overflowPunct/>
              <w:autoSpaceDE/>
              <w:autoSpaceDN/>
              <w:bidi w:val="0"/>
              <w:adjustRightInd/>
              <w:jc w:val="center"/>
              <w:textAlignment w:val="auto"/>
              <w:rPr>
                <w:rFonts w:ascii="Calibri" w:hAnsi="Calibri" w:cs="Calibri"/>
                <w:color w:val="000000"/>
                <w:sz w:val="16"/>
                <w:szCs w:val="16"/>
                <w:lang w:eastAsia="en-US"/>
              </w:rPr>
            </w:pPr>
            <w:r w:rsidRPr="000B31B5">
              <w:rPr>
                <w:rFonts w:ascii="Calibri" w:hAnsi="Calibri" w:cs="Calibri"/>
                <w:color w:val="000000"/>
                <w:sz w:val="16"/>
                <w:szCs w:val="16"/>
                <w:lang w:eastAsia="en-US"/>
              </w:rPr>
              <w:t>0</w:t>
            </w:r>
          </w:p>
        </w:tc>
        <w:tc>
          <w:tcPr>
            <w:tcW w:w="968" w:type="pct"/>
            <w:tcBorders>
              <w:top w:val="nil"/>
              <w:left w:val="single" w:sz="4" w:space="0" w:color="979991"/>
              <w:bottom w:val="single" w:sz="4" w:space="0" w:color="979991"/>
              <w:right w:val="nil"/>
            </w:tcBorders>
            <w:shd w:val="clear" w:color="000000" w:fill="FFFFFF"/>
            <w:vAlign w:val="center"/>
            <w:hideMark/>
          </w:tcPr>
          <w:p w14:paraId="10024EA7" w14:textId="77777777" w:rsidR="000B31B5" w:rsidRPr="000B31B5" w:rsidRDefault="000B31B5" w:rsidP="000B31B5">
            <w:pPr>
              <w:overflowPunct/>
              <w:autoSpaceDE/>
              <w:autoSpaceDN/>
              <w:bidi w:val="0"/>
              <w:adjustRightInd/>
              <w:jc w:val="center"/>
              <w:textAlignment w:val="auto"/>
              <w:rPr>
                <w:rFonts w:ascii="Calibri" w:hAnsi="Calibri" w:cs="Calibri"/>
                <w:color w:val="000000"/>
                <w:sz w:val="16"/>
                <w:szCs w:val="16"/>
                <w:lang w:eastAsia="en-US"/>
              </w:rPr>
            </w:pPr>
            <w:r w:rsidRPr="000B31B5">
              <w:rPr>
                <w:rFonts w:ascii="Calibri" w:hAnsi="Calibri" w:cs="Calibri"/>
                <w:color w:val="000000"/>
                <w:sz w:val="16"/>
                <w:szCs w:val="16"/>
                <w:lang w:eastAsia="en-US"/>
              </w:rPr>
              <w:t>213</w:t>
            </w:r>
          </w:p>
        </w:tc>
        <w:tc>
          <w:tcPr>
            <w:tcW w:w="968" w:type="pct"/>
            <w:tcBorders>
              <w:top w:val="nil"/>
              <w:left w:val="single" w:sz="4" w:space="0" w:color="979991"/>
              <w:bottom w:val="single" w:sz="4" w:space="0" w:color="979991"/>
              <w:right w:val="nil"/>
            </w:tcBorders>
            <w:shd w:val="clear" w:color="000000" w:fill="FFFFFF"/>
            <w:vAlign w:val="center"/>
            <w:hideMark/>
          </w:tcPr>
          <w:p w14:paraId="4390147D" w14:textId="77777777" w:rsidR="000B31B5" w:rsidRPr="000B31B5" w:rsidRDefault="000B31B5" w:rsidP="000B31B5">
            <w:pPr>
              <w:overflowPunct/>
              <w:autoSpaceDE/>
              <w:autoSpaceDN/>
              <w:bidi w:val="0"/>
              <w:adjustRightInd/>
              <w:jc w:val="center"/>
              <w:textAlignment w:val="auto"/>
              <w:rPr>
                <w:rFonts w:ascii="Calibri" w:hAnsi="Calibri" w:cs="Calibri"/>
                <w:color w:val="000000"/>
                <w:sz w:val="16"/>
                <w:szCs w:val="16"/>
                <w:lang w:eastAsia="en-US"/>
              </w:rPr>
            </w:pPr>
            <w:r w:rsidRPr="000B31B5">
              <w:rPr>
                <w:rFonts w:ascii="Calibri" w:hAnsi="Calibri" w:cs="Calibri"/>
                <w:color w:val="000000"/>
                <w:sz w:val="16"/>
                <w:szCs w:val="16"/>
                <w:lang w:eastAsia="en-US"/>
              </w:rPr>
              <w:t>157</w:t>
            </w:r>
          </w:p>
        </w:tc>
        <w:tc>
          <w:tcPr>
            <w:tcW w:w="986" w:type="pct"/>
            <w:tcBorders>
              <w:top w:val="nil"/>
              <w:left w:val="single" w:sz="4" w:space="0" w:color="979991"/>
              <w:bottom w:val="single" w:sz="4" w:space="0" w:color="979991"/>
              <w:right w:val="single" w:sz="4" w:space="0" w:color="979991"/>
            </w:tcBorders>
            <w:shd w:val="clear" w:color="000000" w:fill="FFFFFF"/>
            <w:vAlign w:val="center"/>
            <w:hideMark/>
          </w:tcPr>
          <w:p w14:paraId="096EE59E" w14:textId="77777777" w:rsidR="000B31B5" w:rsidRPr="000B31B5" w:rsidRDefault="000B31B5" w:rsidP="000B31B5">
            <w:pPr>
              <w:overflowPunct/>
              <w:autoSpaceDE/>
              <w:autoSpaceDN/>
              <w:bidi w:val="0"/>
              <w:adjustRightInd/>
              <w:jc w:val="center"/>
              <w:textAlignment w:val="auto"/>
              <w:rPr>
                <w:rFonts w:ascii="Calibri" w:hAnsi="Calibri" w:cs="Calibri"/>
                <w:color w:val="000000"/>
                <w:sz w:val="16"/>
                <w:szCs w:val="16"/>
                <w:lang w:eastAsia="en-US"/>
              </w:rPr>
            </w:pPr>
            <w:r w:rsidRPr="000B31B5">
              <w:rPr>
                <w:rFonts w:ascii="Calibri" w:hAnsi="Calibri" w:cs="Calibri"/>
                <w:color w:val="000000"/>
                <w:sz w:val="16"/>
                <w:szCs w:val="16"/>
                <w:lang w:eastAsia="en-US"/>
              </w:rPr>
              <w:t>223</w:t>
            </w:r>
          </w:p>
        </w:tc>
      </w:tr>
      <w:tr w:rsidR="000B31B5" w:rsidRPr="000B31B5" w14:paraId="26C0F2BA" w14:textId="77777777" w:rsidTr="000B31B5">
        <w:trPr>
          <w:trHeight w:val="300"/>
        </w:trPr>
        <w:tc>
          <w:tcPr>
            <w:tcW w:w="968" w:type="pct"/>
            <w:tcBorders>
              <w:top w:val="nil"/>
              <w:left w:val="single" w:sz="4" w:space="0" w:color="979991"/>
              <w:bottom w:val="single" w:sz="4" w:space="0" w:color="979991"/>
              <w:right w:val="nil"/>
            </w:tcBorders>
            <w:shd w:val="clear" w:color="000000" w:fill="F0F4FA"/>
            <w:vAlign w:val="center"/>
            <w:hideMark/>
          </w:tcPr>
          <w:p w14:paraId="7E63A014" w14:textId="77777777" w:rsidR="000B31B5" w:rsidRPr="000B31B5" w:rsidRDefault="000B31B5" w:rsidP="000B31B5">
            <w:pPr>
              <w:overflowPunct/>
              <w:autoSpaceDE/>
              <w:autoSpaceDN/>
              <w:bidi w:val="0"/>
              <w:adjustRightInd/>
              <w:jc w:val="center"/>
              <w:textAlignment w:val="auto"/>
              <w:rPr>
                <w:rFonts w:ascii="Calibri" w:hAnsi="Calibri" w:cs="Calibri"/>
                <w:color w:val="000000"/>
                <w:sz w:val="16"/>
                <w:szCs w:val="16"/>
                <w:lang w:eastAsia="en-US"/>
              </w:rPr>
            </w:pPr>
            <w:r w:rsidRPr="000B31B5">
              <w:rPr>
                <w:rFonts w:ascii="Calibri" w:hAnsi="Calibri" w:cs="Calibri"/>
                <w:color w:val="000000"/>
                <w:sz w:val="16"/>
                <w:szCs w:val="16"/>
                <w:lang w:eastAsia="en-US"/>
              </w:rPr>
              <w:t>075002</w:t>
            </w:r>
          </w:p>
        </w:tc>
        <w:tc>
          <w:tcPr>
            <w:tcW w:w="1111" w:type="pct"/>
            <w:tcBorders>
              <w:top w:val="nil"/>
              <w:left w:val="single" w:sz="4" w:space="0" w:color="979991"/>
              <w:bottom w:val="single" w:sz="4" w:space="0" w:color="979991"/>
              <w:right w:val="nil"/>
            </w:tcBorders>
            <w:shd w:val="clear" w:color="000000" w:fill="FFFFFF"/>
            <w:vAlign w:val="center"/>
            <w:hideMark/>
          </w:tcPr>
          <w:p w14:paraId="4F012B75" w14:textId="77777777" w:rsidR="000B31B5" w:rsidRPr="000B31B5" w:rsidRDefault="000B31B5" w:rsidP="000B31B5">
            <w:pPr>
              <w:overflowPunct/>
              <w:autoSpaceDE/>
              <w:autoSpaceDN/>
              <w:bidi w:val="0"/>
              <w:adjustRightInd/>
              <w:jc w:val="center"/>
              <w:textAlignment w:val="auto"/>
              <w:rPr>
                <w:rFonts w:ascii="Calibri" w:hAnsi="Calibri" w:cs="Calibri"/>
                <w:color w:val="000000"/>
                <w:sz w:val="16"/>
                <w:szCs w:val="16"/>
                <w:lang w:eastAsia="en-US"/>
              </w:rPr>
            </w:pPr>
            <w:r w:rsidRPr="000B31B5">
              <w:rPr>
                <w:rFonts w:ascii="Calibri" w:hAnsi="Calibri" w:cs="Calibri"/>
                <w:color w:val="000000"/>
                <w:sz w:val="16"/>
                <w:szCs w:val="16"/>
                <w:lang w:eastAsia="en-US"/>
              </w:rPr>
              <w:t>173,669</w:t>
            </w:r>
          </w:p>
        </w:tc>
        <w:tc>
          <w:tcPr>
            <w:tcW w:w="968" w:type="pct"/>
            <w:tcBorders>
              <w:top w:val="nil"/>
              <w:left w:val="single" w:sz="4" w:space="0" w:color="979991"/>
              <w:bottom w:val="single" w:sz="4" w:space="0" w:color="979991"/>
              <w:right w:val="nil"/>
            </w:tcBorders>
            <w:shd w:val="clear" w:color="000000" w:fill="FFFFFF"/>
            <w:vAlign w:val="center"/>
            <w:hideMark/>
          </w:tcPr>
          <w:p w14:paraId="7AECFBA5" w14:textId="77777777" w:rsidR="000B31B5" w:rsidRPr="000B31B5" w:rsidRDefault="000B31B5" w:rsidP="000B31B5">
            <w:pPr>
              <w:overflowPunct/>
              <w:autoSpaceDE/>
              <w:autoSpaceDN/>
              <w:bidi w:val="0"/>
              <w:adjustRightInd/>
              <w:jc w:val="center"/>
              <w:textAlignment w:val="auto"/>
              <w:rPr>
                <w:rFonts w:ascii="Calibri" w:hAnsi="Calibri" w:cs="Calibri"/>
                <w:color w:val="000000"/>
                <w:sz w:val="16"/>
                <w:szCs w:val="16"/>
                <w:lang w:eastAsia="en-US"/>
              </w:rPr>
            </w:pPr>
            <w:r w:rsidRPr="000B31B5">
              <w:rPr>
                <w:rFonts w:ascii="Calibri" w:hAnsi="Calibri" w:cs="Calibri"/>
                <w:color w:val="000000"/>
                <w:sz w:val="16"/>
                <w:szCs w:val="16"/>
                <w:lang w:eastAsia="en-US"/>
              </w:rPr>
              <w:t>220,041</w:t>
            </w:r>
          </w:p>
        </w:tc>
        <w:tc>
          <w:tcPr>
            <w:tcW w:w="968" w:type="pct"/>
            <w:tcBorders>
              <w:top w:val="nil"/>
              <w:left w:val="single" w:sz="4" w:space="0" w:color="979991"/>
              <w:bottom w:val="single" w:sz="4" w:space="0" w:color="979991"/>
              <w:right w:val="nil"/>
            </w:tcBorders>
            <w:shd w:val="clear" w:color="000000" w:fill="FFFFFF"/>
            <w:vAlign w:val="center"/>
            <w:hideMark/>
          </w:tcPr>
          <w:p w14:paraId="707EE877" w14:textId="77777777" w:rsidR="000B31B5" w:rsidRPr="000B31B5" w:rsidRDefault="000B31B5" w:rsidP="000B31B5">
            <w:pPr>
              <w:overflowPunct/>
              <w:autoSpaceDE/>
              <w:autoSpaceDN/>
              <w:bidi w:val="0"/>
              <w:adjustRightInd/>
              <w:jc w:val="center"/>
              <w:textAlignment w:val="auto"/>
              <w:rPr>
                <w:rFonts w:ascii="Calibri" w:hAnsi="Calibri" w:cs="Calibri"/>
                <w:color w:val="000000"/>
                <w:sz w:val="16"/>
                <w:szCs w:val="16"/>
                <w:lang w:eastAsia="en-US"/>
              </w:rPr>
            </w:pPr>
            <w:r w:rsidRPr="000B31B5">
              <w:rPr>
                <w:rFonts w:ascii="Calibri" w:hAnsi="Calibri" w:cs="Calibri"/>
                <w:color w:val="000000"/>
                <w:sz w:val="16"/>
                <w:szCs w:val="16"/>
                <w:lang w:eastAsia="en-US"/>
              </w:rPr>
              <w:t>262,186</w:t>
            </w:r>
          </w:p>
        </w:tc>
        <w:tc>
          <w:tcPr>
            <w:tcW w:w="986" w:type="pct"/>
            <w:tcBorders>
              <w:top w:val="nil"/>
              <w:left w:val="single" w:sz="4" w:space="0" w:color="979991"/>
              <w:bottom w:val="single" w:sz="4" w:space="0" w:color="979991"/>
              <w:right w:val="single" w:sz="4" w:space="0" w:color="979991"/>
            </w:tcBorders>
            <w:shd w:val="clear" w:color="000000" w:fill="FFFFFF"/>
            <w:vAlign w:val="center"/>
            <w:hideMark/>
          </w:tcPr>
          <w:p w14:paraId="4FA9236D" w14:textId="77777777" w:rsidR="000B31B5" w:rsidRPr="000B31B5" w:rsidRDefault="000B31B5" w:rsidP="000B31B5">
            <w:pPr>
              <w:overflowPunct/>
              <w:autoSpaceDE/>
              <w:autoSpaceDN/>
              <w:bidi w:val="0"/>
              <w:adjustRightInd/>
              <w:jc w:val="center"/>
              <w:textAlignment w:val="auto"/>
              <w:rPr>
                <w:rFonts w:ascii="Calibri" w:hAnsi="Calibri" w:cs="Calibri"/>
                <w:color w:val="000000"/>
                <w:sz w:val="16"/>
                <w:szCs w:val="16"/>
                <w:lang w:eastAsia="en-US"/>
              </w:rPr>
            </w:pPr>
            <w:r w:rsidRPr="000B31B5">
              <w:rPr>
                <w:rFonts w:ascii="Calibri" w:hAnsi="Calibri" w:cs="Calibri"/>
                <w:color w:val="000000"/>
                <w:sz w:val="16"/>
                <w:szCs w:val="16"/>
                <w:lang w:eastAsia="en-US"/>
              </w:rPr>
              <w:t>304,409</w:t>
            </w:r>
          </w:p>
        </w:tc>
      </w:tr>
      <w:tr w:rsidR="000B31B5" w:rsidRPr="000B31B5" w14:paraId="015FA285" w14:textId="77777777" w:rsidTr="000B31B5">
        <w:trPr>
          <w:trHeight w:val="300"/>
        </w:trPr>
        <w:tc>
          <w:tcPr>
            <w:tcW w:w="968" w:type="pct"/>
            <w:tcBorders>
              <w:top w:val="nil"/>
              <w:left w:val="single" w:sz="4" w:space="0" w:color="979991"/>
              <w:bottom w:val="single" w:sz="4" w:space="0" w:color="979991"/>
              <w:right w:val="nil"/>
            </w:tcBorders>
            <w:shd w:val="clear" w:color="000000" w:fill="F0F4FA"/>
            <w:vAlign w:val="center"/>
            <w:hideMark/>
          </w:tcPr>
          <w:p w14:paraId="532C9326" w14:textId="77777777" w:rsidR="000B31B5" w:rsidRPr="000B31B5" w:rsidRDefault="000B31B5" w:rsidP="000B31B5">
            <w:pPr>
              <w:overflowPunct/>
              <w:autoSpaceDE/>
              <w:autoSpaceDN/>
              <w:bidi w:val="0"/>
              <w:adjustRightInd/>
              <w:jc w:val="center"/>
              <w:textAlignment w:val="auto"/>
              <w:rPr>
                <w:rFonts w:ascii="Calibri" w:hAnsi="Calibri" w:cs="Calibri"/>
                <w:color w:val="000000"/>
                <w:sz w:val="16"/>
                <w:szCs w:val="16"/>
                <w:lang w:eastAsia="en-US"/>
              </w:rPr>
            </w:pPr>
            <w:r w:rsidRPr="000B31B5">
              <w:rPr>
                <w:rFonts w:ascii="Calibri" w:hAnsi="Calibri" w:cs="Calibri"/>
                <w:color w:val="000000"/>
                <w:sz w:val="16"/>
                <w:szCs w:val="16"/>
                <w:lang w:eastAsia="en-US"/>
              </w:rPr>
              <w:t>075501</w:t>
            </w:r>
          </w:p>
        </w:tc>
        <w:tc>
          <w:tcPr>
            <w:tcW w:w="1111" w:type="pct"/>
            <w:tcBorders>
              <w:top w:val="nil"/>
              <w:left w:val="single" w:sz="4" w:space="0" w:color="979991"/>
              <w:bottom w:val="single" w:sz="4" w:space="0" w:color="979991"/>
              <w:right w:val="nil"/>
            </w:tcBorders>
            <w:shd w:val="clear" w:color="000000" w:fill="FFFFFF"/>
            <w:vAlign w:val="center"/>
            <w:hideMark/>
          </w:tcPr>
          <w:p w14:paraId="701600E1" w14:textId="77777777" w:rsidR="000B31B5" w:rsidRPr="000B31B5" w:rsidRDefault="000B31B5" w:rsidP="000B31B5">
            <w:pPr>
              <w:overflowPunct/>
              <w:autoSpaceDE/>
              <w:autoSpaceDN/>
              <w:bidi w:val="0"/>
              <w:adjustRightInd/>
              <w:jc w:val="center"/>
              <w:textAlignment w:val="auto"/>
              <w:rPr>
                <w:rFonts w:ascii="Calibri" w:hAnsi="Calibri" w:cs="Calibri"/>
                <w:color w:val="000000"/>
                <w:sz w:val="16"/>
                <w:szCs w:val="16"/>
                <w:lang w:eastAsia="en-US"/>
              </w:rPr>
            </w:pPr>
            <w:r w:rsidRPr="000B31B5">
              <w:rPr>
                <w:rFonts w:ascii="Calibri" w:hAnsi="Calibri" w:cs="Calibri"/>
                <w:color w:val="000000"/>
                <w:sz w:val="16"/>
                <w:szCs w:val="16"/>
                <w:lang w:eastAsia="en-US"/>
              </w:rPr>
              <w:t>0</w:t>
            </w:r>
          </w:p>
        </w:tc>
        <w:tc>
          <w:tcPr>
            <w:tcW w:w="968" w:type="pct"/>
            <w:tcBorders>
              <w:top w:val="nil"/>
              <w:left w:val="single" w:sz="4" w:space="0" w:color="979991"/>
              <w:bottom w:val="single" w:sz="4" w:space="0" w:color="979991"/>
              <w:right w:val="nil"/>
            </w:tcBorders>
            <w:shd w:val="clear" w:color="000000" w:fill="FFFFFF"/>
            <w:vAlign w:val="center"/>
            <w:hideMark/>
          </w:tcPr>
          <w:p w14:paraId="172C9D0B" w14:textId="77777777" w:rsidR="000B31B5" w:rsidRPr="000B31B5" w:rsidRDefault="000B31B5" w:rsidP="000B31B5">
            <w:pPr>
              <w:overflowPunct/>
              <w:autoSpaceDE/>
              <w:autoSpaceDN/>
              <w:bidi w:val="0"/>
              <w:adjustRightInd/>
              <w:jc w:val="center"/>
              <w:textAlignment w:val="auto"/>
              <w:rPr>
                <w:rFonts w:ascii="Calibri" w:hAnsi="Calibri" w:cs="Calibri"/>
                <w:color w:val="000000"/>
                <w:sz w:val="16"/>
                <w:szCs w:val="16"/>
                <w:lang w:eastAsia="en-US"/>
              </w:rPr>
            </w:pPr>
            <w:r w:rsidRPr="000B31B5">
              <w:rPr>
                <w:rFonts w:ascii="Calibri" w:hAnsi="Calibri" w:cs="Calibri"/>
                <w:color w:val="000000"/>
                <w:sz w:val="16"/>
                <w:szCs w:val="16"/>
                <w:lang w:eastAsia="en-US"/>
              </w:rPr>
              <w:t>0</w:t>
            </w:r>
          </w:p>
        </w:tc>
        <w:tc>
          <w:tcPr>
            <w:tcW w:w="968" w:type="pct"/>
            <w:tcBorders>
              <w:top w:val="nil"/>
              <w:left w:val="single" w:sz="4" w:space="0" w:color="979991"/>
              <w:bottom w:val="single" w:sz="4" w:space="0" w:color="979991"/>
              <w:right w:val="nil"/>
            </w:tcBorders>
            <w:shd w:val="clear" w:color="000000" w:fill="FFFFFF"/>
            <w:vAlign w:val="center"/>
            <w:hideMark/>
          </w:tcPr>
          <w:p w14:paraId="259178A7" w14:textId="77777777" w:rsidR="000B31B5" w:rsidRPr="000B31B5" w:rsidRDefault="000B31B5" w:rsidP="000B31B5">
            <w:pPr>
              <w:overflowPunct/>
              <w:autoSpaceDE/>
              <w:autoSpaceDN/>
              <w:bidi w:val="0"/>
              <w:adjustRightInd/>
              <w:jc w:val="center"/>
              <w:textAlignment w:val="auto"/>
              <w:rPr>
                <w:rFonts w:ascii="Calibri" w:hAnsi="Calibri" w:cs="Calibri"/>
                <w:color w:val="000000"/>
                <w:sz w:val="16"/>
                <w:szCs w:val="16"/>
                <w:lang w:eastAsia="en-US"/>
              </w:rPr>
            </w:pPr>
            <w:r w:rsidRPr="000B31B5">
              <w:rPr>
                <w:rFonts w:ascii="Calibri" w:hAnsi="Calibri" w:cs="Calibri"/>
                <w:color w:val="000000"/>
                <w:sz w:val="16"/>
                <w:szCs w:val="16"/>
                <w:lang w:eastAsia="en-US"/>
              </w:rPr>
              <w:t>0</w:t>
            </w:r>
          </w:p>
        </w:tc>
        <w:tc>
          <w:tcPr>
            <w:tcW w:w="986" w:type="pct"/>
            <w:tcBorders>
              <w:top w:val="nil"/>
              <w:left w:val="single" w:sz="4" w:space="0" w:color="979991"/>
              <w:bottom w:val="single" w:sz="4" w:space="0" w:color="979991"/>
              <w:right w:val="single" w:sz="4" w:space="0" w:color="979991"/>
            </w:tcBorders>
            <w:shd w:val="clear" w:color="000000" w:fill="FFFFFF"/>
            <w:vAlign w:val="center"/>
            <w:hideMark/>
          </w:tcPr>
          <w:p w14:paraId="58CE6759" w14:textId="77777777" w:rsidR="000B31B5" w:rsidRPr="000B31B5" w:rsidRDefault="000B31B5" w:rsidP="000B31B5">
            <w:pPr>
              <w:overflowPunct/>
              <w:autoSpaceDE/>
              <w:autoSpaceDN/>
              <w:bidi w:val="0"/>
              <w:adjustRightInd/>
              <w:jc w:val="center"/>
              <w:textAlignment w:val="auto"/>
              <w:rPr>
                <w:rFonts w:ascii="Calibri" w:hAnsi="Calibri" w:cs="Calibri"/>
                <w:color w:val="000000"/>
                <w:sz w:val="16"/>
                <w:szCs w:val="16"/>
                <w:lang w:eastAsia="en-US"/>
              </w:rPr>
            </w:pPr>
            <w:r w:rsidRPr="000B31B5">
              <w:rPr>
                <w:rFonts w:ascii="Calibri" w:hAnsi="Calibri" w:cs="Calibri"/>
                <w:color w:val="000000"/>
                <w:sz w:val="16"/>
                <w:szCs w:val="16"/>
                <w:lang w:eastAsia="en-US"/>
              </w:rPr>
              <w:t>76</w:t>
            </w:r>
          </w:p>
        </w:tc>
      </w:tr>
      <w:tr w:rsidR="000B31B5" w:rsidRPr="000B31B5" w14:paraId="40A66DB4" w14:textId="77777777" w:rsidTr="000B31B5">
        <w:trPr>
          <w:trHeight w:val="300"/>
        </w:trPr>
        <w:tc>
          <w:tcPr>
            <w:tcW w:w="968" w:type="pct"/>
            <w:tcBorders>
              <w:top w:val="nil"/>
              <w:left w:val="single" w:sz="4" w:space="0" w:color="979991"/>
              <w:bottom w:val="single" w:sz="4" w:space="0" w:color="979991"/>
              <w:right w:val="nil"/>
            </w:tcBorders>
            <w:shd w:val="clear" w:color="000000" w:fill="F0F4FA"/>
            <w:vAlign w:val="center"/>
            <w:hideMark/>
          </w:tcPr>
          <w:p w14:paraId="4CEA6BFB" w14:textId="77777777" w:rsidR="000B31B5" w:rsidRPr="000B31B5" w:rsidRDefault="000B31B5" w:rsidP="000B31B5">
            <w:pPr>
              <w:overflowPunct/>
              <w:autoSpaceDE/>
              <w:autoSpaceDN/>
              <w:bidi w:val="0"/>
              <w:adjustRightInd/>
              <w:jc w:val="center"/>
              <w:textAlignment w:val="auto"/>
              <w:rPr>
                <w:rFonts w:ascii="Calibri" w:hAnsi="Calibri" w:cs="Calibri"/>
                <w:color w:val="000000"/>
                <w:sz w:val="16"/>
                <w:szCs w:val="16"/>
                <w:lang w:eastAsia="en-US"/>
              </w:rPr>
            </w:pPr>
            <w:r w:rsidRPr="000B31B5">
              <w:rPr>
                <w:rFonts w:ascii="Calibri" w:hAnsi="Calibri" w:cs="Calibri"/>
                <w:color w:val="000000"/>
                <w:sz w:val="16"/>
                <w:szCs w:val="16"/>
                <w:lang w:eastAsia="en-US"/>
              </w:rPr>
              <w:t>075502</w:t>
            </w:r>
          </w:p>
        </w:tc>
        <w:tc>
          <w:tcPr>
            <w:tcW w:w="1111" w:type="pct"/>
            <w:tcBorders>
              <w:top w:val="nil"/>
              <w:left w:val="single" w:sz="4" w:space="0" w:color="979991"/>
              <w:bottom w:val="single" w:sz="4" w:space="0" w:color="979991"/>
              <w:right w:val="nil"/>
            </w:tcBorders>
            <w:shd w:val="clear" w:color="000000" w:fill="FFFFFF"/>
            <w:vAlign w:val="center"/>
            <w:hideMark/>
          </w:tcPr>
          <w:p w14:paraId="583D67B5" w14:textId="77777777" w:rsidR="000B31B5" w:rsidRPr="000B31B5" w:rsidRDefault="000B31B5" w:rsidP="000B31B5">
            <w:pPr>
              <w:overflowPunct/>
              <w:autoSpaceDE/>
              <w:autoSpaceDN/>
              <w:bidi w:val="0"/>
              <w:adjustRightInd/>
              <w:jc w:val="center"/>
              <w:textAlignment w:val="auto"/>
              <w:rPr>
                <w:rFonts w:ascii="Calibri" w:hAnsi="Calibri" w:cs="Calibri"/>
                <w:color w:val="000000"/>
                <w:sz w:val="16"/>
                <w:szCs w:val="16"/>
                <w:lang w:eastAsia="en-US"/>
              </w:rPr>
            </w:pPr>
            <w:r w:rsidRPr="000B31B5">
              <w:rPr>
                <w:rFonts w:ascii="Calibri" w:hAnsi="Calibri" w:cs="Calibri"/>
                <w:color w:val="000000"/>
                <w:sz w:val="16"/>
                <w:szCs w:val="16"/>
                <w:lang w:eastAsia="en-US"/>
              </w:rPr>
              <w:t>20,677</w:t>
            </w:r>
          </w:p>
        </w:tc>
        <w:tc>
          <w:tcPr>
            <w:tcW w:w="968" w:type="pct"/>
            <w:tcBorders>
              <w:top w:val="nil"/>
              <w:left w:val="single" w:sz="4" w:space="0" w:color="979991"/>
              <w:bottom w:val="single" w:sz="4" w:space="0" w:color="979991"/>
              <w:right w:val="nil"/>
            </w:tcBorders>
            <w:shd w:val="clear" w:color="000000" w:fill="FFFFFF"/>
            <w:vAlign w:val="center"/>
            <w:hideMark/>
          </w:tcPr>
          <w:p w14:paraId="46C062CB" w14:textId="77777777" w:rsidR="000B31B5" w:rsidRPr="000B31B5" w:rsidRDefault="000B31B5" w:rsidP="000B31B5">
            <w:pPr>
              <w:overflowPunct/>
              <w:autoSpaceDE/>
              <w:autoSpaceDN/>
              <w:bidi w:val="0"/>
              <w:adjustRightInd/>
              <w:jc w:val="center"/>
              <w:textAlignment w:val="auto"/>
              <w:rPr>
                <w:rFonts w:ascii="Calibri" w:hAnsi="Calibri" w:cs="Calibri"/>
                <w:color w:val="000000"/>
                <w:sz w:val="16"/>
                <w:szCs w:val="16"/>
                <w:lang w:eastAsia="en-US"/>
              </w:rPr>
            </w:pPr>
            <w:r w:rsidRPr="000B31B5">
              <w:rPr>
                <w:rFonts w:ascii="Calibri" w:hAnsi="Calibri" w:cs="Calibri"/>
                <w:color w:val="000000"/>
                <w:sz w:val="16"/>
                <w:szCs w:val="16"/>
                <w:lang w:eastAsia="en-US"/>
              </w:rPr>
              <w:t>9,279</w:t>
            </w:r>
          </w:p>
        </w:tc>
        <w:tc>
          <w:tcPr>
            <w:tcW w:w="968" w:type="pct"/>
            <w:tcBorders>
              <w:top w:val="nil"/>
              <w:left w:val="single" w:sz="4" w:space="0" w:color="979991"/>
              <w:bottom w:val="single" w:sz="4" w:space="0" w:color="979991"/>
              <w:right w:val="nil"/>
            </w:tcBorders>
            <w:shd w:val="clear" w:color="000000" w:fill="FFFFFF"/>
            <w:vAlign w:val="center"/>
            <w:hideMark/>
          </w:tcPr>
          <w:p w14:paraId="5D9AEFFE" w14:textId="77777777" w:rsidR="000B31B5" w:rsidRPr="000B31B5" w:rsidRDefault="000B31B5" w:rsidP="000B31B5">
            <w:pPr>
              <w:overflowPunct/>
              <w:autoSpaceDE/>
              <w:autoSpaceDN/>
              <w:bidi w:val="0"/>
              <w:adjustRightInd/>
              <w:jc w:val="center"/>
              <w:textAlignment w:val="auto"/>
              <w:rPr>
                <w:rFonts w:ascii="Calibri" w:hAnsi="Calibri" w:cs="Calibri"/>
                <w:color w:val="000000"/>
                <w:sz w:val="16"/>
                <w:szCs w:val="16"/>
                <w:lang w:eastAsia="en-US"/>
              </w:rPr>
            </w:pPr>
            <w:r w:rsidRPr="000B31B5">
              <w:rPr>
                <w:rFonts w:ascii="Calibri" w:hAnsi="Calibri" w:cs="Calibri"/>
                <w:color w:val="000000"/>
                <w:sz w:val="16"/>
                <w:szCs w:val="16"/>
                <w:lang w:eastAsia="en-US"/>
              </w:rPr>
              <w:t>4,178</w:t>
            </w:r>
          </w:p>
        </w:tc>
        <w:tc>
          <w:tcPr>
            <w:tcW w:w="986" w:type="pct"/>
            <w:tcBorders>
              <w:top w:val="nil"/>
              <w:left w:val="single" w:sz="4" w:space="0" w:color="979991"/>
              <w:bottom w:val="single" w:sz="4" w:space="0" w:color="979991"/>
              <w:right w:val="single" w:sz="4" w:space="0" w:color="979991"/>
            </w:tcBorders>
            <w:shd w:val="clear" w:color="000000" w:fill="FFFFFF"/>
            <w:vAlign w:val="center"/>
            <w:hideMark/>
          </w:tcPr>
          <w:p w14:paraId="1BF5D2D8" w14:textId="77777777" w:rsidR="000B31B5" w:rsidRPr="000B31B5" w:rsidRDefault="000B31B5" w:rsidP="000B31B5">
            <w:pPr>
              <w:overflowPunct/>
              <w:autoSpaceDE/>
              <w:autoSpaceDN/>
              <w:bidi w:val="0"/>
              <w:adjustRightInd/>
              <w:jc w:val="center"/>
              <w:textAlignment w:val="auto"/>
              <w:rPr>
                <w:rFonts w:ascii="Calibri" w:hAnsi="Calibri" w:cs="Calibri"/>
                <w:color w:val="000000"/>
                <w:sz w:val="16"/>
                <w:szCs w:val="16"/>
                <w:lang w:eastAsia="en-US"/>
              </w:rPr>
            </w:pPr>
            <w:r w:rsidRPr="000B31B5">
              <w:rPr>
                <w:rFonts w:ascii="Calibri" w:hAnsi="Calibri" w:cs="Calibri"/>
                <w:color w:val="000000"/>
                <w:sz w:val="16"/>
                <w:szCs w:val="16"/>
                <w:lang w:eastAsia="en-US"/>
              </w:rPr>
              <w:t>4,344</w:t>
            </w:r>
          </w:p>
        </w:tc>
      </w:tr>
      <w:tr w:rsidR="000B31B5" w:rsidRPr="000B31B5" w14:paraId="35B6877C" w14:textId="77777777" w:rsidTr="000B31B5">
        <w:trPr>
          <w:trHeight w:val="300"/>
        </w:trPr>
        <w:tc>
          <w:tcPr>
            <w:tcW w:w="968" w:type="pct"/>
            <w:tcBorders>
              <w:top w:val="nil"/>
              <w:left w:val="single" w:sz="4" w:space="0" w:color="979991"/>
              <w:bottom w:val="single" w:sz="4" w:space="0" w:color="979991"/>
              <w:right w:val="nil"/>
            </w:tcBorders>
            <w:shd w:val="clear" w:color="000000" w:fill="F0F4FA"/>
            <w:vAlign w:val="center"/>
            <w:hideMark/>
          </w:tcPr>
          <w:p w14:paraId="4BCB65EF" w14:textId="77777777" w:rsidR="000B31B5" w:rsidRPr="000B31B5" w:rsidRDefault="000B31B5" w:rsidP="000B31B5">
            <w:pPr>
              <w:overflowPunct/>
              <w:autoSpaceDE/>
              <w:autoSpaceDN/>
              <w:bidi w:val="0"/>
              <w:adjustRightInd/>
              <w:jc w:val="center"/>
              <w:textAlignment w:val="auto"/>
              <w:rPr>
                <w:rFonts w:ascii="Calibri" w:hAnsi="Calibri" w:cs="Calibri"/>
                <w:color w:val="000000"/>
                <w:sz w:val="16"/>
                <w:szCs w:val="16"/>
                <w:lang w:eastAsia="en-US"/>
              </w:rPr>
            </w:pPr>
            <w:r w:rsidRPr="000B31B5">
              <w:rPr>
                <w:rFonts w:ascii="Calibri" w:hAnsi="Calibri" w:cs="Calibri"/>
                <w:color w:val="000000"/>
                <w:sz w:val="16"/>
                <w:szCs w:val="16"/>
                <w:lang w:eastAsia="en-US"/>
              </w:rPr>
              <w:t>076001</w:t>
            </w:r>
          </w:p>
        </w:tc>
        <w:tc>
          <w:tcPr>
            <w:tcW w:w="1111" w:type="pct"/>
            <w:tcBorders>
              <w:top w:val="nil"/>
              <w:left w:val="single" w:sz="4" w:space="0" w:color="979991"/>
              <w:bottom w:val="single" w:sz="4" w:space="0" w:color="979991"/>
              <w:right w:val="nil"/>
            </w:tcBorders>
            <w:shd w:val="clear" w:color="000000" w:fill="FFFFFF"/>
            <w:vAlign w:val="center"/>
            <w:hideMark/>
          </w:tcPr>
          <w:p w14:paraId="55126FF8" w14:textId="77777777" w:rsidR="000B31B5" w:rsidRPr="000B31B5" w:rsidRDefault="000B31B5" w:rsidP="000B31B5">
            <w:pPr>
              <w:overflowPunct/>
              <w:autoSpaceDE/>
              <w:autoSpaceDN/>
              <w:bidi w:val="0"/>
              <w:adjustRightInd/>
              <w:jc w:val="center"/>
              <w:textAlignment w:val="auto"/>
              <w:rPr>
                <w:rFonts w:ascii="Calibri" w:hAnsi="Calibri" w:cs="Calibri"/>
                <w:color w:val="000000"/>
                <w:sz w:val="16"/>
                <w:szCs w:val="16"/>
                <w:lang w:eastAsia="en-US"/>
              </w:rPr>
            </w:pPr>
            <w:r w:rsidRPr="000B31B5">
              <w:rPr>
                <w:rFonts w:ascii="Calibri" w:hAnsi="Calibri" w:cs="Calibri"/>
                <w:color w:val="000000"/>
                <w:sz w:val="16"/>
                <w:szCs w:val="16"/>
                <w:lang w:eastAsia="en-US"/>
              </w:rPr>
              <w:t>7,695</w:t>
            </w:r>
          </w:p>
        </w:tc>
        <w:tc>
          <w:tcPr>
            <w:tcW w:w="968" w:type="pct"/>
            <w:tcBorders>
              <w:top w:val="nil"/>
              <w:left w:val="single" w:sz="4" w:space="0" w:color="979991"/>
              <w:bottom w:val="single" w:sz="4" w:space="0" w:color="979991"/>
              <w:right w:val="nil"/>
            </w:tcBorders>
            <w:shd w:val="clear" w:color="000000" w:fill="FFFFFF"/>
            <w:vAlign w:val="center"/>
            <w:hideMark/>
          </w:tcPr>
          <w:p w14:paraId="3F5E5762" w14:textId="77777777" w:rsidR="000B31B5" w:rsidRPr="000B31B5" w:rsidRDefault="000B31B5" w:rsidP="000B31B5">
            <w:pPr>
              <w:overflowPunct/>
              <w:autoSpaceDE/>
              <w:autoSpaceDN/>
              <w:bidi w:val="0"/>
              <w:adjustRightInd/>
              <w:jc w:val="center"/>
              <w:textAlignment w:val="auto"/>
              <w:rPr>
                <w:rFonts w:ascii="Calibri" w:hAnsi="Calibri" w:cs="Calibri"/>
                <w:color w:val="000000"/>
                <w:sz w:val="16"/>
                <w:szCs w:val="16"/>
                <w:lang w:eastAsia="en-US"/>
              </w:rPr>
            </w:pPr>
            <w:r w:rsidRPr="000B31B5">
              <w:rPr>
                <w:rFonts w:ascii="Calibri" w:hAnsi="Calibri" w:cs="Calibri"/>
                <w:color w:val="000000"/>
                <w:sz w:val="16"/>
                <w:szCs w:val="16"/>
                <w:lang w:eastAsia="en-US"/>
              </w:rPr>
              <w:t>15,254</w:t>
            </w:r>
          </w:p>
        </w:tc>
        <w:tc>
          <w:tcPr>
            <w:tcW w:w="968" w:type="pct"/>
            <w:tcBorders>
              <w:top w:val="nil"/>
              <w:left w:val="single" w:sz="4" w:space="0" w:color="979991"/>
              <w:bottom w:val="single" w:sz="4" w:space="0" w:color="979991"/>
              <w:right w:val="nil"/>
            </w:tcBorders>
            <w:shd w:val="clear" w:color="000000" w:fill="FFFFFF"/>
            <w:vAlign w:val="center"/>
            <w:hideMark/>
          </w:tcPr>
          <w:p w14:paraId="214B1FB9" w14:textId="77777777" w:rsidR="000B31B5" w:rsidRPr="000B31B5" w:rsidRDefault="000B31B5" w:rsidP="000B31B5">
            <w:pPr>
              <w:overflowPunct/>
              <w:autoSpaceDE/>
              <w:autoSpaceDN/>
              <w:bidi w:val="0"/>
              <w:adjustRightInd/>
              <w:jc w:val="center"/>
              <w:textAlignment w:val="auto"/>
              <w:rPr>
                <w:rFonts w:ascii="Calibri" w:hAnsi="Calibri" w:cs="Calibri"/>
                <w:color w:val="000000"/>
                <w:sz w:val="16"/>
                <w:szCs w:val="16"/>
                <w:lang w:eastAsia="en-US"/>
              </w:rPr>
            </w:pPr>
            <w:r w:rsidRPr="000B31B5">
              <w:rPr>
                <w:rFonts w:ascii="Calibri" w:hAnsi="Calibri" w:cs="Calibri"/>
                <w:color w:val="000000"/>
                <w:sz w:val="16"/>
                <w:szCs w:val="16"/>
                <w:lang w:eastAsia="en-US"/>
              </w:rPr>
              <w:t>22,849</w:t>
            </w:r>
          </w:p>
        </w:tc>
        <w:tc>
          <w:tcPr>
            <w:tcW w:w="986" w:type="pct"/>
            <w:tcBorders>
              <w:top w:val="nil"/>
              <w:left w:val="single" w:sz="4" w:space="0" w:color="979991"/>
              <w:bottom w:val="single" w:sz="4" w:space="0" w:color="979991"/>
              <w:right w:val="single" w:sz="4" w:space="0" w:color="979991"/>
            </w:tcBorders>
            <w:shd w:val="clear" w:color="000000" w:fill="FFFFFF"/>
            <w:vAlign w:val="center"/>
            <w:hideMark/>
          </w:tcPr>
          <w:p w14:paraId="5A0CBCDE" w14:textId="77777777" w:rsidR="000B31B5" w:rsidRPr="000B31B5" w:rsidRDefault="000B31B5" w:rsidP="000B31B5">
            <w:pPr>
              <w:overflowPunct/>
              <w:autoSpaceDE/>
              <w:autoSpaceDN/>
              <w:bidi w:val="0"/>
              <w:adjustRightInd/>
              <w:jc w:val="center"/>
              <w:textAlignment w:val="auto"/>
              <w:rPr>
                <w:rFonts w:ascii="Calibri" w:hAnsi="Calibri" w:cs="Calibri"/>
                <w:color w:val="000000"/>
                <w:sz w:val="16"/>
                <w:szCs w:val="16"/>
                <w:lang w:eastAsia="en-US"/>
              </w:rPr>
            </w:pPr>
            <w:r w:rsidRPr="000B31B5">
              <w:rPr>
                <w:rFonts w:ascii="Calibri" w:hAnsi="Calibri" w:cs="Calibri"/>
                <w:color w:val="000000"/>
                <w:sz w:val="16"/>
                <w:szCs w:val="16"/>
                <w:lang w:eastAsia="en-US"/>
              </w:rPr>
              <w:t>7,731</w:t>
            </w:r>
          </w:p>
        </w:tc>
      </w:tr>
      <w:tr w:rsidR="000B31B5" w:rsidRPr="000B31B5" w14:paraId="2078913C" w14:textId="77777777" w:rsidTr="000B31B5">
        <w:trPr>
          <w:trHeight w:val="300"/>
        </w:trPr>
        <w:tc>
          <w:tcPr>
            <w:tcW w:w="968" w:type="pct"/>
            <w:tcBorders>
              <w:top w:val="nil"/>
              <w:left w:val="single" w:sz="4" w:space="0" w:color="979991"/>
              <w:bottom w:val="single" w:sz="4" w:space="0" w:color="979991"/>
              <w:right w:val="nil"/>
            </w:tcBorders>
            <w:shd w:val="clear" w:color="000000" w:fill="F0F4FA"/>
            <w:vAlign w:val="center"/>
            <w:hideMark/>
          </w:tcPr>
          <w:p w14:paraId="36787D09" w14:textId="77777777" w:rsidR="000B31B5" w:rsidRPr="000B31B5" w:rsidRDefault="000B31B5" w:rsidP="000B31B5">
            <w:pPr>
              <w:overflowPunct/>
              <w:autoSpaceDE/>
              <w:autoSpaceDN/>
              <w:bidi w:val="0"/>
              <w:adjustRightInd/>
              <w:jc w:val="center"/>
              <w:textAlignment w:val="auto"/>
              <w:rPr>
                <w:rFonts w:ascii="Calibri" w:hAnsi="Calibri" w:cs="Calibri"/>
                <w:color w:val="000000"/>
                <w:sz w:val="16"/>
                <w:szCs w:val="16"/>
                <w:lang w:eastAsia="en-US"/>
              </w:rPr>
            </w:pPr>
            <w:r w:rsidRPr="000B31B5">
              <w:rPr>
                <w:rFonts w:ascii="Calibri" w:hAnsi="Calibri" w:cs="Calibri"/>
                <w:color w:val="000000"/>
                <w:sz w:val="16"/>
                <w:szCs w:val="16"/>
                <w:lang w:eastAsia="en-US"/>
              </w:rPr>
              <w:t>076002</w:t>
            </w:r>
          </w:p>
        </w:tc>
        <w:tc>
          <w:tcPr>
            <w:tcW w:w="1111" w:type="pct"/>
            <w:tcBorders>
              <w:top w:val="nil"/>
              <w:left w:val="single" w:sz="4" w:space="0" w:color="979991"/>
              <w:bottom w:val="single" w:sz="4" w:space="0" w:color="979991"/>
              <w:right w:val="nil"/>
            </w:tcBorders>
            <w:shd w:val="clear" w:color="000000" w:fill="FFFFFF"/>
            <w:vAlign w:val="center"/>
            <w:hideMark/>
          </w:tcPr>
          <w:p w14:paraId="476185B4" w14:textId="77777777" w:rsidR="000B31B5" w:rsidRPr="000B31B5" w:rsidRDefault="000B31B5" w:rsidP="000B31B5">
            <w:pPr>
              <w:overflowPunct/>
              <w:autoSpaceDE/>
              <w:autoSpaceDN/>
              <w:bidi w:val="0"/>
              <w:adjustRightInd/>
              <w:jc w:val="center"/>
              <w:textAlignment w:val="auto"/>
              <w:rPr>
                <w:rFonts w:ascii="Calibri" w:hAnsi="Calibri" w:cs="Calibri"/>
                <w:color w:val="000000"/>
                <w:sz w:val="16"/>
                <w:szCs w:val="16"/>
                <w:lang w:eastAsia="en-US"/>
              </w:rPr>
            </w:pPr>
            <w:r w:rsidRPr="000B31B5">
              <w:rPr>
                <w:rFonts w:ascii="Calibri" w:hAnsi="Calibri" w:cs="Calibri"/>
                <w:color w:val="000000"/>
                <w:sz w:val="16"/>
                <w:szCs w:val="16"/>
                <w:lang w:eastAsia="en-US"/>
              </w:rPr>
              <w:t>130,878</w:t>
            </w:r>
          </w:p>
        </w:tc>
        <w:tc>
          <w:tcPr>
            <w:tcW w:w="968" w:type="pct"/>
            <w:tcBorders>
              <w:top w:val="nil"/>
              <w:left w:val="single" w:sz="4" w:space="0" w:color="979991"/>
              <w:bottom w:val="single" w:sz="4" w:space="0" w:color="979991"/>
              <w:right w:val="nil"/>
            </w:tcBorders>
            <w:shd w:val="clear" w:color="000000" w:fill="FFFFFF"/>
            <w:vAlign w:val="center"/>
            <w:hideMark/>
          </w:tcPr>
          <w:p w14:paraId="03533684" w14:textId="77777777" w:rsidR="000B31B5" w:rsidRPr="000B31B5" w:rsidRDefault="000B31B5" w:rsidP="000B31B5">
            <w:pPr>
              <w:overflowPunct/>
              <w:autoSpaceDE/>
              <w:autoSpaceDN/>
              <w:bidi w:val="0"/>
              <w:adjustRightInd/>
              <w:jc w:val="center"/>
              <w:textAlignment w:val="auto"/>
              <w:rPr>
                <w:rFonts w:ascii="Calibri" w:hAnsi="Calibri" w:cs="Calibri"/>
                <w:color w:val="000000"/>
                <w:sz w:val="16"/>
                <w:szCs w:val="16"/>
                <w:lang w:eastAsia="en-US"/>
              </w:rPr>
            </w:pPr>
            <w:r w:rsidRPr="000B31B5">
              <w:rPr>
                <w:rFonts w:ascii="Calibri" w:hAnsi="Calibri" w:cs="Calibri"/>
                <w:color w:val="000000"/>
                <w:sz w:val="16"/>
                <w:szCs w:val="16"/>
                <w:lang w:eastAsia="en-US"/>
              </w:rPr>
              <w:t>145,923</w:t>
            </w:r>
          </w:p>
        </w:tc>
        <w:tc>
          <w:tcPr>
            <w:tcW w:w="968" w:type="pct"/>
            <w:tcBorders>
              <w:top w:val="nil"/>
              <w:left w:val="single" w:sz="4" w:space="0" w:color="979991"/>
              <w:bottom w:val="single" w:sz="4" w:space="0" w:color="979991"/>
              <w:right w:val="nil"/>
            </w:tcBorders>
            <w:shd w:val="clear" w:color="000000" w:fill="FFFFFF"/>
            <w:vAlign w:val="center"/>
            <w:hideMark/>
          </w:tcPr>
          <w:p w14:paraId="2A5F1D8D" w14:textId="77777777" w:rsidR="000B31B5" w:rsidRPr="000B31B5" w:rsidRDefault="000B31B5" w:rsidP="000B31B5">
            <w:pPr>
              <w:overflowPunct/>
              <w:autoSpaceDE/>
              <w:autoSpaceDN/>
              <w:bidi w:val="0"/>
              <w:adjustRightInd/>
              <w:jc w:val="center"/>
              <w:textAlignment w:val="auto"/>
              <w:rPr>
                <w:rFonts w:ascii="Calibri" w:hAnsi="Calibri" w:cs="Calibri"/>
                <w:color w:val="000000"/>
                <w:sz w:val="16"/>
                <w:szCs w:val="16"/>
                <w:lang w:eastAsia="en-US"/>
              </w:rPr>
            </w:pPr>
            <w:r w:rsidRPr="000B31B5">
              <w:rPr>
                <w:rFonts w:ascii="Calibri" w:hAnsi="Calibri" w:cs="Calibri"/>
                <w:color w:val="000000"/>
                <w:sz w:val="16"/>
                <w:szCs w:val="16"/>
                <w:lang w:eastAsia="en-US"/>
              </w:rPr>
              <w:t>109,574</w:t>
            </w:r>
          </w:p>
        </w:tc>
        <w:tc>
          <w:tcPr>
            <w:tcW w:w="986" w:type="pct"/>
            <w:tcBorders>
              <w:top w:val="nil"/>
              <w:left w:val="single" w:sz="4" w:space="0" w:color="979991"/>
              <w:bottom w:val="single" w:sz="4" w:space="0" w:color="979991"/>
              <w:right w:val="single" w:sz="4" w:space="0" w:color="979991"/>
            </w:tcBorders>
            <w:shd w:val="clear" w:color="000000" w:fill="FFFFFF"/>
            <w:vAlign w:val="center"/>
            <w:hideMark/>
          </w:tcPr>
          <w:p w14:paraId="1DFD7B86" w14:textId="77777777" w:rsidR="000B31B5" w:rsidRPr="000B31B5" w:rsidRDefault="000B31B5" w:rsidP="000B31B5">
            <w:pPr>
              <w:overflowPunct/>
              <w:autoSpaceDE/>
              <w:autoSpaceDN/>
              <w:bidi w:val="0"/>
              <w:adjustRightInd/>
              <w:jc w:val="center"/>
              <w:textAlignment w:val="auto"/>
              <w:rPr>
                <w:rFonts w:ascii="Calibri" w:hAnsi="Calibri" w:cs="Calibri"/>
                <w:color w:val="000000"/>
                <w:sz w:val="16"/>
                <w:szCs w:val="16"/>
                <w:lang w:eastAsia="en-US"/>
              </w:rPr>
            </w:pPr>
            <w:r w:rsidRPr="000B31B5">
              <w:rPr>
                <w:rFonts w:ascii="Calibri" w:hAnsi="Calibri" w:cs="Calibri"/>
                <w:color w:val="000000"/>
                <w:sz w:val="16"/>
                <w:szCs w:val="16"/>
                <w:lang w:eastAsia="en-US"/>
              </w:rPr>
              <w:t>101,449</w:t>
            </w:r>
          </w:p>
        </w:tc>
      </w:tr>
      <w:tr w:rsidR="000B31B5" w:rsidRPr="000B31B5" w14:paraId="506460E7" w14:textId="77777777" w:rsidTr="000B31B5">
        <w:trPr>
          <w:trHeight w:val="300"/>
        </w:trPr>
        <w:tc>
          <w:tcPr>
            <w:tcW w:w="968" w:type="pct"/>
            <w:tcBorders>
              <w:top w:val="nil"/>
              <w:left w:val="single" w:sz="4" w:space="0" w:color="979991"/>
              <w:bottom w:val="single" w:sz="4" w:space="0" w:color="979991"/>
              <w:right w:val="nil"/>
            </w:tcBorders>
            <w:shd w:val="clear" w:color="000000" w:fill="F0F4FA"/>
            <w:vAlign w:val="center"/>
            <w:hideMark/>
          </w:tcPr>
          <w:p w14:paraId="4C685E32" w14:textId="77777777" w:rsidR="000B31B5" w:rsidRPr="000B31B5" w:rsidRDefault="000B31B5" w:rsidP="000B31B5">
            <w:pPr>
              <w:overflowPunct/>
              <w:autoSpaceDE/>
              <w:autoSpaceDN/>
              <w:bidi w:val="0"/>
              <w:adjustRightInd/>
              <w:jc w:val="center"/>
              <w:textAlignment w:val="auto"/>
              <w:rPr>
                <w:rFonts w:ascii="Calibri" w:hAnsi="Calibri" w:cs="Calibri"/>
                <w:color w:val="000000"/>
                <w:sz w:val="16"/>
                <w:szCs w:val="16"/>
                <w:lang w:eastAsia="en-US"/>
              </w:rPr>
            </w:pPr>
            <w:r w:rsidRPr="000B31B5">
              <w:rPr>
                <w:rFonts w:ascii="Calibri" w:hAnsi="Calibri" w:cs="Calibri"/>
                <w:color w:val="000000"/>
                <w:sz w:val="16"/>
                <w:szCs w:val="16"/>
                <w:lang w:eastAsia="en-US"/>
              </w:rPr>
              <w:t>077001</w:t>
            </w:r>
          </w:p>
        </w:tc>
        <w:tc>
          <w:tcPr>
            <w:tcW w:w="1111" w:type="pct"/>
            <w:tcBorders>
              <w:top w:val="nil"/>
              <w:left w:val="single" w:sz="4" w:space="0" w:color="979991"/>
              <w:bottom w:val="single" w:sz="4" w:space="0" w:color="979991"/>
              <w:right w:val="nil"/>
            </w:tcBorders>
            <w:shd w:val="clear" w:color="000000" w:fill="FFFFFF"/>
            <w:vAlign w:val="center"/>
            <w:hideMark/>
          </w:tcPr>
          <w:p w14:paraId="5AF2953B" w14:textId="77777777" w:rsidR="000B31B5" w:rsidRPr="000B31B5" w:rsidRDefault="000B31B5" w:rsidP="000B31B5">
            <w:pPr>
              <w:overflowPunct/>
              <w:autoSpaceDE/>
              <w:autoSpaceDN/>
              <w:bidi w:val="0"/>
              <w:adjustRightInd/>
              <w:jc w:val="center"/>
              <w:textAlignment w:val="auto"/>
              <w:rPr>
                <w:rFonts w:ascii="Calibri" w:hAnsi="Calibri" w:cs="Calibri"/>
                <w:color w:val="000000"/>
                <w:sz w:val="16"/>
                <w:szCs w:val="16"/>
                <w:lang w:eastAsia="en-US"/>
              </w:rPr>
            </w:pPr>
            <w:r w:rsidRPr="000B31B5">
              <w:rPr>
                <w:rFonts w:ascii="Calibri" w:hAnsi="Calibri" w:cs="Calibri"/>
                <w:color w:val="000000"/>
                <w:sz w:val="16"/>
                <w:szCs w:val="16"/>
                <w:lang w:eastAsia="en-US"/>
              </w:rPr>
              <w:t>12,578</w:t>
            </w:r>
          </w:p>
        </w:tc>
        <w:tc>
          <w:tcPr>
            <w:tcW w:w="968" w:type="pct"/>
            <w:tcBorders>
              <w:top w:val="nil"/>
              <w:left w:val="single" w:sz="4" w:space="0" w:color="979991"/>
              <w:bottom w:val="single" w:sz="4" w:space="0" w:color="979991"/>
              <w:right w:val="nil"/>
            </w:tcBorders>
            <w:shd w:val="clear" w:color="000000" w:fill="FFFFFF"/>
            <w:vAlign w:val="center"/>
            <w:hideMark/>
          </w:tcPr>
          <w:p w14:paraId="2753D5F2" w14:textId="77777777" w:rsidR="000B31B5" w:rsidRPr="000B31B5" w:rsidRDefault="000B31B5" w:rsidP="000B31B5">
            <w:pPr>
              <w:overflowPunct/>
              <w:autoSpaceDE/>
              <w:autoSpaceDN/>
              <w:bidi w:val="0"/>
              <w:adjustRightInd/>
              <w:jc w:val="center"/>
              <w:textAlignment w:val="auto"/>
              <w:rPr>
                <w:rFonts w:ascii="Calibri" w:hAnsi="Calibri" w:cs="Calibri"/>
                <w:color w:val="000000"/>
                <w:sz w:val="16"/>
                <w:szCs w:val="16"/>
                <w:lang w:eastAsia="en-US"/>
              </w:rPr>
            </w:pPr>
            <w:r w:rsidRPr="000B31B5">
              <w:rPr>
                <w:rFonts w:ascii="Calibri" w:hAnsi="Calibri" w:cs="Calibri"/>
                <w:color w:val="000000"/>
                <w:sz w:val="16"/>
                <w:szCs w:val="16"/>
                <w:lang w:eastAsia="en-US"/>
              </w:rPr>
              <w:t>46,406</w:t>
            </w:r>
          </w:p>
        </w:tc>
        <w:tc>
          <w:tcPr>
            <w:tcW w:w="968" w:type="pct"/>
            <w:tcBorders>
              <w:top w:val="nil"/>
              <w:left w:val="single" w:sz="4" w:space="0" w:color="979991"/>
              <w:bottom w:val="single" w:sz="4" w:space="0" w:color="979991"/>
              <w:right w:val="nil"/>
            </w:tcBorders>
            <w:shd w:val="clear" w:color="000000" w:fill="FFFFFF"/>
            <w:vAlign w:val="center"/>
            <w:hideMark/>
          </w:tcPr>
          <w:p w14:paraId="564372C3" w14:textId="77777777" w:rsidR="000B31B5" w:rsidRPr="000B31B5" w:rsidRDefault="000B31B5" w:rsidP="000B31B5">
            <w:pPr>
              <w:overflowPunct/>
              <w:autoSpaceDE/>
              <w:autoSpaceDN/>
              <w:bidi w:val="0"/>
              <w:adjustRightInd/>
              <w:jc w:val="center"/>
              <w:textAlignment w:val="auto"/>
              <w:rPr>
                <w:rFonts w:ascii="Calibri" w:hAnsi="Calibri" w:cs="Calibri"/>
                <w:color w:val="000000"/>
                <w:sz w:val="16"/>
                <w:szCs w:val="16"/>
                <w:lang w:eastAsia="en-US"/>
              </w:rPr>
            </w:pPr>
            <w:r w:rsidRPr="000B31B5">
              <w:rPr>
                <w:rFonts w:ascii="Calibri" w:hAnsi="Calibri" w:cs="Calibri"/>
                <w:color w:val="000000"/>
                <w:sz w:val="16"/>
                <w:szCs w:val="16"/>
                <w:lang w:eastAsia="en-US"/>
              </w:rPr>
              <w:t>59,952</w:t>
            </w:r>
          </w:p>
        </w:tc>
        <w:tc>
          <w:tcPr>
            <w:tcW w:w="986" w:type="pct"/>
            <w:tcBorders>
              <w:top w:val="nil"/>
              <w:left w:val="single" w:sz="4" w:space="0" w:color="979991"/>
              <w:bottom w:val="single" w:sz="4" w:space="0" w:color="979991"/>
              <w:right w:val="single" w:sz="4" w:space="0" w:color="979991"/>
            </w:tcBorders>
            <w:shd w:val="clear" w:color="000000" w:fill="FFFFFF"/>
            <w:vAlign w:val="center"/>
            <w:hideMark/>
          </w:tcPr>
          <w:p w14:paraId="74969879" w14:textId="77777777" w:rsidR="000B31B5" w:rsidRPr="000B31B5" w:rsidRDefault="000B31B5" w:rsidP="000B31B5">
            <w:pPr>
              <w:overflowPunct/>
              <w:autoSpaceDE/>
              <w:autoSpaceDN/>
              <w:bidi w:val="0"/>
              <w:adjustRightInd/>
              <w:jc w:val="center"/>
              <w:textAlignment w:val="auto"/>
              <w:rPr>
                <w:rFonts w:ascii="Calibri" w:hAnsi="Calibri" w:cs="Calibri"/>
                <w:color w:val="000000"/>
                <w:sz w:val="16"/>
                <w:szCs w:val="16"/>
                <w:lang w:eastAsia="en-US"/>
              </w:rPr>
            </w:pPr>
            <w:r w:rsidRPr="000B31B5">
              <w:rPr>
                <w:rFonts w:ascii="Calibri" w:hAnsi="Calibri" w:cs="Calibri"/>
                <w:color w:val="000000"/>
                <w:sz w:val="16"/>
                <w:szCs w:val="16"/>
                <w:lang w:eastAsia="en-US"/>
              </w:rPr>
              <w:t>3,742</w:t>
            </w:r>
          </w:p>
        </w:tc>
      </w:tr>
      <w:tr w:rsidR="000B31B5" w:rsidRPr="000B31B5" w14:paraId="1FDFF70F" w14:textId="77777777" w:rsidTr="000B31B5">
        <w:trPr>
          <w:trHeight w:val="300"/>
        </w:trPr>
        <w:tc>
          <w:tcPr>
            <w:tcW w:w="968" w:type="pct"/>
            <w:tcBorders>
              <w:top w:val="nil"/>
              <w:left w:val="single" w:sz="4" w:space="0" w:color="979991"/>
              <w:bottom w:val="single" w:sz="4" w:space="0" w:color="979991"/>
              <w:right w:val="nil"/>
            </w:tcBorders>
            <w:shd w:val="clear" w:color="000000" w:fill="F0F4FA"/>
            <w:vAlign w:val="center"/>
            <w:hideMark/>
          </w:tcPr>
          <w:p w14:paraId="35E65D01" w14:textId="77777777" w:rsidR="000B31B5" w:rsidRPr="000B31B5" w:rsidRDefault="000B31B5" w:rsidP="000B31B5">
            <w:pPr>
              <w:overflowPunct/>
              <w:autoSpaceDE/>
              <w:autoSpaceDN/>
              <w:bidi w:val="0"/>
              <w:adjustRightInd/>
              <w:jc w:val="center"/>
              <w:textAlignment w:val="auto"/>
              <w:rPr>
                <w:rFonts w:ascii="Calibri" w:hAnsi="Calibri" w:cs="Calibri"/>
                <w:color w:val="000000"/>
                <w:sz w:val="16"/>
                <w:szCs w:val="16"/>
                <w:lang w:eastAsia="en-US"/>
              </w:rPr>
            </w:pPr>
            <w:r w:rsidRPr="000B31B5">
              <w:rPr>
                <w:rFonts w:ascii="Calibri" w:hAnsi="Calibri" w:cs="Calibri"/>
                <w:color w:val="000000"/>
                <w:sz w:val="16"/>
                <w:szCs w:val="16"/>
                <w:lang w:eastAsia="en-US"/>
              </w:rPr>
              <w:t>077002</w:t>
            </w:r>
          </w:p>
        </w:tc>
        <w:tc>
          <w:tcPr>
            <w:tcW w:w="1111" w:type="pct"/>
            <w:tcBorders>
              <w:top w:val="nil"/>
              <w:left w:val="single" w:sz="4" w:space="0" w:color="979991"/>
              <w:bottom w:val="single" w:sz="4" w:space="0" w:color="979991"/>
              <w:right w:val="nil"/>
            </w:tcBorders>
            <w:shd w:val="clear" w:color="000000" w:fill="FFFFFF"/>
            <w:vAlign w:val="center"/>
            <w:hideMark/>
          </w:tcPr>
          <w:p w14:paraId="618AB618" w14:textId="77777777" w:rsidR="000B31B5" w:rsidRPr="000B31B5" w:rsidRDefault="000B31B5" w:rsidP="000B31B5">
            <w:pPr>
              <w:overflowPunct/>
              <w:autoSpaceDE/>
              <w:autoSpaceDN/>
              <w:bidi w:val="0"/>
              <w:adjustRightInd/>
              <w:jc w:val="center"/>
              <w:textAlignment w:val="auto"/>
              <w:rPr>
                <w:rFonts w:ascii="Calibri" w:hAnsi="Calibri" w:cs="Calibri"/>
                <w:color w:val="000000"/>
                <w:sz w:val="16"/>
                <w:szCs w:val="16"/>
                <w:lang w:eastAsia="en-US"/>
              </w:rPr>
            </w:pPr>
            <w:r w:rsidRPr="000B31B5">
              <w:rPr>
                <w:rFonts w:ascii="Calibri" w:hAnsi="Calibri" w:cs="Calibri"/>
                <w:color w:val="000000"/>
                <w:sz w:val="16"/>
                <w:szCs w:val="16"/>
                <w:lang w:eastAsia="en-US"/>
              </w:rPr>
              <w:t>247,942</w:t>
            </w:r>
          </w:p>
        </w:tc>
        <w:tc>
          <w:tcPr>
            <w:tcW w:w="968" w:type="pct"/>
            <w:tcBorders>
              <w:top w:val="nil"/>
              <w:left w:val="single" w:sz="4" w:space="0" w:color="979991"/>
              <w:bottom w:val="single" w:sz="4" w:space="0" w:color="979991"/>
              <w:right w:val="nil"/>
            </w:tcBorders>
            <w:shd w:val="clear" w:color="000000" w:fill="FFFFFF"/>
            <w:vAlign w:val="center"/>
            <w:hideMark/>
          </w:tcPr>
          <w:p w14:paraId="2178A28B" w14:textId="77777777" w:rsidR="000B31B5" w:rsidRPr="000B31B5" w:rsidRDefault="000B31B5" w:rsidP="000B31B5">
            <w:pPr>
              <w:overflowPunct/>
              <w:autoSpaceDE/>
              <w:autoSpaceDN/>
              <w:bidi w:val="0"/>
              <w:adjustRightInd/>
              <w:jc w:val="center"/>
              <w:textAlignment w:val="auto"/>
              <w:rPr>
                <w:rFonts w:ascii="Calibri" w:hAnsi="Calibri" w:cs="Calibri"/>
                <w:color w:val="000000"/>
                <w:sz w:val="16"/>
                <w:szCs w:val="16"/>
                <w:lang w:eastAsia="en-US"/>
              </w:rPr>
            </w:pPr>
            <w:r w:rsidRPr="000B31B5">
              <w:rPr>
                <w:rFonts w:ascii="Calibri" w:hAnsi="Calibri" w:cs="Calibri"/>
                <w:color w:val="000000"/>
                <w:sz w:val="16"/>
                <w:szCs w:val="16"/>
                <w:lang w:eastAsia="en-US"/>
              </w:rPr>
              <w:t>236,662</w:t>
            </w:r>
          </w:p>
        </w:tc>
        <w:tc>
          <w:tcPr>
            <w:tcW w:w="968" w:type="pct"/>
            <w:tcBorders>
              <w:top w:val="nil"/>
              <w:left w:val="single" w:sz="4" w:space="0" w:color="979991"/>
              <w:bottom w:val="single" w:sz="4" w:space="0" w:color="979991"/>
              <w:right w:val="nil"/>
            </w:tcBorders>
            <w:shd w:val="clear" w:color="000000" w:fill="FFFFFF"/>
            <w:vAlign w:val="center"/>
            <w:hideMark/>
          </w:tcPr>
          <w:p w14:paraId="2C007096" w14:textId="77777777" w:rsidR="000B31B5" w:rsidRPr="000B31B5" w:rsidRDefault="000B31B5" w:rsidP="000B31B5">
            <w:pPr>
              <w:overflowPunct/>
              <w:autoSpaceDE/>
              <w:autoSpaceDN/>
              <w:bidi w:val="0"/>
              <w:adjustRightInd/>
              <w:jc w:val="center"/>
              <w:textAlignment w:val="auto"/>
              <w:rPr>
                <w:rFonts w:ascii="Calibri" w:hAnsi="Calibri" w:cs="Calibri"/>
                <w:color w:val="000000"/>
                <w:sz w:val="16"/>
                <w:szCs w:val="16"/>
                <w:lang w:eastAsia="en-US"/>
              </w:rPr>
            </w:pPr>
            <w:r w:rsidRPr="000B31B5">
              <w:rPr>
                <w:rFonts w:ascii="Calibri" w:hAnsi="Calibri" w:cs="Calibri"/>
                <w:color w:val="000000"/>
                <w:sz w:val="16"/>
                <w:szCs w:val="16"/>
                <w:lang w:eastAsia="en-US"/>
              </w:rPr>
              <w:t>214,625</w:t>
            </w:r>
          </w:p>
        </w:tc>
        <w:tc>
          <w:tcPr>
            <w:tcW w:w="986" w:type="pct"/>
            <w:tcBorders>
              <w:top w:val="nil"/>
              <w:left w:val="single" w:sz="4" w:space="0" w:color="979991"/>
              <w:bottom w:val="single" w:sz="4" w:space="0" w:color="979991"/>
              <w:right w:val="single" w:sz="4" w:space="0" w:color="979991"/>
            </w:tcBorders>
            <w:shd w:val="clear" w:color="000000" w:fill="FFFFFF"/>
            <w:vAlign w:val="center"/>
            <w:hideMark/>
          </w:tcPr>
          <w:p w14:paraId="27EBE5EA" w14:textId="77777777" w:rsidR="000B31B5" w:rsidRPr="000B31B5" w:rsidRDefault="000B31B5" w:rsidP="000B31B5">
            <w:pPr>
              <w:overflowPunct/>
              <w:autoSpaceDE/>
              <w:autoSpaceDN/>
              <w:bidi w:val="0"/>
              <w:adjustRightInd/>
              <w:jc w:val="center"/>
              <w:textAlignment w:val="auto"/>
              <w:rPr>
                <w:rFonts w:ascii="Calibri" w:hAnsi="Calibri" w:cs="Calibri"/>
                <w:color w:val="000000"/>
                <w:sz w:val="16"/>
                <w:szCs w:val="16"/>
                <w:lang w:eastAsia="en-US"/>
              </w:rPr>
            </w:pPr>
            <w:r w:rsidRPr="000B31B5">
              <w:rPr>
                <w:rFonts w:ascii="Calibri" w:hAnsi="Calibri" w:cs="Calibri"/>
                <w:color w:val="000000"/>
                <w:sz w:val="16"/>
                <w:szCs w:val="16"/>
                <w:lang w:eastAsia="en-US"/>
              </w:rPr>
              <w:t>261,150</w:t>
            </w:r>
          </w:p>
        </w:tc>
      </w:tr>
      <w:tr w:rsidR="000B31B5" w:rsidRPr="000B31B5" w14:paraId="38DF2501" w14:textId="77777777" w:rsidTr="000B31B5">
        <w:trPr>
          <w:trHeight w:val="300"/>
        </w:trPr>
        <w:tc>
          <w:tcPr>
            <w:tcW w:w="968" w:type="pct"/>
            <w:tcBorders>
              <w:top w:val="nil"/>
              <w:left w:val="single" w:sz="4" w:space="0" w:color="979991"/>
              <w:bottom w:val="single" w:sz="4" w:space="0" w:color="979991"/>
              <w:right w:val="nil"/>
            </w:tcBorders>
            <w:shd w:val="clear" w:color="000000" w:fill="F0F4FA"/>
            <w:vAlign w:val="center"/>
            <w:hideMark/>
          </w:tcPr>
          <w:p w14:paraId="6E15C500" w14:textId="77777777" w:rsidR="000B31B5" w:rsidRPr="000B31B5" w:rsidRDefault="000B31B5" w:rsidP="000B31B5">
            <w:pPr>
              <w:overflowPunct/>
              <w:autoSpaceDE/>
              <w:autoSpaceDN/>
              <w:bidi w:val="0"/>
              <w:adjustRightInd/>
              <w:jc w:val="center"/>
              <w:textAlignment w:val="auto"/>
              <w:rPr>
                <w:rFonts w:ascii="Calibri" w:hAnsi="Calibri" w:cs="Calibri"/>
                <w:color w:val="000000"/>
                <w:sz w:val="16"/>
                <w:szCs w:val="16"/>
                <w:lang w:eastAsia="en-US"/>
              </w:rPr>
            </w:pPr>
            <w:r w:rsidRPr="000B31B5">
              <w:rPr>
                <w:rFonts w:ascii="Calibri" w:hAnsi="Calibri" w:cs="Calibri"/>
                <w:color w:val="000000"/>
                <w:sz w:val="16"/>
                <w:szCs w:val="16"/>
                <w:lang w:eastAsia="en-US"/>
              </w:rPr>
              <w:t>078001</w:t>
            </w:r>
          </w:p>
        </w:tc>
        <w:tc>
          <w:tcPr>
            <w:tcW w:w="1111" w:type="pct"/>
            <w:tcBorders>
              <w:top w:val="nil"/>
              <w:left w:val="single" w:sz="4" w:space="0" w:color="979991"/>
              <w:bottom w:val="single" w:sz="4" w:space="0" w:color="979991"/>
              <w:right w:val="nil"/>
            </w:tcBorders>
            <w:shd w:val="clear" w:color="000000" w:fill="FFFFFF"/>
            <w:vAlign w:val="center"/>
            <w:hideMark/>
          </w:tcPr>
          <w:p w14:paraId="543386F0" w14:textId="77777777" w:rsidR="000B31B5" w:rsidRPr="000B31B5" w:rsidRDefault="000B31B5" w:rsidP="000B31B5">
            <w:pPr>
              <w:overflowPunct/>
              <w:autoSpaceDE/>
              <w:autoSpaceDN/>
              <w:bidi w:val="0"/>
              <w:adjustRightInd/>
              <w:jc w:val="center"/>
              <w:textAlignment w:val="auto"/>
              <w:rPr>
                <w:rFonts w:ascii="Calibri" w:hAnsi="Calibri" w:cs="Calibri"/>
                <w:color w:val="000000"/>
                <w:sz w:val="16"/>
                <w:szCs w:val="16"/>
                <w:lang w:eastAsia="en-US"/>
              </w:rPr>
            </w:pPr>
            <w:r w:rsidRPr="000B31B5">
              <w:rPr>
                <w:rFonts w:ascii="Calibri" w:hAnsi="Calibri" w:cs="Calibri"/>
                <w:color w:val="000000"/>
                <w:sz w:val="16"/>
                <w:szCs w:val="16"/>
                <w:lang w:eastAsia="en-US"/>
              </w:rPr>
              <w:t>928</w:t>
            </w:r>
          </w:p>
        </w:tc>
        <w:tc>
          <w:tcPr>
            <w:tcW w:w="968" w:type="pct"/>
            <w:tcBorders>
              <w:top w:val="nil"/>
              <w:left w:val="single" w:sz="4" w:space="0" w:color="979991"/>
              <w:bottom w:val="single" w:sz="4" w:space="0" w:color="979991"/>
              <w:right w:val="nil"/>
            </w:tcBorders>
            <w:shd w:val="clear" w:color="000000" w:fill="FFFFFF"/>
            <w:vAlign w:val="center"/>
            <w:hideMark/>
          </w:tcPr>
          <w:p w14:paraId="57CC7B6E" w14:textId="77777777" w:rsidR="000B31B5" w:rsidRPr="000B31B5" w:rsidRDefault="000B31B5" w:rsidP="000B31B5">
            <w:pPr>
              <w:overflowPunct/>
              <w:autoSpaceDE/>
              <w:autoSpaceDN/>
              <w:bidi w:val="0"/>
              <w:adjustRightInd/>
              <w:jc w:val="center"/>
              <w:textAlignment w:val="auto"/>
              <w:rPr>
                <w:rFonts w:ascii="Calibri" w:hAnsi="Calibri" w:cs="Calibri"/>
                <w:color w:val="000000"/>
                <w:sz w:val="16"/>
                <w:szCs w:val="16"/>
                <w:lang w:eastAsia="en-US"/>
              </w:rPr>
            </w:pPr>
            <w:r w:rsidRPr="000B31B5">
              <w:rPr>
                <w:rFonts w:ascii="Calibri" w:hAnsi="Calibri" w:cs="Calibri"/>
                <w:color w:val="000000"/>
                <w:sz w:val="16"/>
                <w:szCs w:val="16"/>
                <w:lang w:eastAsia="en-US"/>
              </w:rPr>
              <w:t>2,415</w:t>
            </w:r>
          </w:p>
        </w:tc>
        <w:tc>
          <w:tcPr>
            <w:tcW w:w="968" w:type="pct"/>
            <w:tcBorders>
              <w:top w:val="nil"/>
              <w:left w:val="single" w:sz="4" w:space="0" w:color="979991"/>
              <w:bottom w:val="single" w:sz="4" w:space="0" w:color="979991"/>
              <w:right w:val="nil"/>
            </w:tcBorders>
            <w:shd w:val="clear" w:color="000000" w:fill="FFFFFF"/>
            <w:vAlign w:val="center"/>
            <w:hideMark/>
          </w:tcPr>
          <w:p w14:paraId="5AA8076C" w14:textId="77777777" w:rsidR="000B31B5" w:rsidRPr="000B31B5" w:rsidRDefault="000B31B5" w:rsidP="000B31B5">
            <w:pPr>
              <w:overflowPunct/>
              <w:autoSpaceDE/>
              <w:autoSpaceDN/>
              <w:bidi w:val="0"/>
              <w:adjustRightInd/>
              <w:jc w:val="center"/>
              <w:textAlignment w:val="auto"/>
              <w:rPr>
                <w:rFonts w:ascii="Calibri" w:hAnsi="Calibri" w:cs="Calibri"/>
                <w:color w:val="000000"/>
                <w:sz w:val="16"/>
                <w:szCs w:val="16"/>
                <w:lang w:eastAsia="en-US"/>
              </w:rPr>
            </w:pPr>
            <w:r w:rsidRPr="000B31B5">
              <w:rPr>
                <w:rFonts w:ascii="Calibri" w:hAnsi="Calibri" w:cs="Calibri"/>
                <w:color w:val="000000"/>
                <w:sz w:val="16"/>
                <w:szCs w:val="16"/>
                <w:lang w:eastAsia="en-US"/>
              </w:rPr>
              <w:t>5,693</w:t>
            </w:r>
          </w:p>
        </w:tc>
        <w:tc>
          <w:tcPr>
            <w:tcW w:w="986" w:type="pct"/>
            <w:tcBorders>
              <w:top w:val="nil"/>
              <w:left w:val="single" w:sz="4" w:space="0" w:color="979991"/>
              <w:bottom w:val="single" w:sz="4" w:space="0" w:color="979991"/>
              <w:right w:val="single" w:sz="4" w:space="0" w:color="979991"/>
            </w:tcBorders>
            <w:shd w:val="clear" w:color="000000" w:fill="FFFFFF"/>
            <w:vAlign w:val="center"/>
            <w:hideMark/>
          </w:tcPr>
          <w:p w14:paraId="7B31999D" w14:textId="77777777" w:rsidR="000B31B5" w:rsidRPr="000B31B5" w:rsidRDefault="000B31B5" w:rsidP="000B31B5">
            <w:pPr>
              <w:overflowPunct/>
              <w:autoSpaceDE/>
              <w:autoSpaceDN/>
              <w:bidi w:val="0"/>
              <w:adjustRightInd/>
              <w:jc w:val="center"/>
              <w:textAlignment w:val="auto"/>
              <w:rPr>
                <w:rFonts w:ascii="Calibri" w:hAnsi="Calibri" w:cs="Calibri"/>
                <w:color w:val="000000"/>
                <w:sz w:val="16"/>
                <w:szCs w:val="16"/>
                <w:lang w:eastAsia="en-US"/>
              </w:rPr>
            </w:pPr>
            <w:r w:rsidRPr="000B31B5">
              <w:rPr>
                <w:rFonts w:ascii="Calibri" w:hAnsi="Calibri" w:cs="Calibri"/>
                <w:color w:val="000000"/>
                <w:sz w:val="16"/>
                <w:szCs w:val="16"/>
                <w:lang w:eastAsia="en-US"/>
              </w:rPr>
              <w:t>8,257</w:t>
            </w:r>
          </w:p>
        </w:tc>
      </w:tr>
      <w:tr w:rsidR="000B31B5" w:rsidRPr="000B31B5" w14:paraId="08BB2C47" w14:textId="77777777" w:rsidTr="000B31B5">
        <w:trPr>
          <w:trHeight w:val="300"/>
        </w:trPr>
        <w:tc>
          <w:tcPr>
            <w:tcW w:w="968" w:type="pct"/>
            <w:tcBorders>
              <w:top w:val="nil"/>
              <w:left w:val="single" w:sz="4" w:space="0" w:color="979991"/>
              <w:bottom w:val="single" w:sz="4" w:space="0" w:color="979991"/>
              <w:right w:val="nil"/>
            </w:tcBorders>
            <w:shd w:val="clear" w:color="000000" w:fill="F0F4FA"/>
            <w:vAlign w:val="center"/>
            <w:hideMark/>
          </w:tcPr>
          <w:p w14:paraId="639B72B3" w14:textId="77777777" w:rsidR="000B31B5" w:rsidRPr="000B31B5" w:rsidRDefault="000B31B5" w:rsidP="000B31B5">
            <w:pPr>
              <w:overflowPunct/>
              <w:autoSpaceDE/>
              <w:autoSpaceDN/>
              <w:bidi w:val="0"/>
              <w:adjustRightInd/>
              <w:jc w:val="center"/>
              <w:textAlignment w:val="auto"/>
              <w:rPr>
                <w:rFonts w:ascii="Calibri" w:hAnsi="Calibri" w:cs="Calibri"/>
                <w:color w:val="000000"/>
                <w:sz w:val="16"/>
                <w:szCs w:val="16"/>
                <w:lang w:eastAsia="en-US"/>
              </w:rPr>
            </w:pPr>
            <w:r w:rsidRPr="000B31B5">
              <w:rPr>
                <w:rFonts w:ascii="Calibri" w:hAnsi="Calibri" w:cs="Calibri"/>
                <w:color w:val="000000"/>
                <w:sz w:val="16"/>
                <w:szCs w:val="16"/>
                <w:lang w:eastAsia="en-US"/>
              </w:rPr>
              <w:t>078002</w:t>
            </w:r>
          </w:p>
        </w:tc>
        <w:tc>
          <w:tcPr>
            <w:tcW w:w="1111" w:type="pct"/>
            <w:tcBorders>
              <w:top w:val="nil"/>
              <w:left w:val="single" w:sz="4" w:space="0" w:color="979991"/>
              <w:bottom w:val="single" w:sz="4" w:space="0" w:color="979991"/>
              <w:right w:val="nil"/>
            </w:tcBorders>
            <w:shd w:val="clear" w:color="000000" w:fill="FFFFFF"/>
            <w:vAlign w:val="center"/>
            <w:hideMark/>
          </w:tcPr>
          <w:p w14:paraId="5D8C26F9" w14:textId="77777777" w:rsidR="000B31B5" w:rsidRPr="000B31B5" w:rsidRDefault="000B31B5" w:rsidP="000B31B5">
            <w:pPr>
              <w:overflowPunct/>
              <w:autoSpaceDE/>
              <w:autoSpaceDN/>
              <w:bidi w:val="0"/>
              <w:adjustRightInd/>
              <w:jc w:val="center"/>
              <w:textAlignment w:val="auto"/>
              <w:rPr>
                <w:rFonts w:ascii="Calibri" w:hAnsi="Calibri" w:cs="Calibri"/>
                <w:color w:val="000000"/>
                <w:sz w:val="16"/>
                <w:szCs w:val="16"/>
                <w:lang w:eastAsia="en-US"/>
              </w:rPr>
            </w:pPr>
            <w:r w:rsidRPr="000B31B5">
              <w:rPr>
                <w:rFonts w:ascii="Calibri" w:hAnsi="Calibri" w:cs="Calibri"/>
                <w:color w:val="000000"/>
                <w:sz w:val="16"/>
                <w:szCs w:val="16"/>
                <w:lang w:eastAsia="en-US"/>
              </w:rPr>
              <w:t>422,908</w:t>
            </w:r>
          </w:p>
        </w:tc>
        <w:tc>
          <w:tcPr>
            <w:tcW w:w="968" w:type="pct"/>
            <w:tcBorders>
              <w:top w:val="nil"/>
              <w:left w:val="single" w:sz="4" w:space="0" w:color="979991"/>
              <w:bottom w:val="single" w:sz="4" w:space="0" w:color="979991"/>
              <w:right w:val="nil"/>
            </w:tcBorders>
            <w:shd w:val="clear" w:color="000000" w:fill="FFFFFF"/>
            <w:vAlign w:val="center"/>
            <w:hideMark/>
          </w:tcPr>
          <w:p w14:paraId="64C01883" w14:textId="77777777" w:rsidR="000B31B5" w:rsidRPr="000B31B5" w:rsidRDefault="000B31B5" w:rsidP="000B31B5">
            <w:pPr>
              <w:overflowPunct/>
              <w:autoSpaceDE/>
              <w:autoSpaceDN/>
              <w:bidi w:val="0"/>
              <w:adjustRightInd/>
              <w:jc w:val="center"/>
              <w:textAlignment w:val="auto"/>
              <w:rPr>
                <w:rFonts w:ascii="Calibri" w:hAnsi="Calibri" w:cs="Calibri"/>
                <w:color w:val="000000"/>
                <w:sz w:val="16"/>
                <w:szCs w:val="16"/>
                <w:lang w:eastAsia="en-US"/>
              </w:rPr>
            </w:pPr>
            <w:r w:rsidRPr="000B31B5">
              <w:rPr>
                <w:rFonts w:ascii="Calibri" w:hAnsi="Calibri" w:cs="Calibri"/>
                <w:color w:val="000000"/>
                <w:sz w:val="16"/>
                <w:szCs w:val="16"/>
                <w:lang w:eastAsia="en-US"/>
              </w:rPr>
              <w:t>1,155,432</w:t>
            </w:r>
          </w:p>
        </w:tc>
        <w:tc>
          <w:tcPr>
            <w:tcW w:w="968" w:type="pct"/>
            <w:tcBorders>
              <w:top w:val="nil"/>
              <w:left w:val="single" w:sz="4" w:space="0" w:color="979991"/>
              <w:bottom w:val="single" w:sz="4" w:space="0" w:color="979991"/>
              <w:right w:val="nil"/>
            </w:tcBorders>
            <w:shd w:val="clear" w:color="000000" w:fill="FFFFFF"/>
            <w:vAlign w:val="center"/>
            <w:hideMark/>
          </w:tcPr>
          <w:p w14:paraId="387955AC" w14:textId="77777777" w:rsidR="000B31B5" w:rsidRPr="000B31B5" w:rsidRDefault="000B31B5" w:rsidP="000B31B5">
            <w:pPr>
              <w:overflowPunct/>
              <w:autoSpaceDE/>
              <w:autoSpaceDN/>
              <w:bidi w:val="0"/>
              <w:adjustRightInd/>
              <w:jc w:val="center"/>
              <w:textAlignment w:val="auto"/>
              <w:rPr>
                <w:rFonts w:ascii="Calibri" w:hAnsi="Calibri" w:cs="Calibri"/>
                <w:color w:val="000000"/>
                <w:sz w:val="16"/>
                <w:szCs w:val="16"/>
                <w:lang w:eastAsia="en-US"/>
              </w:rPr>
            </w:pPr>
            <w:r w:rsidRPr="000B31B5">
              <w:rPr>
                <w:rFonts w:ascii="Calibri" w:hAnsi="Calibri" w:cs="Calibri"/>
                <w:color w:val="000000"/>
                <w:sz w:val="16"/>
                <w:szCs w:val="16"/>
                <w:lang w:eastAsia="en-US"/>
              </w:rPr>
              <w:t>890,806</w:t>
            </w:r>
          </w:p>
        </w:tc>
        <w:tc>
          <w:tcPr>
            <w:tcW w:w="986" w:type="pct"/>
            <w:tcBorders>
              <w:top w:val="nil"/>
              <w:left w:val="single" w:sz="4" w:space="0" w:color="979991"/>
              <w:bottom w:val="single" w:sz="4" w:space="0" w:color="979991"/>
              <w:right w:val="single" w:sz="4" w:space="0" w:color="979991"/>
            </w:tcBorders>
            <w:shd w:val="clear" w:color="000000" w:fill="FFFFFF"/>
            <w:vAlign w:val="center"/>
            <w:hideMark/>
          </w:tcPr>
          <w:p w14:paraId="21D87988" w14:textId="77777777" w:rsidR="000B31B5" w:rsidRPr="000B31B5" w:rsidRDefault="000B31B5" w:rsidP="000B31B5">
            <w:pPr>
              <w:overflowPunct/>
              <w:autoSpaceDE/>
              <w:autoSpaceDN/>
              <w:bidi w:val="0"/>
              <w:adjustRightInd/>
              <w:jc w:val="center"/>
              <w:textAlignment w:val="auto"/>
              <w:rPr>
                <w:rFonts w:ascii="Calibri" w:hAnsi="Calibri" w:cs="Calibri"/>
                <w:color w:val="000000"/>
                <w:sz w:val="16"/>
                <w:szCs w:val="16"/>
                <w:lang w:eastAsia="en-US"/>
              </w:rPr>
            </w:pPr>
            <w:r w:rsidRPr="000B31B5">
              <w:rPr>
                <w:rFonts w:ascii="Calibri" w:hAnsi="Calibri" w:cs="Calibri"/>
                <w:color w:val="000000"/>
                <w:sz w:val="16"/>
                <w:szCs w:val="16"/>
                <w:lang w:eastAsia="en-US"/>
              </w:rPr>
              <w:t>189,408</w:t>
            </w:r>
          </w:p>
        </w:tc>
      </w:tr>
      <w:tr w:rsidR="000B31B5" w:rsidRPr="000B31B5" w14:paraId="66BD2636" w14:textId="77777777" w:rsidTr="000B31B5">
        <w:trPr>
          <w:trHeight w:val="300"/>
        </w:trPr>
        <w:tc>
          <w:tcPr>
            <w:tcW w:w="968" w:type="pct"/>
            <w:tcBorders>
              <w:top w:val="nil"/>
              <w:left w:val="single" w:sz="4" w:space="0" w:color="979991"/>
              <w:bottom w:val="single" w:sz="4" w:space="0" w:color="979991"/>
              <w:right w:val="nil"/>
            </w:tcBorders>
            <w:shd w:val="clear" w:color="000000" w:fill="F0F4FA"/>
            <w:vAlign w:val="center"/>
            <w:hideMark/>
          </w:tcPr>
          <w:p w14:paraId="0F9E596B" w14:textId="77777777" w:rsidR="000B31B5" w:rsidRPr="000B31B5" w:rsidRDefault="000B31B5" w:rsidP="000B31B5">
            <w:pPr>
              <w:overflowPunct/>
              <w:autoSpaceDE/>
              <w:autoSpaceDN/>
              <w:bidi w:val="0"/>
              <w:adjustRightInd/>
              <w:jc w:val="center"/>
              <w:textAlignment w:val="auto"/>
              <w:rPr>
                <w:rFonts w:ascii="Calibri" w:hAnsi="Calibri" w:cs="Calibri"/>
                <w:color w:val="000000"/>
                <w:sz w:val="16"/>
                <w:szCs w:val="16"/>
                <w:lang w:eastAsia="en-US"/>
              </w:rPr>
            </w:pPr>
            <w:r w:rsidRPr="000B31B5">
              <w:rPr>
                <w:rFonts w:ascii="Calibri" w:hAnsi="Calibri" w:cs="Calibri"/>
                <w:color w:val="000000"/>
                <w:sz w:val="16"/>
                <w:szCs w:val="16"/>
                <w:lang w:eastAsia="en-US"/>
              </w:rPr>
              <w:t>078003</w:t>
            </w:r>
          </w:p>
        </w:tc>
        <w:tc>
          <w:tcPr>
            <w:tcW w:w="1111" w:type="pct"/>
            <w:tcBorders>
              <w:top w:val="nil"/>
              <w:left w:val="single" w:sz="4" w:space="0" w:color="979991"/>
              <w:bottom w:val="single" w:sz="4" w:space="0" w:color="979991"/>
              <w:right w:val="nil"/>
            </w:tcBorders>
            <w:shd w:val="clear" w:color="000000" w:fill="FFFFFF"/>
            <w:vAlign w:val="center"/>
            <w:hideMark/>
          </w:tcPr>
          <w:p w14:paraId="48D90522" w14:textId="77777777" w:rsidR="000B31B5" w:rsidRPr="000B31B5" w:rsidRDefault="000B31B5" w:rsidP="000B31B5">
            <w:pPr>
              <w:overflowPunct/>
              <w:autoSpaceDE/>
              <w:autoSpaceDN/>
              <w:bidi w:val="0"/>
              <w:adjustRightInd/>
              <w:jc w:val="center"/>
              <w:textAlignment w:val="auto"/>
              <w:rPr>
                <w:rFonts w:ascii="Calibri" w:hAnsi="Calibri" w:cs="Calibri"/>
                <w:color w:val="000000"/>
                <w:sz w:val="16"/>
                <w:szCs w:val="16"/>
                <w:lang w:eastAsia="en-US"/>
              </w:rPr>
            </w:pPr>
            <w:r w:rsidRPr="000B31B5">
              <w:rPr>
                <w:rFonts w:ascii="Calibri" w:hAnsi="Calibri" w:cs="Calibri"/>
                <w:color w:val="000000"/>
                <w:sz w:val="16"/>
                <w:szCs w:val="16"/>
                <w:lang w:eastAsia="en-US"/>
              </w:rPr>
              <w:t>15,178</w:t>
            </w:r>
          </w:p>
        </w:tc>
        <w:tc>
          <w:tcPr>
            <w:tcW w:w="968" w:type="pct"/>
            <w:tcBorders>
              <w:top w:val="nil"/>
              <w:left w:val="single" w:sz="4" w:space="0" w:color="979991"/>
              <w:bottom w:val="single" w:sz="4" w:space="0" w:color="979991"/>
              <w:right w:val="nil"/>
            </w:tcBorders>
            <w:shd w:val="clear" w:color="000000" w:fill="FFFFFF"/>
            <w:vAlign w:val="center"/>
            <w:hideMark/>
          </w:tcPr>
          <w:p w14:paraId="48A6CA15" w14:textId="77777777" w:rsidR="000B31B5" w:rsidRPr="000B31B5" w:rsidRDefault="000B31B5" w:rsidP="000B31B5">
            <w:pPr>
              <w:overflowPunct/>
              <w:autoSpaceDE/>
              <w:autoSpaceDN/>
              <w:bidi w:val="0"/>
              <w:adjustRightInd/>
              <w:jc w:val="center"/>
              <w:textAlignment w:val="auto"/>
              <w:rPr>
                <w:rFonts w:ascii="Calibri" w:hAnsi="Calibri" w:cs="Calibri"/>
                <w:color w:val="000000"/>
                <w:sz w:val="16"/>
                <w:szCs w:val="16"/>
                <w:lang w:eastAsia="en-US"/>
              </w:rPr>
            </w:pPr>
            <w:r w:rsidRPr="000B31B5">
              <w:rPr>
                <w:rFonts w:ascii="Calibri" w:hAnsi="Calibri" w:cs="Calibri"/>
                <w:color w:val="000000"/>
                <w:sz w:val="16"/>
                <w:szCs w:val="16"/>
                <w:lang w:eastAsia="en-US"/>
              </w:rPr>
              <w:t>2,824</w:t>
            </w:r>
          </w:p>
        </w:tc>
        <w:tc>
          <w:tcPr>
            <w:tcW w:w="968" w:type="pct"/>
            <w:tcBorders>
              <w:top w:val="nil"/>
              <w:left w:val="single" w:sz="4" w:space="0" w:color="979991"/>
              <w:bottom w:val="single" w:sz="4" w:space="0" w:color="979991"/>
              <w:right w:val="nil"/>
            </w:tcBorders>
            <w:shd w:val="clear" w:color="000000" w:fill="FFFFFF"/>
            <w:vAlign w:val="center"/>
            <w:hideMark/>
          </w:tcPr>
          <w:p w14:paraId="41A37493" w14:textId="77777777" w:rsidR="000B31B5" w:rsidRPr="000B31B5" w:rsidRDefault="000B31B5" w:rsidP="000B31B5">
            <w:pPr>
              <w:overflowPunct/>
              <w:autoSpaceDE/>
              <w:autoSpaceDN/>
              <w:bidi w:val="0"/>
              <w:adjustRightInd/>
              <w:jc w:val="center"/>
              <w:textAlignment w:val="auto"/>
              <w:rPr>
                <w:rFonts w:ascii="Calibri" w:hAnsi="Calibri" w:cs="Calibri"/>
                <w:color w:val="000000"/>
                <w:sz w:val="16"/>
                <w:szCs w:val="16"/>
                <w:lang w:eastAsia="en-US"/>
              </w:rPr>
            </w:pPr>
            <w:r w:rsidRPr="000B31B5">
              <w:rPr>
                <w:rFonts w:ascii="Calibri" w:hAnsi="Calibri" w:cs="Calibri"/>
                <w:color w:val="000000"/>
                <w:sz w:val="16"/>
                <w:szCs w:val="16"/>
                <w:lang w:eastAsia="en-US"/>
              </w:rPr>
              <w:t>625</w:t>
            </w:r>
          </w:p>
        </w:tc>
        <w:tc>
          <w:tcPr>
            <w:tcW w:w="986" w:type="pct"/>
            <w:tcBorders>
              <w:top w:val="nil"/>
              <w:left w:val="single" w:sz="4" w:space="0" w:color="979991"/>
              <w:bottom w:val="single" w:sz="4" w:space="0" w:color="979991"/>
              <w:right w:val="single" w:sz="4" w:space="0" w:color="979991"/>
            </w:tcBorders>
            <w:shd w:val="clear" w:color="000000" w:fill="FFFFFF"/>
            <w:vAlign w:val="center"/>
            <w:hideMark/>
          </w:tcPr>
          <w:p w14:paraId="36BC094A" w14:textId="77777777" w:rsidR="000B31B5" w:rsidRPr="000B31B5" w:rsidRDefault="000B31B5" w:rsidP="000B31B5">
            <w:pPr>
              <w:overflowPunct/>
              <w:autoSpaceDE/>
              <w:autoSpaceDN/>
              <w:bidi w:val="0"/>
              <w:adjustRightInd/>
              <w:jc w:val="center"/>
              <w:textAlignment w:val="auto"/>
              <w:rPr>
                <w:rFonts w:ascii="Calibri" w:hAnsi="Calibri" w:cs="Calibri"/>
                <w:color w:val="000000"/>
                <w:sz w:val="16"/>
                <w:szCs w:val="16"/>
                <w:lang w:eastAsia="en-US"/>
              </w:rPr>
            </w:pPr>
            <w:r w:rsidRPr="000B31B5">
              <w:rPr>
                <w:rFonts w:ascii="Calibri" w:hAnsi="Calibri" w:cs="Calibri"/>
                <w:color w:val="000000"/>
                <w:sz w:val="16"/>
                <w:szCs w:val="16"/>
                <w:lang w:eastAsia="en-US"/>
              </w:rPr>
              <w:t>138,992</w:t>
            </w:r>
          </w:p>
        </w:tc>
      </w:tr>
    </w:tbl>
    <w:p w14:paraId="5552F980" w14:textId="6B3A7BB0" w:rsidR="000B31B5" w:rsidRDefault="000B31B5">
      <w:pPr>
        <w:rPr>
          <w:rFonts w:cs="FrankRuehl"/>
          <w:sz w:val="26"/>
          <w:szCs w:val="26"/>
          <w:rtl/>
        </w:rPr>
      </w:pPr>
    </w:p>
    <w:p w14:paraId="3DA8071F" w14:textId="72261796" w:rsidR="000B31B5" w:rsidRDefault="000B31B5">
      <w:pPr>
        <w:rPr>
          <w:rFonts w:cs="FrankRuehl"/>
          <w:sz w:val="26"/>
          <w:szCs w:val="26"/>
          <w:rtl/>
        </w:rPr>
      </w:pPr>
    </w:p>
    <w:p w14:paraId="3A63C1D7" w14:textId="201021C2" w:rsidR="000B31B5" w:rsidRDefault="000B31B5">
      <w:pPr>
        <w:rPr>
          <w:rFonts w:cs="FrankRuehl"/>
          <w:sz w:val="26"/>
          <w:szCs w:val="26"/>
          <w:rtl/>
        </w:rPr>
      </w:pPr>
    </w:p>
    <w:p w14:paraId="25EBE259" w14:textId="6557461F" w:rsidR="000B31B5" w:rsidRDefault="000B31B5">
      <w:pPr>
        <w:rPr>
          <w:rFonts w:cs="FrankRuehl"/>
          <w:sz w:val="26"/>
          <w:szCs w:val="26"/>
          <w:rtl/>
        </w:rPr>
      </w:pPr>
    </w:p>
    <w:p w14:paraId="602A12A3" w14:textId="4919EF53" w:rsidR="000B31B5" w:rsidRDefault="000B31B5">
      <w:pPr>
        <w:rPr>
          <w:rFonts w:cs="FrankRuehl"/>
          <w:sz w:val="26"/>
          <w:szCs w:val="26"/>
          <w:rtl/>
        </w:rPr>
      </w:pPr>
    </w:p>
    <w:p w14:paraId="02FF2384" w14:textId="110222B2" w:rsidR="000B31B5" w:rsidRDefault="000B31B5">
      <w:pPr>
        <w:rPr>
          <w:rFonts w:cs="FrankRuehl"/>
          <w:sz w:val="26"/>
          <w:szCs w:val="26"/>
          <w:rtl/>
        </w:rPr>
      </w:pPr>
    </w:p>
    <w:p w14:paraId="19F9D2CC" w14:textId="20189535" w:rsidR="000B31B5" w:rsidRDefault="000B31B5">
      <w:pPr>
        <w:rPr>
          <w:rFonts w:cs="FrankRuehl"/>
          <w:sz w:val="26"/>
          <w:szCs w:val="26"/>
          <w:rtl/>
        </w:rPr>
      </w:pPr>
    </w:p>
    <w:p w14:paraId="6A20D576" w14:textId="08AA0D73" w:rsidR="000B31B5" w:rsidRDefault="000B31B5">
      <w:pPr>
        <w:rPr>
          <w:rFonts w:cs="FrankRuehl"/>
          <w:sz w:val="26"/>
          <w:szCs w:val="26"/>
          <w:rtl/>
        </w:rPr>
      </w:pPr>
    </w:p>
    <w:p w14:paraId="7ED2B8BC" w14:textId="77777777" w:rsidR="000B31B5" w:rsidRPr="000A3FA0" w:rsidRDefault="000B31B5">
      <w:pPr>
        <w:rPr>
          <w:rFonts w:cs="FrankRuehl"/>
          <w:sz w:val="26"/>
          <w:szCs w:val="26"/>
          <w:rtl/>
        </w:rPr>
      </w:pPr>
    </w:p>
    <w:sectPr w:rsidR="000B31B5" w:rsidRPr="000A3FA0" w:rsidSect="00A32326">
      <w:headerReference w:type="even" r:id="rId6"/>
      <w:headerReference w:type="default" r:id="rId7"/>
      <w:footerReference w:type="even" r:id="rId8"/>
      <w:footerReference w:type="default" r:id="rId9"/>
      <w:headerReference w:type="first" r:id="rId10"/>
      <w:footerReference w:type="first" r:id="rId11"/>
      <w:endnotePr>
        <w:numFmt w:val="lowerLetter"/>
      </w:endnotePr>
      <w:pgSz w:w="11907" w:h="16839" w:code="9"/>
      <w:pgMar w:top="1440" w:right="1800" w:bottom="1440" w:left="1800" w:header="720" w:footer="720" w:gutter="0"/>
      <w:cols w:space="720"/>
      <w:bidi/>
      <w:rtlGutter/>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26EF27" w14:textId="77777777" w:rsidR="00C27DBF" w:rsidRDefault="00C27DBF" w:rsidP="00A32326">
      <w:r>
        <w:separator/>
      </w:r>
    </w:p>
  </w:endnote>
  <w:endnote w:type="continuationSeparator" w:id="0">
    <w:p w14:paraId="12C22F08" w14:textId="77777777" w:rsidR="00C27DBF" w:rsidRDefault="00C27DBF" w:rsidP="00A323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Narkisim">
    <w:altName w:val="FrankRuehl"/>
    <w:panose1 w:val="020E0502050101010101"/>
    <w:charset w:val="00"/>
    <w:family w:val="swiss"/>
    <w:pitch w:val="variable"/>
    <w:sig w:usb0="00000803" w:usb1="00000000" w:usb2="00000000" w:usb3="00000000" w:csb0="00000021" w:csb1="00000000"/>
  </w:font>
  <w:font w:name="Arial">
    <w:panose1 w:val="020B0604020202020204"/>
    <w:charset w:val="00"/>
    <w:family w:val="swiss"/>
    <w:pitch w:val="variable"/>
    <w:sig w:usb0="E0002EFF" w:usb1="C000785B" w:usb2="00000009" w:usb3="00000000" w:csb0="000001FF" w:csb1="00000000"/>
  </w:font>
  <w:font w:name="Guttman Kav">
    <w:panose1 w:val="02010401010101010101"/>
    <w:charset w:val="B1"/>
    <w:family w:val="auto"/>
    <w:pitch w:val="variable"/>
    <w:sig w:usb0="00000801" w:usb1="40000000" w:usb2="00000000" w:usb3="00000000" w:csb0="00000020" w:csb1="00000000"/>
  </w:font>
  <w:font w:name="Guttman Haim-Condensed">
    <w:panose1 w:val="02010401010101010101"/>
    <w:charset w:val="B1"/>
    <w:family w:val="auto"/>
    <w:pitch w:val="variable"/>
    <w:sig w:usb0="00000801" w:usb1="40000000" w:usb2="00000000" w:usb3="00000000" w:csb0="00000020" w:csb1="00000000"/>
  </w:font>
  <w:font w:name="FrankRuehl">
    <w:panose1 w:val="020E0503060101010101"/>
    <w:charset w:val="00"/>
    <w:family w:val="swiss"/>
    <w:pitch w:val="variable"/>
    <w:sig w:usb0="00000803" w:usb1="00000000" w:usb2="00000000" w:usb3="00000000" w:csb0="00000021" w:csb1="00000000"/>
  </w:font>
  <w:font w:name="David">
    <w:panose1 w:val="020E0502060401010101"/>
    <w:charset w:val="00"/>
    <w:family w:val="swiss"/>
    <w:pitch w:val="variable"/>
    <w:sig w:usb0="00000803" w:usb1="00000000" w:usb2="00000000" w:usb3="00000000" w:csb0="0000002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4A6446" w14:textId="77777777" w:rsidR="0096594F" w:rsidRDefault="0096594F">
    <w:pPr>
      <w:pStyle w:val="a8"/>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A9F14" w14:textId="77777777" w:rsidR="0096594F" w:rsidRDefault="0096594F">
    <w:pPr>
      <w:pStyle w:val="a8"/>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EB533A" w14:textId="77777777" w:rsidR="0096594F" w:rsidRDefault="0096594F">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55ED05" w14:textId="77777777" w:rsidR="00C27DBF" w:rsidRDefault="00C27DBF" w:rsidP="00A32326">
      <w:r>
        <w:separator/>
      </w:r>
    </w:p>
  </w:footnote>
  <w:footnote w:type="continuationSeparator" w:id="0">
    <w:p w14:paraId="47B2AEE9" w14:textId="77777777" w:rsidR="00C27DBF" w:rsidRDefault="00C27DBF" w:rsidP="00A323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A9F29C" w14:textId="77777777" w:rsidR="0096594F" w:rsidRDefault="0096594F">
    <w:pPr>
      <w:pStyle w:val="a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52660B" w14:textId="77777777" w:rsidR="00A32326" w:rsidRPr="00CB5FFD" w:rsidRDefault="00C27DBF" w:rsidP="00A32326">
    <w:pPr>
      <w:pStyle w:val="a4"/>
      <w:jc w:val="right"/>
      <w:rPr>
        <w:color w:val="4F81BD"/>
        <w:rtl/>
        <w:cs/>
      </w:rPr>
    </w:pPr>
    <w:r>
      <w:rPr>
        <w:noProof/>
        <w:rtl/>
      </w:rPr>
      <w:pict w14:anchorId="4FD87D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62" type="#_x0000_t75" style="position:absolute;margin-left:-90pt;margin-top:-88.05pt;width:594.75pt;height:87.3pt;z-index:1;mso-position-horizontal-relative:margin;mso-position-vertical-relative:margin">
          <v:imagedata r:id="rId1" o:title="Header"/>
          <w10:wrap type="square" anchorx="margin" anchory="margin"/>
        </v:shape>
      </w:pict>
    </w:r>
  </w:p>
  <w:p w14:paraId="06217CC1" w14:textId="77777777" w:rsidR="00A32326" w:rsidRPr="00CB5FFD" w:rsidRDefault="00A32326" w:rsidP="00A32326">
    <w:pPr>
      <w:pStyle w:val="a4"/>
      <w:jc w:val="right"/>
      <w:rPr>
        <w:color w:val="4F81BD"/>
        <w:rtl/>
        <w:cs/>
      </w:rPr>
    </w:pPr>
  </w:p>
  <w:p w14:paraId="4DBBB9E6" w14:textId="77777777" w:rsidR="00A32326" w:rsidRDefault="00A32326" w:rsidP="00A32326">
    <w:pPr>
      <w:pStyle w:val="a4"/>
    </w:pPr>
  </w:p>
  <w:p w14:paraId="35D798D4" w14:textId="77777777" w:rsidR="00A32326" w:rsidRDefault="00A3232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0A91C1" w14:textId="77777777" w:rsidR="0096594F" w:rsidRDefault="0096594F">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2063"/>
    <o:shapelayout v:ext="edit">
      <o:idmap v:ext="edit" data="2"/>
    </o:shapelayout>
  </w:hdrShapeDefaults>
  <w:footnotePr>
    <w:footnote w:id="-1"/>
    <w:footnote w:id="0"/>
  </w:footnotePr>
  <w:endnotePr>
    <w:numFmt w:val="lowerLetter"/>
    <w:endnote w:id="-1"/>
    <w:endnote w:id="0"/>
  </w:endnotePr>
  <w:compat>
    <w:spaceForUL/>
    <w:balanceSingleByteDoubleByteWidth/>
    <w:doNotLeaveBackslashAlone/>
    <w:ulTrailSpace/>
    <w:doNotExpandShiftReturn/>
    <w:usePrinterMetrics/>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1496B"/>
    <w:rsid w:val="000062C3"/>
    <w:rsid w:val="00085F57"/>
    <w:rsid w:val="000A3FA0"/>
    <w:rsid w:val="000B31B5"/>
    <w:rsid w:val="00411078"/>
    <w:rsid w:val="004C6EC3"/>
    <w:rsid w:val="00507569"/>
    <w:rsid w:val="0051496B"/>
    <w:rsid w:val="00596B46"/>
    <w:rsid w:val="005B39B4"/>
    <w:rsid w:val="006339F1"/>
    <w:rsid w:val="00722DAA"/>
    <w:rsid w:val="007332A2"/>
    <w:rsid w:val="0096594F"/>
    <w:rsid w:val="009E3253"/>
    <w:rsid w:val="00A14A9C"/>
    <w:rsid w:val="00A32326"/>
    <w:rsid w:val="00A51CFB"/>
    <w:rsid w:val="00A6761F"/>
    <w:rsid w:val="00AC0FB8"/>
    <w:rsid w:val="00BE74E8"/>
    <w:rsid w:val="00C27DBF"/>
    <w:rsid w:val="00C81BEB"/>
    <w:rsid w:val="00D00A6A"/>
    <w:rsid w:val="00D02451"/>
    <w:rsid w:val="00D1564D"/>
    <w:rsid w:val="00D15DD5"/>
    <w:rsid w:val="00E15D12"/>
    <w:rsid w:val="00F7434C"/>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3"/>
    <o:shapelayout v:ext="edit">
      <o:idmap v:ext="edit" data="1"/>
    </o:shapelayout>
  </w:shapeDefaults>
  <w:decimalSymbol w:val="."/>
  <w:listSeparator w:val=","/>
  <w14:docId w14:val="45588940"/>
  <w15:chartTrackingRefBased/>
  <w15:docId w15:val="{48F446EA-7D42-4FD9-9957-F309C84E15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he-I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overflowPunct w:val="0"/>
      <w:autoSpaceDE w:val="0"/>
      <w:autoSpaceDN w:val="0"/>
      <w:bidi/>
      <w:adjustRightInd w:val="0"/>
      <w:textAlignment w:val="baseline"/>
    </w:pPr>
    <w:rPr>
      <w:rFonts w:cs="Narkisim"/>
      <w:szCs w:val="24"/>
      <w:lang w:eastAsia="he-IL"/>
    </w:rPr>
  </w:style>
  <w:style w:type="paragraph" w:styleId="1">
    <w:name w:val="heading 1"/>
    <w:basedOn w:val="a"/>
    <w:next w:val="a"/>
    <w:qFormat/>
    <w:pPr>
      <w:keepNext/>
      <w:tabs>
        <w:tab w:val="left" w:pos="276"/>
        <w:tab w:val="left" w:pos="851"/>
        <w:tab w:val="left" w:pos="1418"/>
        <w:tab w:val="left" w:pos="2472"/>
        <w:tab w:val="left" w:pos="4498"/>
        <w:tab w:val="left" w:pos="6796"/>
        <w:tab w:val="left" w:pos="8856"/>
      </w:tabs>
      <w:spacing w:before="80" w:after="120"/>
      <w:ind w:left="448" w:right="130" w:hanging="170"/>
      <w:outlineLvl w:val="0"/>
    </w:pPr>
    <w:rPr>
      <w:rFonts w:ascii="Arial" w:hAnsi="Arial" w:cs="Guttman Kav"/>
      <w:b/>
      <w:bCs/>
      <w:kern w:val="28"/>
      <w:sz w:val="18"/>
      <w:szCs w:val="32"/>
    </w:rPr>
  </w:style>
  <w:style w:type="paragraph" w:styleId="2">
    <w:name w:val="heading 2"/>
    <w:basedOn w:val="a"/>
    <w:next w:val="a"/>
    <w:qFormat/>
    <w:pPr>
      <w:tabs>
        <w:tab w:val="left" w:pos="276"/>
      </w:tabs>
      <w:spacing w:before="120" w:after="48"/>
      <w:ind w:left="278" w:right="357" w:hanging="2"/>
      <w:outlineLvl w:val="1"/>
    </w:pPr>
    <w:rPr>
      <w:rFonts w:ascii="Arial" w:hAnsi="Arial" w:cs="Guttman Haim-Condensed"/>
      <w:b/>
      <w:bCs/>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normalindentnumberedinabullet">
    <w:name w:val="normal indent numbered in a bullet"/>
    <w:basedOn w:val="a3"/>
    <w:pPr>
      <w:tabs>
        <w:tab w:val="left" w:pos="851"/>
        <w:tab w:val="left" w:pos="1418"/>
        <w:tab w:val="left" w:pos="2472"/>
        <w:tab w:val="left" w:pos="4498"/>
        <w:tab w:val="left" w:pos="6796"/>
        <w:tab w:val="left" w:pos="8856"/>
      </w:tabs>
      <w:ind w:left="618" w:right="510" w:hanging="170"/>
    </w:pPr>
  </w:style>
  <w:style w:type="paragraph" w:styleId="a3">
    <w:name w:val="Normal Indent"/>
    <w:basedOn w:val="a"/>
    <w:pPr>
      <w:ind w:left="720"/>
    </w:pPr>
  </w:style>
  <w:style w:type="paragraph" w:customStyle="1" w:styleId="Normalindentnumberindent">
    <w:name w:val="Normal indent number indent"/>
    <w:basedOn w:val="a"/>
    <w:pPr>
      <w:tabs>
        <w:tab w:val="left" w:pos="851"/>
        <w:tab w:val="left" w:pos="1418"/>
        <w:tab w:val="left" w:pos="2472"/>
        <w:tab w:val="left" w:pos="4498"/>
        <w:tab w:val="left" w:pos="6796"/>
        <w:tab w:val="left" w:pos="8856"/>
      </w:tabs>
      <w:ind w:left="702" w:right="510" w:hanging="872"/>
    </w:pPr>
  </w:style>
  <w:style w:type="paragraph" w:styleId="a4">
    <w:name w:val="header"/>
    <w:basedOn w:val="a"/>
    <w:link w:val="a5"/>
    <w:uiPriority w:val="99"/>
    <w:unhideWhenUsed/>
    <w:rsid w:val="00A32326"/>
    <w:pPr>
      <w:tabs>
        <w:tab w:val="center" w:pos="4153"/>
        <w:tab w:val="right" w:pos="8306"/>
      </w:tabs>
    </w:pPr>
  </w:style>
  <w:style w:type="paragraph" w:customStyle="1" w:styleId="a6">
    <w:name w:val="כותרת נדון"/>
    <w:basedOn w:val="a"/>
    <w:rPr>
      <w:bCs/>
      <w:szCs w:val="26"/>
      <w:u w:val="single"/>
    </w:rPr>
  </w:style>
  <w:style w:type="paragraph" w:customStyle="1" w:styleId="a7">
    <w:name w:val="מדינת ישראל"/>
    <w:basedOn w:val="a"/>
    <w:pPr>
      <w:jc w:val="center"/>
    </w:pPr>
    <w:rPr>
      <w:b/>
      <w:bCs/>
      <w:szCs w:val="28"/>
    </w:rPr>
  </w:style>
  <w:style w:type="character" w:customStyle="1" w:styleId="a5">
    <w:name w:val="כותרת עליונה תו"/>
    <w:link w:val="a4"/>
    <w:uiPriority w:val="99"/>
    <w:rsid w:val="00A32326"/>
    <w:rPr>
      <w:rFonts w:cs="Narkisim"/>
      <w:szCs w:val="24"/>
      <w:lang w:eastAsia="he-IL"/>
    </w:rPr>
  </w:style>
  <w:style w:type="paragraph" w:styleId="a8">
    <w:name w:val="footer"/>
    <w:basedOn w:val="a"/>
    <w:link w:val="a9"/>
    <w:uiPriority w:val="99"/>
    <w:unhideWhenUsed/>
    <w:rsid w:val="00A32326"/>
    <w:pPr>
      <w:tabs>
        <w:tab w:val="center" w:pos="4153"/>
        <w:tab w:val="right" w:pos="8306"/>
      </w:tabs>
    </w:pPr>
  </w:style>
  <w:style w:type="character" w:customStyle="1" w:styleId="a9">
    <w:name w:val="כותרת תחתונה תו"/>
    <w:link w:val="a8"/>
    <w:uiPriority w:val="99"/>
    <w:rsid w:val="00A32326"/>
    <w:rPr>
      <w:rFonts w:cs="Narkisim"/>
      <w:szCs w:val="24"/>
      <w:lang w:eastAsia="he-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7776676">
      <w:bodyDiv w:val="1"/>
      <w:marLeft w:val="0"/>
      <w:marRight w:val="0"/>
      <w:marTop w:val="0"/>
      <w:marBottom w:val="0"/>
      <w:divBdr>
        <w:top w:val="none" w:sz="0" w:space="0" w:color="auto"/>
        <w:left w:val="none" w:sz="0" w:space="0" w:color="auto"/>
        <w:bottom w:val="none" w:sz="0" w:space="0" w:color="auto"/>
        <w:right w:val="none" w:sz="0" w:space="0" w:color="auto"/>
      </w:divBdr>
    </w:div>
    <w:div w:id="748580967">
      <w:bodyDiv w:val="1"/>
      <w:marLeft w:val="0"/>
      <w:marRight w:val="0"/>
      <w:marTop w:val="0"/>
      <w:marBottom w:val="0"/>
      <w:divBdr>
        <w:top w:val="none" w:sz="0" w:space="0" w:color="auto"/>
        <w:left w:val="none" w:sz="0" w:space="0" w:color="auto"/>
        <w:bottom w:val="none" w:sz="0" w:space="0" w:color="auto"/>
        <w:right w:val="none" w:sz="0" w:space="0" w:color="auto"/>
      </w:divBdr>
    </w:div>
    <w:div w:id="1218081717">
      <w:bodyDiv w:val="1"/>
      <w:marLeft w:val="0"/>
      <w:marRight w:val="0"/>
      <w:marTop w:val="0"/>
      <w:marBottom w:val="0"/>
      <w:divBdr>
        <w:top w:val="none" w:sz="0" w:space="0" w:color="auto"/>
        <w:left w:val="none" w:sz="0" w:space="0" w:color="auto"/>
        <w:bottom w:val="none" w:sz="0" w:space="0" w:color="auto"/>
        <w:right w:val="none" w:sz="0" w:space="0" w:color="auto"/>
      </w:divBdr>
    </w:div>
    <w:div w:id="17633347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826</Words>
  <Characters>4134</Characters>
  <Application>Microsoft Office Word</Application>
  <DocSecurity>0</DocSecurity>
  <Lines>34</Lines>
  <Paragraphs>9</Paragraphs>
  <ScaleCrop>false</ScaleCrop>
  <HeadingPairs>
    <vt:vector size="6" baseType="variant">
      <vt:variant>
        <vt:lpstr>Title</vt:lpstr>
      </vt:variant>
      <vt:variant>
        <vt:i4>1</vt:i4>
      </vt:variant>
      <vt:variant>
        <vt:lpstr>שם</vt:lpstr>
      </vt:variant>
      <vt:variant>
        <vt:i4>1</vt:i4>
      </vt:variant>
      <vt:variant>
        <vt:lpstr/>
      </vt:variant>
      <vt:variant>
        <vt:i4>0</vt:i4>
      </vt:variant>
    </vt:vector>
  </HeadingPairs>
  <TitlesOfParts>
    <vt:vector size="2" baseType="lpstr">
      <vt:lpstr/>
      <vt:lpstr/>
    </vt:vector>
  </TitlesOfParts>
  <Company>משרד האוצר</Company>
  <LinksUpToDate>false</LinksUpToDate>
  <CharactersWithSpaces>4951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משרד האוצר</dc:creator>
  <cp:keywords/>
  <dc:description/>
  <cp:lastModifiedBy>שמרית יצחקי</cp:lastModifiedBy>
  <cp:revision>8</cp:revision>
  <cp:lastPrinted>1899-12-31T22:00:00Z</cp:lastPrinted>
  <dcterms:created xsi:type="dcterms:W3CDTF">2026-04-28T10:53:00Z</dcterms:created>
  <dcterms:modified xsi:type="dcterms:W3CDTF">2026-04-30T04:10:00Z</dcterms:modified>
</cp:coreProperties>
</file>