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64386" w14:textId="77777777" w:rsidR="0051496B" w:rsidRDefault="0051496B">
      <w:pPr>
        <w:pStyle w:val="a7"/>
        <w:rPr>
          <w:rtl/>
        </w:rPr>
      </w:pPr>
      <w:r>
        <w:rPr>
          <w:rtl/>
        </w:rPr>
        <w:t>מדינת ישראל</w:t>
      </w:r>
    </w:p>
    <w:p w14:paraId="5FA950C2" w14:textId="77777777" w:rsidR="0051496B" w:rsidRDefault="0051496B">
      <w:pPr>
        <w:pStyle w:val="a7"/>
        <w:rPr>
          <w:rtl/>
        </w:rPr>
      </w:pPr>
      <w:r>
        <w:rPr>
          <w:rtl/>
        </w:rPr>
        <w:t>האוצר - אגף התקציבים</w:t>
      </w:r>
    </w:p>
    <w:p w14:paraId="7D8BFD96" w14:textId="77777777" w:rsidR="0051496B" w:rsidRDefault="0051496B">
      <w:pPr>
        <w:rPr>
          <w:rtl/>
        </w:rPr>
      </w:pPr>
    </w:p>
    <w:p w14:paraId="7E8C5EE5" w14:textId="77777777" w:rsidR="0051496B" w:rsidRDefault="0051496B">
      <w:pPr>
        <w:rPr>
          <w:rtl/>
        </w:rPr>
      </w:pPr>
    </w:p>
    <w:p w14:paraId="6A217DAF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>
        <w:rPr>
          <w:rtl/>
        </w:rPr>
        <w:tab/>
      </w:r>
      <w:bookmarkStart w:id="0" w:name="TAKZIV8"/>
      <w:bookmarkEnd w:id="0"/>
    </w:p>
    <w:p w14:paraId="21DFA494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ab/>
      </w:r>
    </w:p>
    <w:p w14:paraId="1BB97ADD" w14:textId="77777777" w:rsidR="0051496B" w:rsidRPr="000A3FA0" w:rsidRDefault="0051496B" w:rsidP="007332A2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="007332A2" w:rsidRPr="000A3FA0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 xml:space="preserve">ירושלים, </w:t>
      </w:r>
      <w:bookmarkStart w:id="1" w:name="TAKZIV9"/>
      <w:bookmarkEnd w:id="1"/>
    </w:p>
    <w:p w14:paraId="35AB337F" w14:textId="4ACAD81D" w:rsidR="0051496B" w:rsidRPr="000A3FA0" w:rsidRDefault="0051496B" w:rsidP="007332A2">
      <w:pPr>
        <w:tabs>
          <w:tab w:val="left" w:pos="6039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  <w:t xml:space="preserve">בקשה מספר </w:t>
      </w:r>
      <w:bookmarkStart w:id="2" w:name="TAKZIV4"/>
      <w:r w:rsidR="008E1C40">
        <w:rPr>
          <w:rFonts w:cs="FrankRuehl"/>
          <w:sz w:val="26"/>
          <w:szCs w:val="26"/>
          <w:rtl/>
        </w:rPr>
        <w:t>201</w:t>
      </w:r>
      <w:bookmarkEnd w:id="2"/>
      <w:r w:rsidRPr="000A3FA0">
        <w:rPr>
          <w:rFonts w:cs="FrankRuehl"/>
          <w:sz w:val="26"/>
          <w:szCs w:val="26"/>
          <w:rtl/>
        </w:rPr>
        <w:t xml:space="preserve"> - </w:t>
      </w:r>
      <w:bookmarkStart w:id="3" w:name="TAKZIV3"/>
      <w:r w:rsidR="008E1C40">
        <w:rPr>
          <w:rFonts w:cs="FrankRuehl"/>
          <w:sz w:val="26"/>
          <w:szCs w:val="26"/>
          <w:rtl/>
        </w:rPr>
        <w:t>06</w:t>
      </w:r>
      <w:bookmarkEnd w:id="3"/>
    </w:p>
    <w:p w14:paraId="03E3665B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45DA7505" w14:textId="77777777" w:rsidR="0051496B" w:rsidRPr="000A3FA0" w:rsidRDefault="0051496B">
      <w:pPr>
        <w:tabs>
          <w:tab w:val="left" w:pos="6300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68C810FD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לכבוד,</w:t>
      </w:r>
    </w:p>
    <w:p w14:paraId="5E40A162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יו"ר ועדת הכספים</w:t>
      </w:r>
    </w:p>
    <w:p w14:paraId="707C26E2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הכנסת</w:t>
      </w:r>
    </w:p>
    <w:p w14:paraId="65EC96B9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405F2354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א.נ.,</w:t>
      </w:r>
    </w:p>
    <w:p w14:paraId="1CDB2B7A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1F1FB89F" w14:textId="0A34720A" w:rsidR="0051496B" w:rsidRPr="000A3FA0" w:rsidRDefault="0051496B">
      <w:pPr>
        <w:pStyle w:val="a6"/>
        <w:rPr>
          <w:rFonts w:cs="FrankRuehl"/>
          <w:sz w:val="26"/>
          <w:rtl/>
        </w:rPr>
      </w:pPr>
      <w:r w:rsidRPr="000A3FA0">
        <w:rPr>
          <w:rFonts w:cs="FrankRuehl"/>
          <w:bCs w:val="0"/>
          <w:sz w:val="26"/>
          <w:u w:val="none"/>
          <w:rtl/>
        </w:rPr>
        <w:t xml:space="preserve">הנדון: </w:t>
      </w:r>
      <w:r w:rsidRPr="000A3FA0">
        <w:rPr>
          <w:rFonts w:cs="FrankRuehl"/>
          <w:bCs w:val="0"/>
          <w:sz w:val="26"/>
          <w:rtl/>
        </w:rPr>
        <w:t>שימוש בעודפי תקציב לשנת</w:t>
      </w:r>
      <w:r w:rsidRPr="000A3FA0">
        <w:rPr>
          <w:rFonts w:cs="FrankRuehl"/>
          <w:sz w:val="26"/>
          <w:rtl/>
        </w:rPr>
        <w:t xml:space="preserve"> </w:t>
      </w:r>
      <w:bookmarkStart w:id="4" w:name="TAKZIV1_2"/>
      <w:bookmarkStart w:id="5" w:name="TAKZIV1_1"/>
      <w:bookmarkEnd w:id="4"/>
      <w:r w:rsidR="008E1C40">
        <w:rPr>
          <w:rFonts w:cs="FrankRuehl"/>
          <w:sz w:val="26"/>
          <w:rtl/>
        </w:rPr>
        <w:t>2026</w:t>
      </w:r>
      <w:bookmarkEnd w:id="5"/>
      <w:r w:rsidRPr="000A3FA0">
        <w:rPr>
          <w:rFonts w:cs="FrankRuehl"/>
          <w:sz w:val="26"/>
          <w:rtl/>
        </w:rPr>
        <w:t xml:space="preserve">     </w:t>
      </w:r>
    </w:p>
    <w:p w14:paraId="1EFA6250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69835249" w14:textId="35F308DD" w:rsidR="0051496B" w:rsidRPr="000A3FA0" w:rsidRDefault="0051496B" w:rsidP="006522B7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שר האוצר מתכבד להודיע לו</w:t>
      </w:r>
      <w:r w:rsidR="00A14A9C" w:rsidRPr="000A3FA0">
        <w:rPr>
          <w:rFonts w:cs="FrankRuehl" w:hint="cs"/>
          <w:sz w:val="26"/>
          <w:szCs w:val="26"/>
          <w:rtl/>
        </w:rPr>
        <w:t>ו</w:t>
      </w:r>
      <w:r w:rsidRPr="000A3FA0">
        <w:rPr>
          <w:rFonts w:cs="FrankRuehl"/>
          <w:sz w:val="26"/>
          <w:szCs w:val="26"/>
          <w:rtl/>
        </w:rPr>
        <w:t xml:space="preserve">עדת הכספים של הכנסת על העברת סכום של </w:t>
      </w:r>
      <w:bookmarkStart w:id="6" w:name="TAKZIV30"/>
      <w:r w:rsidR="008E1C40">
        <w:rPr>
          <w:rFonts w:cs="FrankRuehl"/>
          <w:sz w:val="26"/>
          <w:szCs w:val="26"/>
          <w:rtl/>
        </w:rPr>
        <w:t>204,951</w:t>
      </w:r>
      <w:bookmarkEnd w:id="6"/>
      <w:r w:rsidRPr="000A3FA0">
        <w:rPr>
          <w:rFonts w:cs="FrankRuehl"/>
          <w:sz w:val="26"/>
          <w:szCs w:val="26"/>
          <w:rtl/>
        </w:rPr>
        <w:t xml:space="preserve"> אלפי שקלים חדשים מסעיף </w:t>
      </w:r>
      <w:bookmarkStart w:id="7" w:name="TAKZIV3_1"/>
      <w:r w:rsidR="008E1C40">
        <w:rPr>
          <w:rFonts w:cs="FrankRuehl"/>
          <w:sz w:val="26"/>
          <w:szCs w:val="26"/>
          <w:rtl/>
        </w:rPr>
        <w:t>06</w:t>
      </w:r>
      <w:bookmarkEnd w:id="7"/>
      <w:r w:rsidRPr="000A3FA0">
        <w:rPr>
          <w:rFonts w:cs="FrankRuehl"/>
          <w:sz w:val="26"/>
          <w:szCs w:val="26"/>
          <w:rtl/>
        </w:rPr>
        <w:t xml:space="preserve"> - </w:t>
      </w:r>
      <w:bookmarkStart w:id="8" w:name="TAKZIV6_2"/>
      <w:r w:rsidR="008E1C40">
        <w:rPr>
          <w:rFonts w:cs="FrankRuehl"/>
          <w:sz w:val="26"/>
          <w:szCs w:val="26"/>
          <w:rtl/>
        </w:rPr>
        <w:t>משרד הפנים</w:t>
      </w:r>
      <w:bookmarkEnd w:id="8"/>
      <w:r w:rsidRPr="000A3FA0">
        <w:rPr>
          <w:rFonts w:cs="FrankRuehl"/>
          <w:sz w:val="26"/>
          <w:szCs w:val="26"/>
          <w:rtl/>
        </w:rPr>
        <w:t xml:space="preserve"> משנת הכספים </w:t>
      </w:r>
      <w:bookmarkStart w:id="9" w:name="TAKZIV2_1"/>
      <w:r w:rsidR="008E1C40">
        <w:rPr>
          <w:rFonts w:cs="FrankRuehl"/>
          <w:sz w:val="26"/>
          <w:szCs w:val="26"/>
          <w:rtl/>
        </w:rPr>
        <w:t>2025</w:t>
      </w:r>
      <w:bookmarkEnd w:id="9"/>
      <w:r w:rsidRPr="000A3FA0">
        <w:rPr>
          <w:rFonts w:cs="FrankRuehl"/>
          <w:sz w:val="26"/>
          <w:szCs w:val="26"/>
          <w:rtl/>
        </w:rPr>
        <w:t xml:space="preserve">, כעודף לשימוש בשנת הכספים </w:t>
      </w:r>
      <w:bookmarkStart w:id="10" w:name="TAKZIV1"/>
      <w:r w:rsidR="008E1C40">
        <w:rPr>
          <w:rFonts w:cs="FrankRuehl"/>
          <w:sz w:val="26"/>
          <w:szCs w:val="26"/>
          <w:rtl/>
        </w:rPr>
        <w:t>2026</w:t>
      </w:r>
      <w:bookmarkEnd w:id="10"/>
      <w:r w:rsidRPr="000A3FA0">
        <w:rPr>
          <w:rFonts w:cs="FrankRuehl"/>
          <w:sz w:val="26"/>
          <w:szCs w:val="26"/>
          <w:rtl/>
        </w:rPr>
        <w:t xml:space="preserve">, בהתאם לסעיף 13 (א) לחוק יסודות התקציב </w:t>
      </w:r>
      <w:proofErr w:type="spellStart"/>
      <w:r w:rsidRPr="000A3FA0">
        <w:rPr>
          <w:rFonts w:cs="FrankRuehl"/>
          <w:sz w:val="26"/>
          <w:szCs w:val="26"/>
          <w:rtl/>
        </w:rPr>
        <w:t>התשמ"ה</w:t>
      </w:r>
      <w:proofErr w:type="spellEnd"/>
      <w:r w:rsidRPr="000A3FA0">
        <w:rPr>
          <w:rFonts w:cs="FrankRuehl"/>
          <w:sz w:val="26"/>
          <w:szCs w:val="26"/>
          <w:rtl/>
        </w:rPr>
        <w:t xml:space="preserve"> - 1985,</w:t>
      </w:r>
      <w:r w:rsidR="006522B7">
        <w:rPr>
          <w:rFonts w:cs="FrankRuehl" w:hint="cs"/>
          <w:sz w:val="26"/>
          <w:szCs w:val="26"/>
          <w:rtl/>
        </w:rPr>
        <w:t xml:space="preserve"> </w:t>
      </w:r>
      <w:r w:rsidRPr="000A3FA0">
        <w:rPr>
          <w:rFonts w:cs="FrankRuehl"/>
          <w:sz w:val="26"/>
          <w:szCs w:val="26"/>
          <w:rtl/>
        </w:rPr>
        <w:t>כמפורט בתדפיס המצורף בזה.</w:t>
      </w:r>
    </w:p>
    <w:p w14:paraId="6DF8981A" w14:textId="1D7FFFAC" w:rsidR="0051496B" w:rsidRDefault="0051496B" w:rsidP="006522B7">
      <w:pPr>
        <w:jc w:val="both"/>
        <w:rPr>
          <w:rFonts w:cs="FrankRuehl"/>
          <w:sz w:val="26"/>
          <w:szCs w:val="26"/>
          <w:rtl/>
        </w:rPr>
      </w:pPr>
    </w:p>
    <w:p w14:paraId="1E6CCE71" w14:textId="77777777" w:rsidR="006522B7" w:rsidRDefault="006522B7" w:rsidP="006522B7">
      <w:pPr>
        <w:contextualSpacing/>
        <w:jc w:val="both"/>
        <w:rPr>
          <w:rFonts w:ascii="FrankRuehl" w:hAnsi="FrankRuehl" w:cs="FrankRuehl"/>
          <w:sz w:val="26"/>
          <w:szCs w:val="26"/>
          <w:lang w:eastAsia="en-US"/>
        </w:rPr>
      </w:pPr>
      <w:bookmarkStart w:id="11" w:name="DIVREY_HESBER"/>
      <w:bookmarkEnd w:id="11"/>
      <w:r>
        <w:rPr>
          <w:rFonts w:ascii="FrankRuehl" w:hAnsi="FrankRuehl" w:cs="FrankRuehl"/>
          <w:b/>
          <w:bCs/>
          <w:sz w:val="26"/>
          <w:szCs w:val="26"/>
          <w:rtl/>
        </w:rPr>
        <w:t>הפניה דנה בסעיף תקציבי:</w:t>
      </w:r>
      <w:r>
        <w:rPr>
          <w:rFonts w:ascii="FrankRuehl" w:hAnsi="FrankRuehl" w:cs="FrankRuehl"/>
          <w:sz w:val="26"/>
          <w:szCs w:val="26"/>
          <w:rtl/>
        </w:rPr>
        <w:t xml:space="preserve"> 06 - משרד הפנים</w:t>
      </w:r>
    </w:p>
    <w:p w14:paraId="4F387860" w14:textId="77777777" w:rsidR="006522B7" w:rsidRDefault="006522B7" w:rsidP="006522B7">
      <w:pPr>
        <w:contextualSpacing/>
        <w:jc w:val="both"/>
        <w:rPr>
          <w:rFonts w:ascii="FrankRuehl" w:hAnsi="FrankRuehl" w:cs="FrankRuehl"/>
          <w:sz w:val="26"/>
          <w:szCs w:val="26"/>
        </w:rPr>
      </w:pPr>
    </w:p>
    <w:p w14:paraId="446EE4F9" w14:textId="77777777" w:rsidR="006522B7" w:rsidRDefault="006522B7" w:rsidP="006522B7">
      <w:pPr>
        <w:contextualSpacing/>
        <w:jc w:val="both"/>
        <w:rPr>
          <w:rFonts w:ascii="FrankRuehl" w:hAnsi="FrankRuehl" w:cs="FrankRuehl"/>
          <w:b/>
          <w:bCs/>
          <w:sz w:val="26"/>
          <w:szCs w:val="26"/>
          <w:rtl/>
        </w:rPr>
      </w:pPr>
      <w:r>
        <w:rPr>
          <w:rFonts w:ascii="FrankRuehl" w:hAnsi="FrankRuehl" w:cs="FrankRuehl"/>
          <w:b/>
          <w:bCs/>
          <w:sz w:val="26"/>
          <w:szCs w:val="26"/>
          <w:rtl/>
        </w:rPr>
        <w:t>עיקרי הפניה:</w:t>
      </w:r>
    </w:p>
    <w:p w14:paraId="6D530616" w14:textId="77777777" w:rsidR="006522B7" w:rsidRDefault="006522B7" w:rsidP="006522B7">
      <w:pPr>
        <w:contextualSpacing/>
        <w:jc w:val="both"/>
        <w:rPr>
          <w:rFonts w:ascii="FrankRuehl" w:hAnsi="FrankRuehl" w:cs="FrankRuehl"/>
          <w:sz w:val="26"/>
          <w:szCs w:val="26"/>
        </w:rPr>
      </w:pPr>
      <w:r>
        <w:rPr>
          <w:rFonts w:ascii="FrankRuehl" w:hAnsi="FrankRuehl" w:cs="FrankRuehl"/>
          <w:sz w:val="26"/>
          <w:szCs w:val="26"/>
          <w:rtl/>
        </w:rPr>
        <w:t xml:space="preserve">הפנייה התקציבית נועדה להעברת עודפים משנת התקציב 2025 לשנת התקציב 2026 בסך של 204,951 אלפי ש"ח בהוצאה </w:t>
      </w:r>
      <w:proofErr w:type="spellStart"/>
      <w:r>
        <w:rPr>
          <w:rFonts w:ascii="FrankRuehl" w:hAnsi="FrankRuehl" w:cs="FrankRuehl"/>
          <w:sz w:val="26"/>
          <w:szCs w:val="26"/>
          <w:rtl/>
        </w:rPr>
        <w:t>לתכניות</w:t>
      </w:r>
      <w:proofErr w:type="spellEnd"/>
      <w:r>
        <w:rPr>
          <w:rFonts w:ascii="FrankRuehl" w:hAnsi="FrankRuehl" w:cs="FrankRuehl"/>
          <w:sz w:val="26"/>
          <w:szCs w:val="26"/>
          <w:rtl/>
        </w:rPr>
        <w:t xml:space="preserve"> התקציב הבאות, שעיקרן כפי שמפורט להלן:</w:t>
      </w:r>
    </w:p>
    <w:p w14:paraId="251D6DD5" w14:textId="77777777" w:rsidR="006522B7" w:rsidRDefault="006522B7" w:rsidP="006522B7">
      <w:pPr>
        <w:contextualSpacing/>
        <w:jc w:val="both"/>
        <w:rPr>
          <w:rFonts w:cs="FrankRuehl"/>
          <w:sz w:val="26"/>
          <w:szCs w:val="26"/>
        </w:rPr>
      </w:pPr>
    </w:p>
    <w:p w14:paraId="750B5752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תכנית 062001 מטה ופעולות המשרד- 80,995 אלפי ש"ח</w:t>
      </w:r>
    </w:p>
    <w:p w14:paraId="4F21E7EA" w14:textId="77777777" w:rsidR="006522B7" w:rsidRDefault="006522B7" w:rsidP="006522B7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cs="FrankRuehl"/>
          <w:b/>
          <w:bCs/>
          <w:sz w:val="26"/>
          <w:szCs w:val="26"/>
          <w:rtl/>
        </w:rPr>
        <w:t xml:space="preserve">: </w:t>
      </w:r>
      <w:r>
        <w:rPr>
          <w:rFonts w:cs="FrankRuehl"/>
          <w:sz w:val="26"/>
          <w:szCs w:val="26"/>
          <w:rtl/>
        </w:rPr>
        <w:t xml:space="preserve">תכנית זו מרכזת את הוצאות הנהלת המשרד והמטה, ובכלל זה הוצאות השכר של מטה המשרד, נושאים בתחום </w:t>
      </w:r>
      <w:proofErr w:type="spellStart"/>
      <w:r>
        <w:rPr>
          <w:rFonts w:cs="FrankRuehl"/>
          <w:sz w:val="26"/>
          <w:szCs w:val="26"/>
          <w:rtl/>
        </w:rPr>
        <w:t>מינהל</w:t>
      </w:r>
      <w:proofErr w:type="spellEnd"/>
      <w:r>
        <w:rPr>
          <w:rFonts w:cs="FrankRuehl"/>
          <w:sz w:val="26"/>
          <w:szCs w:val="26"/>
          <w:rtl/>
        </w:rPr>
        <w:t xml:space="preserve"> החירום והשלטון המקומי.</w:t>
      </w:r>
    </w:p>
    <w:p w14:paraId="62CAD10D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cs="FrankRuehl"/>
          <w:b/>
          <w:bCs/>
          <w:sz w:val="26"/>
          <w:szCs w:val="26"/>
          <w:rtl/>
        </w:rPr>
        <w:t>:</w:t>
      </w:r>
    </w:p>
    <w:p w14:paraId="19C2BFC9" w14:textId="77777777" w:rsidR="006522B7" w:rsidRDefault="006522B7" w:rsidP="006522B7">
      <w:pPr>
        <w:contextualSpacing/>
        <w:jc w:val="both"/>
        <w:rPr>
          <w:rFonts w:cs="FrankRuehl"/>
          <w:sz w:val="26"/>
          <w:szCs w:val="26"/>
          <w:rtl/>
        </w:rPr>
      </w:pPr>
      <w:proofErr w:type="spellStart"/>
      <w:r>
        <w:rPr>
          <w:rFonts w:cs="FrankRuehl"/>
          <w:sz w:val="26"/>
          <w:szCs w:val="26"/>
          <w:rtl/>
        </w:rPr>
        <w:t>בתכנית</w:t>
      </w:r>
      <w:proofErr w:type="spellEnd"/>
      <w:r>
        <w:rPr>
          <w:rFonts w:cs="FrankRuehl"/>
          <w:sz w:val="26"/>
          <w:szCs w:val="26"/>
          <w:rtl/>
        </w:rPr>
        <w:t xml:space="preserve"> זו נוצרו עודפים מחויבים בשל הוצאות משרד הפנים </w:t>
      </w:r>
      <w:proofErr w:type="spellStart"/>
      <w:r>
        <w:rPr>
          <w:rFonts w:cs="FrankRuehl"/>
          <w:sz w:val="26"/>
          <w:szCs w:val="26"/>
          <w:rtl/>
        </w:rPr>
        <w:t>בפרויקטי</w:t>
      </w:r>
      <w:proofErr w:type="spellEnd"/>
      <w:r>
        <w:rPr>
          <w:rFonts w:cs="FrankRuehl"/>
          <w:sz w:val="26"/>
          <w:szCs w:val="26"/>
          <w:rtl/>
        </w:rPr>
        <w:t xml:space="preserve">  מחשוב </w:t>
      </w:r>
      <w:proofErr w:type="spellStart"/>
      <w:r>
        <w:rPr>
          <w:rFonts w:cs="FrankRuehl"/>
          <w:sz w:val="26"/>
          <w:szCs w:val="26"/>
          <w:rtl/>
        </w:rPr>
        <w:t>תעפול</w:t>
      </w:r>
      <w:proofErr w:type="spellEnd"/>
      <w:r>
        <w:rPr>
          <w:rFonts w:cs="FrankRuehl"/>
          <w:sz w:val="26"/>
          <w:szCs w:val="26"/>
          <w:rtl/>
        </w:rPr>
        <w:t xml:space="preserve"> וחירום רב שנתיים.</w:t>
      </w:r>
    </w:p>
    <w:p w14:paraId="5F443040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</w:p>
    <w:p w14:paraId="55FBE3DC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תכנית 062101 בחירות מוניציפאליות והבחירות הכלליות – 99,716 אלפי ש"ח</w:t>
      </w:r>
    </w:p>
    <w:p w14:paraId="3B615C3E" w14:textId="77777777" w:rsidR="006522B7" w:rsidRDefault="006522B7" w:rsidP="006522B7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cs="FrankRuehl"/>
          <w:b/>
          <w:bCs/>
          <w:sz w:val="26"/>
          <w:szCs w:val="26"/>
          <w:rtl/>
        </w:rPr>
        <w:t xml:space="preserve">: </w:t>
      </w:r>
      <w:r>
        <w:rPr>
          <w:rFonts w:cs="FrankRuehl"/>
          <w:sz w:val="26"/>
          <w:szCs w:val="26"/>
          <w:rtl/>
        </w:rPr>
        <w:t>בתוכנית זו מתוקצבות ההוצאות הכרוכות בהיערכות משרד הפנים לקיום בחירות כלליות לכנסת או לקיום בחירות ברשויות המקומיות.</w:t>
      </w:r>
    </w:p>
    <w:p w14:paraId="211C90E4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cs="FrankRuehl"/>
          <w:b/>
          <w:bCs/>
          <w:sz w:val="26"/>
          <w:szCs w:val="26"/>
          <w:rtl/>
        </w:rPr>
        <w:t>:</w:t>
      </w:r>
    </w:p>
    <w:p w14:paraId="5FEF308D" w14:textId="77777777" w:rsidR="006522B7" w:rsidRDefault="006522B7" w:rsidP="006522B7">
      <w:pPr>
        <w:contextualSpacing/>
        <w:jc w:val="both"/>
        <w:rPr>
          <w:rFonts w:cs="FrankRuehl"/>
          <w:sz w:val="26"/>
          <w:szCs w:val="26"/>
          <w:rtl/>
        </w:rPr>
      </w:pPr>
      <w:proofErr w:type="spellStart"/>
      <w:r>
        <w:rPr>
          <w:rFonts w:cs="FrankRuehl"/>
          <w:sz w:val="26"/>
          <w:szCs w:val="26"/>
          <w:rtl/>
        </w:rPr>
        <w:t>בתכנית</w:t>
      </w:r>
      <w:proofErr w:type="spellEnd"/>
      <w:r>
        <w:rPr>
          <w:rFonts w:cs="FrankRuehl"/>
          <w:sz w:val="26"/>
          <w:szCs w:val="26"/>
          <w:rtl/>
        </w:rPr>
        <w:t xml:space="preserve"> זו נוצרו עודפים מחויבים בשל הוצאות משרד הפנים לבחירות המוניציפאליות שהתקיימו בשני מועדים בשנת 2024 ואף חלקם נדחו לשנת 2025 ובכלל זה התקשרויות עם ספקים, רכישת ציוד ותשתית לוגיסטית. </w:t>
      </w:r>
    </w:p>
    <w:p w14:paraId="76267420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</w:p>
    <w:p w14:paraId="3C41E6D6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>תכנית 062201 עדות לא יהודיות – 5,073 אלפי ש"ח</w:t>
      </w:r>
    </w:p>
    <w:p w14:paraId="47417948" w14:textId="77777777" w:rsidR="006522B7" w:rsidRDefault="006522B7" w:rsidP="006522B7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cs="FrankRuehl"/>
          <w:b/>
          <w:bCs/>
          <w:sz w:val="26"/>
          <w:szCs w:val="26"/>
          <w:rtl/>
        </w:rPr>
        <w:t xml:space="preserve">: </w:t>
      </w:r>
      <w:r>
        <w:rPr>
          <w:rFonts w:cs="FrankRuehl"/>
          <w:sz w:val="26"/>
          <w:szCs w:val="26"/>
          <w:rtl/>
        </w:rPr>
        <w:t>בתוכנית זו מתוקצבות ההוצאות השוטפות של האגף לעדות לא יהודיות, וכן, פיתוח של מבני דת ובתי עלמין לעדות לא יהודיות, במסגרת תמיכה שוטפת והחלטות ממשלה ייעודיות לאוכלוסייה זו.</w:t>
      </w:r>
    </w:p>
    <w:p w14:paraId="35D69B52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</w:p>
    <w:p w14:paraId="05115C4E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cs="FrankRuehl"/>
          <w:b/>
          <w:bCs/>
          <w:sz w:val="26"/>
          <w:szCs w:val="26"/>
          <w:rtl/>
        </w:rPr>
        <w:t>:</w:t>
      </w:r>
    </w:p>
    <w:p w14:paraId="060EC2B4" w14:textId="77777777" w:rsidR="006522B7" w:rsidRDefault="006522B7" w:rsidP="006522B7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 xml:space="preserve">הוצאות הפיתוח מטבען הינן עבור פרויקטים חוצי שנה, במקרים בהם קצב הביצוע של המיזמים נמוך מהמתוכנן מועבר עודף מחויב לשנת התקציב העוקבת. </w:t>
      </w:r>
    </w:p>
    <w:p w14:paraId="7F5026DD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</w:p>
    <w:p w14:paraId="40EFE452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lastRenderedPageBreak/>
        <w:t>תכנית 062301 הרשות למאגר הביומטרי – 19,167 אלפי ש"ח</w:t>
      </w:r>
    </w:p>
    <w:p w14:paraId="4E16F754" w14:textId="77777777" w:rsidR="006522B7" w:rsidRDefault="006522B7" w:rsidP="006522B7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תיאור </w:t>
      </w:r>
      <w:proofErr w:type="spellStart"/>
      <w:r>
        <w:rPr>
          <w:rFonts w:cs="FrankRuehl"/>
          <w:b/>
          <w:bCs/>
          <w:sz w:val="26"/>
          <w:szCs w:val="26"/>
          <w:rtl/>
        </w:rPr>
        <w:t>התכנית</w:t>
      </w:r>
      <w:proofErr w:type="spellEnd"/>
      <w:r>
        <w:rPr>
          <w:rFonts w:cs="FrankRuehl"/>
          <w:b/>
          <w:bCs/>
          <w:sz w:val="26"/>
          <w:szCs w:val="26"/>
          <w:rtl/>
        </w:rPr>
        <w:t xml:space="preserve">: </w:t>
      </w:r>
      <w:r>
        <w:rPr>
          <w:rFonts w:cs="FrankRuehl"/>
          <w:sz w:val="26"/>
          <w:szCs w:val="26"/>
          <w:rtl/>
        </w:rPr>
        <w:t>התקציב בתוכנית מיועד להוצאות התפעול וכוח האדם של רשות המאגר הביומטרי וכן תחזוקה והפעלת ליבת מאגר הנתונים הביומטרי ואבטחתו.</w:t>
      </w:r>
    </w:p>
    <w:p w14:paraId="621B2DAD" w14:textId="77777777" w:rsidR="006522B7" w:rsidRDefault="006522B7" w:rsidP="006522B7">
      <w:pPr>
        <w:contextualSpacing/>
        <w:jc w:val="both"/>
        <w:rPr>
          <w:rFonts w:cs="FrankRuehl"/>
          <w:b/>
          <w:bCs/>
          <w:sz w:val="26"/>
          <w:szCs w:val="26"/>
          <w:rtl/>
        </w:rPr>
      </w:pPr>
      <w:r>
        <w:rPr>
          <w:rFonts w:cs="FrankRuehl"/>
          <w:b/>
          <w:bCs/>
          <w:sz w:val="26"/>
          <w:szCs w:val="26"/>
          <w:rtl/>
        </w:rPr>
        <w:t xml:space="preserve">סיבות מרכזיות בגינן נוצרו עודפים </w:t>
      </w:r>
      <w:proofErr w:type="spellStart"/>
      <w:r>
        <w:rPr>
          <w:rFonts w:cs="FrankRuehl"/>
          <w:b/>
          <w:bCs/>
          <w:sz w:val="26"/>
          <w:szCs w:val="26"/>
          <w:rtl/>
        </w:rPr>
        <w:t>בתכנית</w:t>
      </w:r>
      <w:proofErr w:type="spellEnd"/>
      <w:r>
        <w:rPr>
          <w:rFonts w:cs="FrankRuehl"/>
          <w:b/>
          <w:bCs/>
          <w:sz w:val="26"/>
          <w:szCs w:val="26"/>
          <w:rtl/>
        </w:rPr>
        <w:t>:</w:t>
      </w:r>
    </w:p>
    <w:p w14:paraId="47B42FB9" w14:textId="77777777" w:rsidR="006522B7" w:rsidRDefault="006522B7" w:rsidP="006522B7">
      <w:pPr>
        <w:contextualSpacing/>
        <w:jc w:val="both"/>
        <w:rPr>
          <w:rFonts w:cs="FrankRuehl"/>
          <w:sz w:val="26"/>
          <w:szCs w:val="26"/>
          <w:rtl/>
        </w:rPr>
      </w:pPr>
      <w:r>
        <w:rPr>
          <w:rFonts w:cs="FrankRuehl"/>
          <w:sz w:val="26"/>
          <w:szCs w:val="26"/>
          <w:rtl/>
        </w:rPr>
        <w:t xml:space="preserve">הסיבה לעודפים המחויבים היא אחזקת מערכות המאגר הביומטרי ופרויקטים לפיתוחה, אשר הינם פרויקטים חוצי שנה. </w:t>
      </w:r>
    </w:p>
    <w:p w14:paraId="60D2E2A9" w14:textId="77777777" w:rsidR="006522B7" w:rsidRDefault="006522B7" w:rsidP="006522B7">
      <w:pPr>
        <w:jc w:val="both"/>
        <w:rPr>
          <w:rFonts w:cs="FrankRuehl"/>
          <w:sz w:val="26"/>
          <w:szCs w:val="26"/>
          <w:rtl/>
        </w:rPr>
      </w:pPr>
    </w:p>
    <w:p w14:paraId="39EDA3A4" w14:textId="77777777" w:rsidR="0051496B" w:rsidRPr="000A3FA0" w:rsidRDefault="0051496B" w:rsidP="006522B7">
      <w:pPr>
        <w:jc w:val="both"/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האישור ייכנס לתקפו, אם לא יעוכב ע"י ועדת הכספים של הכנסת, לאחר 21 יום מתאריך מכתב זה.</w:t>
      </w:r>
    </w:p>
    <w:p w14:paraId="6CABAB9C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10E36222" w14:textId="77777777" w:rsidR="0051496B" w:rsidRPr="000A3FA0" w:rsidRDefault="0051496B" w:rsidP="00A6761F">
      <w:pPr>
        <w:jc w:val="both"/>
        <w:rPr>
          <w:rFonts w:cs="FrankRuehl"/>
          <w:sz w:val="26"/>
          <w:szCs w:val="26"/>
          <w:rtl/>
        </w:rPr>
      </w:pPr>
    </w:p>
    <w:p w14:paraId="7E385989" w14:textId="77777777" w:rsidR="0051496B" w:rsidRPr="000A3FA0" w:rsidRDefault="0051496B" w:rsidP="00AC0FB8">
      <w:pPr>
        <w:tabs>
          <w:tab w:val="left" w:pos="6416"/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  <w:r w:rsidR="00AC0FB8">
        <w:rPr>
          <w:rFonts w:cs="FrankRuehl"/>
          <w:sz w:val="26"/>
          <w:szCs w:val="26"/>
          <w:rtl/>
        </w:rPr>
        <w:tab/>
      </w:r>
      <w:r w:rsidRPr="000A3FA0">
        <w:rPr>
          <w:rFonts w:cs="FrankRuehl"/>
          <w:sz w:val="26"/>
          <w:szCs w:val="26"/>
          <w:rtl/>
        </w:rPr>
        <w:t>בכבוד רב,</w:t>
      </w:r>
    </w:p>
    <w:p w14:paraId="52CFDCE5" w14:textId="77777777" w:rsidR="0051496B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0B5A2E69" w14:textId="77777777" w:rsidR="00AC0FB8" w:rsidRPr="000A3FA0" w:rsidRDefault="00AC0FB8">
      <w:pPr>
        <w:tabs>
          <w:tab w:val="center" w:pos="6867"/>
        </w:tabs>
        <w:rPr>
          <w:rFonts w:cs="FrankRuehl"/>
          <w:sz w:val="26"/>
          <w:szCs w:val="26"/>
        </w:rPr>
      </w:pPr>
      <w:r>
        <w:rPr>
          <w:rFonts w:cs="FrankRuehl"/>
          <w:sz w:val="26"/>
          <w:szCs w:val="26"/>
          <w:rtl/>
        </w:rPr>
        <w:tab/>
      </w:r>
      <w:bookmarkStart w:id="12" w:name="Sign_Image"/>
      <w:bookmarkEnd w:id="12"/>
    </w:p>
    <w:p w14:paraId="1DB3373B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  <w:rtl/>
        </w:rPr>
      </w:pPr>
    </w:p>
    <w:p w14:paraId="7F5A980A" w14:textId="77777777" w:rsidR="0051496B" w:rsidRPr="000A3FA0" w:rsidRDefault="0051496B">
      <w:pPr>
        <w:tabs>
          <w:tab w:val="center" w:pos="6867"/>
        </w:tabs>
        <w:rPr>
          <w:rFonts w:cs="FrankRuehl"/>
          <w:sz w:val="26"/>
          <w:szCs w:val="26"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5187AE05" w14:textId="77777777" w:rsidR="0051496B" w:rsidRPr="000A3FA0" w:rsidRDefault="0051496B" w:rsidP="000062C3">
      <w:pPr>
        <w:tabs>
          <w:tab w:val="center" w:pos="6867"/>
        </w:tabs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ab/>
      </w:r>
    </w:p>
    <w:p w14:paraId="5D2BCF5B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74BEB238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העתק:</w:t>
      </w:r>
    </w:p>
    <w:p w14:paraId="52C7F837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החשב הכללי</w:t>
      </w:r>
    </w:p>
    <w:p w14:paraId="5C8A4925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>מבקר המדינה (2)</w:t>
      </w:r>
    </w:p>
    <w:p w14:paraId="4024F140" w14:textId="64C1F645" w:rsidR="0051496B" w:rsidRPr="000A3FA0" w:rsidRDefault="008E1C40">
      <w:pPr>
        <w:rPr>
          <w:rFonts w:cs="FrankRuehl"/>
          <w:sz w:val="26"/>
          <w:szCs w:val="26"/>
          <w:rtl/>
        </w:rPr>
      </w:pPr>
      <w:bookmarkStart w:id="13" w:name="TAKZIV22"/>
      <w:r>
        <w:rPr>
          <w:rFonts w:cs="FrankRuehl"/>
          <w:sz w:val="26"/>
          <w:szCs w:val="26"/>
          <w:rtl/>
        </w:rPr>
        <w:t>חשב משרד הפנים</w:t>
      </w:r>
      <w:bookmarkEnd w:id="13"/>
    </w:p>
    <w:p w14:paraId="6447F1CD" w14:textId="62D1BAA2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קצין תקציבים </w:t>
      </w:r>
      <w:bookmarkStart w:id="14" w:name="TAKZIV6"/>
      <w:r w:rsidR="008E1C40">
        <w:rPr>
          <w:rFonts w:cs="FrankRuehl"/>
          <w:sz w:val="26"/>
          <w:szCs w:val="26"/>
          <w:rtl/>
        </w:rPr>
        <w:t>משרד הפנים</w:t>
      </w:r>
      <w:bookmarkEnd w:id="14"/>
    </w:p>
    <w:p w14:paraId="37141F3D" w14:textId="22F1BA7C" w:rsidR="0051496B" w:rsidRPr="000A3FA0" w:rsidRDefault="0051496B">
      <w:pPr>
        <w:rPr>
          <w:rFonts w:cs="FrankRuehl"/>
          <w:sz w:val="26"/>
          <w:szCs w:val="26"/>
          <w:rtl/>
        </w:rPr>
      </w:pPr>
      <w:r w:rsidRPr="000A3FA0">
        <w:rPr>
          <w:rFonts w:cs="FrankRuehl"/>
          <w:sz w:val="26"/>
          <w:szCs w:val="26"/>
          <w:rtl/>
        </w:rPr>
        <w:t xml:space="preserve">רפרנט </w:t>
      </w:r>
      <w:bookmarkStart w:id="15" w:name="TAKZIV6_1"/>
      <w:r w:rsidR="008E1C40">
        <w:rPr>
          <w:rFonts w:cs="FrankRuehl"/>
          <w:sz w:val="26"/>
          <w:szCs w:val="26"/>
          <w:rtl/>
        </w:rPr>
        <w:t>משרד הפנים</w:t>
      </w:r>
      <w:bookmarkEnd w:id="15"/>
    </w:p>
    <w:p w14:paraId="19FF31DE" w14:textId="77777777" w:rsidR="0051496B" w:rsidRPr="000A3FA0" w:rsidRDefault="0051496B">
      <w:pPr>
        <w:rPr>
          <w:rFonts w:cs="FrankRuehl"/>
          <w:sz w:val="26"/>
          <w:szCs w:val="26"/>
          <w:rtl/>
        </w:rPr>
      </w:pPr>
      <w:bookmarkStart w:id="16" w:name="TAKZIV23"/>
      <w:bookmarkEnd w:id="16"/>
    </w:p>
    <w:p w14:paraId="6E28C8CB" w14:textId="77777777" w:rsidR="0051496B" w:rsidRPr="000A3FA0" w:rsidRDefault="0051496B">
      <w:pPr>
        <w:rPr>
          <w:rFonts w:cs="FrankRuehl"/>
          <w:sz w:val="26"/>
          <w:szCs w:val="26"/>
          <w:rtl/>
        </w:rPr>
      </w:pPr>
    </w:p>
    <w:p w14:paraId="2DAC07F6" w14:textId="623A2460" w:rsidR="0051496B" w:rsidRDefault="0051496B">
      <w:pPr>
        <w:rPr>
          <w:rFonts w:cs="FrankRuehl"/>
          <w:sz w:val="26"/>
          <w:szCs w:val="26"/>
          <w:rtl/>
        </w:rPr>
      </w:pPr>
      <w:bookmarkStart w:id="17" w:name="TAKZIV25"/>
      <w:bookmarkEnd w:id="17"/>
    </w:p>
    <w:p w14:paraId="6B927248" w14:textId="6C371436" w:rsidR="002E36C4" w:rsidRDefault="002E36C4">
      <w:pPr>
        <w:rPr>
          <w:rFonts w:cs="FrankRuehl"/>
          <w:sz w:val="26"/>
          <w:szCs w:val="26"/>
          <w:rtl/>
        </w:rPr>
      </w:pPr>
    </w:p>
    <w:p w14:paraId="180F56BA" w14:textId="1F7EE1D5" w:rsidR="002E36C4" w:rsidRDefault="002E36C4">
      <w:pPr>
        <w:rPr>
          <w:rFonts w:cs="FrankRuehl"/>
          <w:sz w:val="26"/>
          <w:szCs w:val="26"/>
          <w:rtl/>
        </w:rPr>
      </w:pPr>
    </w:p>
    <w:p w14:paraId="61AA6E0F" w14:textId="624D32CD" w:rsidR="002E36C4" w:rsidRDefault="002E36C4">
      <w:pPr>
        <w:rPr>
          <w:rFonts w:cs="FrankRuehl"/>
          <w:sz w:val="26"/>
          <w:szCs w:val="26"/>
          <w:rtl/>
        </w:rPr>
      </w:pPr>
    </w:p>
    <w:p w14:paraId="46A2DE41" w14:textId="2673552B" w:rsidR="002E36C4" w:rsidRDefault="002E36C4">
      <w:pPr>
        <w:rPr>
          <w:rFonts w:cs="FrankRuehl"/>
          <w:sz w:val="26"/>
          <w:szCs w:val="26"/>
          <w:rtl/>
        </w:rPr>
      </w:pPr>
    </w:p>
    <w:p w14:paraId="319715E8" w14:textId="0C304378" w:rsidR="002E36C4" w:rsidRDefault="002E36C4">
      <w:pPr>
        <w:rPr>
          <w:rFonts w:cs="FrankRuehl"/>
          <w:sz w:val="26"/>
          <w:szCs w:val="26"/>
          <w:rtl/>
        </w:rPr>
      </w:pPr>
    </w:p>
    <w:p w14:paraId="3299126F" w14:textId="3564FCE0" w:rsidR="002E36C4" w:rsidRDefault="002E36C4">
      <w:pPr>
        <w:rPr>
          <w:rFonts w:cs="FrankRuehl"/>
          <w:sz w:val="26"/>
          <w:szCs w:val="26"/>
          <w:rtl/>
        </w:rPr>
      </w:pPr>
    </w:p>
    <w:p w14:paraId="7E45DAF6" w14:textId="58EE1B68" w:rsidR="002E36C4" w:rsidRDefault="002E36C4">
      <w:pPr>
        <w:rPr>
          <w:rFonts w:cs="FrankRuehl"/>
          <w:sz w:val="26"/>
          <w:szCs w:val="26"/>
          <w:rtl/>
        </w:rPr>
      </w:pPr>
    </w:p>
    <w:p w14:paraId="419E515A" w14:textId="71A3CB19" w:rsidR="002E36C4" w:rsidRDefault="002E36C4">
      <w:pPr>
        <w:rPr>
          <w:rFonts w:cs="FrankRuehl"/>
          <w:sz w:val="26"/>
          <w:szCs w:val="26"/>
          <w:rtl/>
        </w:rPr>
      </w:pPr>
    </w:p>
    <w:p w14:paraId="33B38361" w14:textId="08C3FF7A" w:rsidR="002E36C4" w:rsidRDefault="002E36C4">
      <w:pPr>
        <w:rPr>
          <w:rFonts w:cs="FrankRuehl"/>
          <w:sz w:val="26"/>
          <w:szCs w:val="26"/>
          <w:rtl/>
        </w:rPr>
      </w:pPr>
    </w:p>
    <w:p w14:paraId="622C99A0" w14:textId="640E72B4" w:rsidR="002E36C4" w:rsidRDefault="002E36C4">
      <w:pPr>
        <w:rPr>
          <w:rFonts w:cs="FrankRuehl"/>
          <w:sz w:val="26"/>
          <w:szCs w:val="26"/>
          <w:rtl/>
        </w:rPr>
      </w:pPr>
    </w:p>
    <w:p w14:paraId="19534C98" w14:textId="2BAE1798" w:rsidR="002E36C4" w:rsidRDefault="002E36C4">
      <w:pPr>
        <w:rPr>
          <w:rFonts w:cs="FrankRuehl"/>
          <w:sz w:val="26"/>
          <w:szCs w:val="26"/>
          <w:rtl/>
        </w:rPr>
      </w:pPr>
    </w:p>
    <w:p w14:paraId="50CBFAC9" w14:textId="3C60BF52" w:rsidR="002E36C4" w:rsidRDefault="002E36C4">
      <w:pPr>
        <w:rPr>
          <w:rFonts w:cs="FrankRuehl"/>
          <w:sz w:val="26"/>
          <w:szCs w:val="26"/>
          <w:rtl/>
        </w:rPr>
      </w:pPr>
    </w:p>
    <w:p w14:paraId="66987F82" w14:textId="03608C73" w:rsidR="002E36C4" w:rsidRDefault="002E36C4">
      <w:pPr>
        <w:rPr>
          <w:rFonts w:cs="FrankRuehl"/>
          <w:sz w:val="26"/>
          <w:szCs w:val="26"/>
          <w:rtl/>
        </w:rPr>
      </w:pPr>
    </w:p>
    <w:p w14:paraId="29F8D2AC" w14:textId="49B6E17B" w:rsidR="002E36C4" w:rsidRDefault="002E36C4">
      <w:pPr>
        <w:rPr>
          <w:rFonts w:cs="FrankRuehl"/>
          <w:sz w:val="26"/>
          <w:szCs w:val="26"/>
          <w:rtl/>
        </w:rPr>
      </w:pPr>
    </w:p>
    <w:p w14:paraId="07F51317" w14:textId="5FE9FFF1" w:rsidR="002E36C4" w:rsidRDefault="002E36C4">
      <w:pPr>
        <w:rPr>
          <w:rFonts w:cs="FrankRuehl"/>
          <w:sz w:val="26"/>
          <w:szCs w:val="26"/>
          <w:rtl/>
        </w:rPr>
      </w:pPr>
    </w:p>
    <w:p w14:paraId="2F0CAF4C" w14:textId="14ADBBEC" w:rsidR="002E36C4" w:rsidRDefault="002E36C4">
      <w:pPr>
        <w:rPr>
          <w:rFonts w:cs="FrankRuehl"/>
          <w:sz w:val="26"/>
          <w:szCs w:val="26"/>
          <w:rtl/>
        </w:rPr>
      </w:pPr>
    </w:p>
    <w:p w14:paraId="680F00E2" w14:textId="22A1C821" w:rsidR="002E36C4" w:rsidRDefault="002E36C4">
      <w:pPr>
        <w:rPr>
          <w:rFonts w:cs="FrankRuehl"/>
          <w:sz w:val="26"/>
          <w:szCs w:val="26"/>
          <w:rtl/>
        </w:rPr>
      </w:pPr>
    </w:p>
    <w:p w14:paraId="33874E4A" w14:textId="68D33E7A" w:rsidR="002E36C4" w:rsidRDefault="002E36C4">
      <w:pPr>
        <w:rPr>
          <w:rFonts w:cs="FrankRuehl"/>
          <w:sz w:val="26"/>
          <w:szCs w:val="26"/>
          <w:rtl/>
        </w:rPr>
      </w:pPr>
    </w:p>
    <w:p w14:paraId="0B10C71C" w14:textId="1DB32928" w:rsidR="002E36C4" w:rsidRDefault="002E36C4">
      <w:pPr>
        <w:rPr>
          <w:rFonts w:cs="FrankRuehl"/>
          <w:sz w:val="26"/>
          <w:szCs w:val="26"/>
          <w:rtl/>
        </w:rPr>
      </w:pPr>
    </w:p>
    <w:p w14:paraId="7D3EAEE8" w14:textId="68C8F024" w:rsidR="002E36C4" w:rsidRDefault="002E36C4">
      <w:pPr>
        <w:rPr>
          <w:rFonts w:cs="FrankRuehl"/>
          <w:sz w:val="26"/>
          <w:szCs w:val="26"/>
          <w:rtl/>
        </w:rPr>
      </w:pPr>
    </w:p>
    <w:p w14:paraId="7FB18AA3" w14:textId="59208F31" w:rsidR="002E36C4" w:rsidRDefault="002E36C4">
      <w:pPr>
        <w:rPr>
          <w:rFonts w:cs="FrankRuehl"/>
          <w:sz w:val="26"/>
          <w:szCs w:val="26"/>
          <w:rtl/>
        </w:rPr>
      </w:pPr>
    </w:p>
    <w:p w14:paraId="51222DEE" w14:textId="2748E937" w:rsidR="002E36C4" w:rsidRDefault="002E36C4">
      <w:pPr>
        <w:rPr>
          <w:rFonts w:cs="FrankRuehl"/>
          <w:sz w:val="26"/>
          <w:szCs w:val="26"/>
          <w:rtl/>
        </w:rPr>
      </w:pPr>
    </w:p>
    <w:p w14:paraId="3327B015" w14:textId="149AEBF3" w:rsidR="002E36C4" w:rsidRDefault="002E36C4">
      <w:pPr>
        <w:rPr>
          <w:rFonts w:cs="FrankRuehl"/>
          <w:sz w:val="26"/>
          <w:szCs w:val="26"/>
          <w:rtl/>
        </w:rPr>
      </w:pPr>
    </w:p>
    <w:p w14:paraId="165A8659" w14:textId="29E0B93C" w:rsidR="002E36C4" w:rsidRDefault="002E36C4">
      <w:pPr>
        <w:rPr>
          <w:rFonts w:cs="FrankRuehl"/>
          <w:sz w:val="26"/>
          <w:szCs w:val="26"/>
          <w:rtl/>
        </w:rPr>
      </w:pPr>
    </w:p>
    <w:p w14:paraId="2D2EEF6A" w14:textId="7CA38D52" w:rsidR="002E36C4" w:rsidRDefault="002E36C4">
      <w:pPr>
        <w:rPr>
          <w:rFonts w:cs="FrankRuehl"/>
          <w:sz w:val="26"/>
          <w:szCs w:val="26"/>
          <w:rtl/>
        </w:rPr>
      </w:pPr>
    </w:p>
    <w:p w14:paraId="29717E7F" w14:textId="020EA3C9" w:rsidR="002E36C4" w:rsidRDefault="002E36C4">
      <w:pPr>
        <w:rPr>
          <w:rFonts w:cs="FrankRuehl"/>
          <w:sz w:val="26"/>
          <w:szCs w:val="26"/>
          <w:rtl/>
        </w:rPr>
      </w:pPr>
    </w:p>
    <w:p w14:paraId="06ADFABD" w14:textId="037CEF3C" w:rsidR="002E36C4" w:rsidRDefault="002E36C4" w:rsidP="002E36C4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  <w:r w:rsidRPr="002E36C4">
        <w:rPr>
          <w:rFonts w:cs="FrankRuehl" w:hint="cs"/>
          <w:b/>
          <w:bCs/>
          <w:sz w:val="26"/>
          <w:szCs w:val="26"/>
          <w:u w:val="single"/>
          <w:rtl/>
        </w:rPr>
        <w:lastRenderedPageBreak/>
        <w:t>נספח לדברי ההסבר</w:t>
      </w:r>
    </w:p>
    <w:p w14:paraId="6AF28A1D" w14:textId="77777777" w:rsidR="002E36C4" w:rsidRPr="002E36C4" w:rsidRDefault="002E36C4" w:rsidP="002E36C4">
      <w:pPr>
        <w:jc w:val="center"/>
        <w:rPr>
          <w:rFonts w:cs="FrankRuehl"/>
          <w:b/>
          <w:bCs/>
          <w:sz w:val="26"/>
          <w:szCs w:val="26"/>
          <w:u w:val="single"/>
          <w:rtl/>
        </w:rPr>
      </w:pPr>
    </w:p>
    <w:p w14:paraId="5208B773" w14:textId="75A97903" w:rsidR="002E36C4" w:rsidRDefault="002E36C4" w:rsidP="002E36C4">
      <w:pPr>
        <w:jc w:val="center"/>
        <w:rPr>
          <w:rFonts w:cs="FrankRuehl"/>
          <w:b/>
          <w:bCs/>
          <w:sz w:val="26"/>
          <w:szCs w:val="26"/>
          <w:rtl/>
        </w:rPr>
      </w:pPr>
      <w:r w:rsidRPr="002E36C4">
        <w:rPr>
          <w:rFonts w:cs="FrankRuehl"/>
          <w:b/>
          <w:bCs/>
          <w:sz w:val="26"/>
          <w:szCs w:val="26"/>
          <w:rtl/>
        </w:rPr>
        <w:t>היסטוריה תקציבית של הפנייה</w:t>
      </w:r>
    </w:p>
    <w:p w14:paraId="01945950" w14:textId="3332F0DC" w:rsidR="002E36C4" w:rsidRDefault="002E36C4" w:rsidP="002E36C4">
      <w:pPr>
        <w:jc w:val="center"/>
        <w:rPr>
          <w:rFonts w:cs="FrankRuehl"/>
          <w:b/>
          <w:bCs/>
          <w:sz w:val="26"/>
          <w:szCs w:val="26"/>
          <w:rtl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650"/>
        <w:gridCol w:w="1894"/>
        <w:gridCol w:w="1650"/>
        <w:gridCol w:w="1650"/>
        <w:gridCol w:w="1679"/>
      </w:tblGrid>
      <w:tr w:rsidR="002E36C4" w:rsidRPr="002E36C4" w14:paraId="2853A09A" w14:textId="77777777" w:rsidTr="002E36C4">
        <w:trPr>
          <w:trHeight w:val="675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nil"/>
              <w:right w:val="nil"/>
            </w:tcBorders>
            <w:shd w:val="clear" w:color="000000" w:fill="F0F4FA"/>
            <w:vAlign w:val="center"/>
            <w:hideMark/>
          </w:tcPr>
          <w:p w14:paraId="2A546C1F" w14:textId="77777777" w:rsidR="002E36C4" w:rsidRPr="002E36C4" w:rsidRDefault="002E36C4" w:rsidP="002E36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קוד תוכנית</w:t>
            </w:r>
          </w:p>
        </w:tc>
        <w:tc>
          <w:tcPr>
            <w:tcW w:w="1111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03C4AC6B" w14:textId="77777777" w:rsidR="002E36C4" w:rsidRPr="002E36C4" w:rsidRDefault="002E36C4" w:rsidP="002E36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2E3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השינוי התקציבי של העודף המוצע בפניה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B173F77" w14:textId="77777777" w:rsidR="002E36C4" w:rsidRPr="002E36C4" w:rsidRDefault="002E36C4" w:rsidP="002E36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2E3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ב-2025</w:t>
            </w:r>
          </w:p>
        </w:tc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35EA93B8" w14:textId="77777777" w:rsidR="002E36C4" w:rsidRPr="002E36C4" w:rsidRDefault="002E36C4" w:rsidP="002E36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2E3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ב-2024</w:t>
            </w:r>
          </w:p>
        </w:tc>
        <w:tc>
          <w:tcPr>
            <w:tcW w:w="986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0F4FA"/>
            <w:vAlign w:val="center"/>
            <w:hideMark/>
          </w:tcPr>
          <w:p w14:paraId="0331CB5F" w14:textId="77777777" w:rsidR="002E36C4" w:rsidRPr="002E36C4" w:rsidRDefault="002E36C4" w:rsidP="002E36C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</w:pPr>
            <w:r w:rsidRPr="002E36C4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  <w:rtl/>
                <w:lang w:eastAsia="en-US"/>
              </w:rPr>
              <w:t>סך עודף שהועבר ב-2023</w:t>
            </w:r>
          </w:p>
        </w:tc>
      </w:tr>
      <w:tr w:rsidR="002E36C4" w:rsidRPr="002E36C4" w14:paraId="42EFD794" w14:textId="77777777" w:rsidTr="002E36C4">
        <w:trPr>
          <w:trHeight w:val="300"/>
        </w:trPr>
        <w:tc>
          <w:tcPr>
            <w:tcW w:w="968" w:type="pct"/>
            <w:tcBorders>
              <w:top w:val="single" w:sz="4" w:space="0" w:color="979991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B450A6B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rtl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062001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2AD6684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80,995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21429FE9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206,245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3FD6BD7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474,464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7C1EC170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53,450</w:t>
            </w:r>
          </w:p>
        </w:tc>
      </w:tr>
      <w:tr w:rsidR="002E36C4" w:rsidRPr="002E36C4" w14:paraId="6B025E02" w14:textId="77777777" w:rsidTr="002E36C4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062E2634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062101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37C5FC6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99,716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5730253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223,938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82D0A5C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6,137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22F34DF4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49,230</w:t>
            </w:r>
          </w:p>
        </w:tc>
      </w:tr>
      <w:tr w:rsidR="002E36C4" w:rsidRPr="002E36C4" w14:paraId="307FBB5A" w14:textId="77777777" w:rsidTr="002E36C4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54DD60CC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062201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BD74581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5,073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1C924613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8,993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2970312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1,253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665D9DE8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11,747</w:t>
            </w:r>
          </w:p>
        </w:tc>
      </w:tr>
      <w:tr w:rsidR="002E36C4" w:rsidRPr="002E36C4" w14:paraId="771133F9" w14:textId="77777777" w:rsidTr="002E36C4">
        <w:trPr>
          <w:trHeight w:val="300"/>
        </w:trPr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0F4FA"/>
            <w:vAlign w:val="center"/>
            <w:hideMark/>
          </w:tcPr>
          <w:p w14:paraId="2F433F04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062301</w:t>
            </w:r>
          </w:p>
        </w:tc>
        <w:tc>
          <w:tcPr>
            <w:tcW w:w="1111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41D555B1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19,167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30454DF4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13,675</w:t>
            </w:r>
          </w:p>
        </w:tc>
        <w:tc>
          <w:tcPr>
            <w:tcW w:w="968" w:type="pct"/>
            <w:tcBorders>
              <w:top w:val="nil"/>
              <w:left w:val="single" w:sz="4" w:space="0" w:color="979991"/>
              <w:bottom w:val="single" w:sz="4" w:space="0" w:color="979991"/>
              <w:right w:val="nil"/>
            </w:tcBorders>
            <w:shd w:val="clear" w:color="000000" w:fill="FFFFFF"/>
            <w:vAlign w:val="center"/>
            <w:hideMark/>
          </w:tcPr>
          <w:p w14:paraId="6DCC5DA2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9,362</w:t>
            </w:r>
          </w:p>
        </w:tc>
        <w:tc>
          <w:tcPr>
            <w:tcW w:w="986" w:type="pct"/>
            <w:tcBorders>
              <w:top w:val="nil"/>
              <w:left w:val="single" w:sz="4" w:space="0" w:color="979991"/>
              <w:bottom w:val="single" w:sz="4" w:space="0" w:color="979991"/>
              <w:right w:val="single" w:sz="4" w:space="0" w:color="979991"/>
            </w:tcBorders>
            <w:shd w:val="clear" w:color="000000" w:fill="FFFFFF"/>
            <w:vAlign w:val="center"/>
            <w:hideMark/>
          </w:tcPr>
          <w:p w14:paraId="54310171" w14:textId="77777777" w:rsidR="002E36C4" w:rsidRPr="002E36C4" w:rsidRDefault="002E36C4" w:rsidP="002E36C4">
            <w:pPr>
              <w:overflowPunct/>
              <w:autoSpaceDE/>
              <w:autoSpaceDN/>
              <w:bidi w:val="0"/>
              <w:adjustRightInd/>
              <w:jc w:val="center"/>
              <w:textAlignment w:val="auto"/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</w:pPr>
            <w:r w:rsidRPr="002E36C4">
              <w:rPr>
                <w:rFonts w:ascii="Calibri" w:hAnsi="Calibri" w:cs="Calibri"/>
                <w:color w:val="000000"/>
                <w:sz w:val="16"/>
                <w:szCs w:val="16"/>
                <w:lang w:eastAsia="en-US"/>
              </w:rPr>
              <w:t>10,629</w:t>
            </w:r>
          </w:p>
        </w:tc>
      </w:tr>
    </w:tbl>
    <w:p w14:paraId="444EF480" w14:textId="77777777" w:rsidR="002E36C4" w:rsidRPr="002E36C4" w:rsidRDefault="002E36C4" w:rsidP="002E36C4">
      <w:pPr>
        <w:jc w:val="center"/>
        <w:rPr>
          <w:rFonts w:cs="FrankRuehl"/>
          <w:b/>
          <w:bCs/>
          <w:sz w:val="26"/>
          <w:szCs w:val="26"/>
          <w:rtl/>
        </w:rPr>
      </w:pPr>
    </w:p>
    <w:sectPr w:rsidR="002E36C4" w:rsidRPr="002E36C4" w:rsidSect="00A3232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942A8C" w14:textId="77777777" w:rsidR="00BA32C3" w:rsidRDefault="00BA32C3" w:rsidP="00A32326">
      <w:r>
        <w:separator/>
      </w:r>
    </w:p>
  </w:endnote>
  <w:endnote w:type="continuationSeparator" w:id="0">
    <w:p w14:paraId="0E5F67BB" w14:textId="77777777" w:rsidR="00BA32C3" w:rsidRDefault="00BA32C3" w:rsidP="00A323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FCD35" w14:textId="77777777" w:rsidR="0096594F" w:rsidRDefault="0096594F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F7C83B" w14:textId="77777777" w:rsidR="0096594F" w:rsidRDefault="0096594F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82376C" w14:textId="77777777" w:rsidR="0096594F" w:rsidRDefault="0096594F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A9C224" w14:textId="77777777" w:rsidR="00BA32C3" w:rsidRDefault="00BA32C3" w:rsidP="00A32326">
      <w:r>
        <w:separator/>
      </w:r>
    </w:p>
  </w:footnote>
  <w:footnote w:type="continuationSeparator" w:id="0">
    <w:p w14:paraId="6B713918" w14:textId="77777777" w:rsidR="00BA32C3" w:rsidRDefault="00BA32C3" w:rsidP="00A323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480E27" w14:textId="77777777" w:rsidR="0096594F" w:rsidRDefault="0096594F">
    <w:pPr>
      <w:pStyle w:val="a4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87164" w14:textId="77777777" w:rsidR="00A32326" w:rsidRPr="00CB5FFD" w:rsidRDefault="00BA32C3" w:rsidP="00A32326">
    <w:pPr>
      <w:pStyle w:val="a4"/>
      <w:jc w:val="right"/>
      <w:rPr>
        <w:color w:val="4F81BD"/>
        <w:rtl/>
        <w:cs/>
      </w:rPr>
    </w:pPr>
    <w:r>
      <w:rPr>
        <w:noProof/>
        <w:rtl/>
      </w:rPr>
      <w:pict w14:anchorId="4D39CEC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margin-left:-90pt;margin-top:-88.05pt;width:594.75pt;height:87.3pt;z-index:1;mso-position-horizontal-relative:margin;mso-position-vertical-relative:margin">
          <v:imagedata r:id="rId1" o:title="Header"/>
          <w10:wrap type="square" anchorx="margin" anchory="margin"/>
        </v:shape>
      </w:pict>
    </w:r>
  </w:p>
  <w:p w14:paraId="7E62E7BC" w14:textId="77777777" w:rsidR="00A32326" w:rsidRPr="00CB5FFD" w:rsidRDefault="00A32326" w:rsidP="00A32326">
    <w:pPr>
      <w:pStyle w:val="a4"/>
      <w:jc w:val="right"/>
      <w:rPr>
        <w:color w:val="4F81BD"/>
        <w:rtl/>
        <w:cs/>
      </w:rPr>
    </w:pPr>
  </w:p>
  <w:p w14:paraId="33611268" w14:textId="77777777" w:rsidR="00A32326" w:rsidRDefault="00A32326" w:rsidP="00A32326">
    <w:pPr>
      <w:pStyle w:val="a4"/>
    </w:pPr>
  </w:p>
  <w:p w14:paraId="2E0BE40B" w14:textId="77777777" w:rsidR="00A32326" w:rsidRDefault="00A3232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126C70" w14:textId="77777777" w:rsidR="0096594F" w:rsidRDefault="0096594F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1496B"/>
    <w:rsid w:val="000062C3"/>
    <w:rsid w:val="000A3FA0"/>
    <w:rsid w:val="002E36C4"/>
    <w:rsid w:val="003E5010"/>
    <w:rsid w:val="00411078"/>
    <w:rsid w:val="00507569"/>
    <w:rsid w:val="0051496B"/>
    <w:rsid w:val="00596B46"/>
    <w:rsid w:val="006522B7"/>
    <w:rsid w:val="007332A2"/>
    <w:rsid w:val="008E1C40"/>
    <w:rsid w:val="0096594F"/>
    <w:rsid w:val="009E3253"/>
    <w:rsid w:val="00A14A9C"/>
    <w:rsid w:val="00A32326"/>
    <w:rsid w:val="00A51CFB"/>
    <w:rsid w:val="00A6761F"/>
    <w:rsid w:val="00AC0FB8"/>
    <w:rsid w:val="00BA32C3"/>
    <w:rsid w:val="00BE74E8"/>
    <w:rsid w:val="00C81BEB"/>
    <w:rsid w:val="00D00A6A"/>
    <w:rsid w:val="00D02451"/>
    <w:rsid w:val="00D1564D"/>
    <w:rsid w:val="00D15DD5"/>
    <w:rsid w:val="00E15D12"/>
    <w:rsid w:val="00F74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46DF93C3"/>
  <w15:chartTrackingRefBased/>
  <w15:docId w15:val="{48F446EA-7D42-4FD9-9957-F309C84E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3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3">
    <w:name w:val="Normal Indent"/>
    <w:basedOn w:val="a"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4">
    <w:name w:val="header"/>
    <w:basedOn w:val="a"/>
    <w:link w:val="a5"/>
    <w:uiPriority w:val="99"/>
    <w:unhideWhenUsed/>
    <w:rsid w:val="00A32326"/>
    <w:pPr>
      <w:tabs>
        <w:tab w:val="center" w:pos="4153"/>
        <w:tab w:val="right" w:pos="8306"/>
      </w:tabs>
    </w:pPr>
  </w:style>
  <w:style w:type="paragraph" w:customStyle="1" w:styleId="a6">
    <w:name w:val="כותרת נדון"/>
    <w:basedOn w:val="a"/>
    <w:rPr>
      <w:bCs/>
      <w:szCs w:val="26"/>
      <w:u w:val="single"/>
    </w:rPr>
  </w:style>
  <w:style w:type="paragraph" w:customStyle="1" w:styleId="a7">
    <w:name w:val="מדינת ישראל"/>
    <w:basedOn w:val="a"/>
    <w:pPr>
      <w:jc w:val="center"/>
    </w:pPr>
    <w:rPr>
      <w:b/>
      <w:bCs/>
      <w:szCs w:val="28"/>
    </w:rPr>
  </w:style>
  <w:style w:type="character" w:customStyle="1" w:styleId="a5">
    <w:name w:val="כותרת עליונה תו"/>
    <w:link w:val="a4"/>
    <w:uiPriority w:val="99"/>
    <w:rsid w:val="00A32326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A32326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A32326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16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436</Words>
  <Characters>2184</Characters>
  <Application>Microsoft Office Word</Application>
  <DocSecurity>0</DocSecurity>
  <Lines>18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2615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שמרית יצחקי</cp:lastModifiedBy>
  <cp:revision>6</cp:revision>
  <cp:lastPrinted>1899-12-31T22:00:00Z</cp:lastPrinted>
  <dcterms:created xsi:type="dcterms:W3CDTF">2026-04-28T10:50:00Z</dcterms:created>
  <dcterms:modified xsi:type="dcterms:W3CDTF">2026-04-29T04:17:00Z</dcterms:modified>
</cp:coreProperties>
</file>