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305C" w14:textId="77777777" w:rsidR="0051496B" w:rsidRDefault="0051496B">
      <w:pPr>
        <w:pStyle w:val="a7"/>
        <w:rPr>
          <w:rtl/>
        </w:rPr>
      </w:pPr>
      <w:r>
        <w:rPr>
          <w:rtl/>
        </w:rPr>
        <w:t>מדינת ישראל</w:t>
      </w:r>
    </w:p>
    <w:p w14:paraId="3B70F657" w14:textId="77777777" w:rsidR="0051496B" w:rsidRDefault="0051496B">
      <w:pPr>
        <w:pStyle w:val="a7"/>
        <w:rPr>
          <w:rtl/>
        </w:rPr>
      </w:pPr>
      <w:r>
        <w:rPr>
          <w:rtl/>
        </w:rPr>
        <w:t>האוצר - אגף התקציבים</w:t>
      </w:r>
    </w:p>
    <w:p w14:paraId="77A734EE" w14:textId="77777777" w:rsidR="0051496B" w:rsidRDefault="0051496B">
      <w:pPr>
        <w:rPr>
          <w:rtl/>
        </w:rPr>
      </w:pPr>
    </w:p>
    <w:p w14:paraId="64A68525" w14:textId="77777777" w:rsidR="0051496B" w:rsidRDefault="0051496B">
      <w:pPr>
        <w:rPr>
          <w:rtl/>
        </w:rPr>
      </w:pPr>
    </w:p>
    <w:p w14:paraId="634ED1DA" w14:textId="77777777" w:rsidR="0051496B" w:rsidRPr="000A3FA0" w:rsidRDefault="0051496B">
      <w:pPr>
        <w:tabs>
          <w:tab w:val="left" w:pos="6300"/>
        </w:tabs>
        <w:rPr>
          <w:rFonts w:cs="FrankRuehl"/>
          <w:sz w:val="26"/>
          <w:szCs w:val="26"/>
          <w:rtl/>
        </w:rPr>
      </w:pPr>
      <w:r>
        <w:rPr>
          <w:rtl/>
        </w:rPr>
        <w:tab/>
      </w:r>
      <w:bookmarkStart w:id="0" w:name="TAKZIV8"/>
      <w:bookmarkEnd w:id="0"/>
    </w:p>
    <w:p w14:paraId="61D58A3C"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58250B2B"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202A55A0" w14:textId="70261B14"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63636D">
        <w:rPr>
          <w:rFonts w:cs="FrankRuehl"/>
          <w:sz w:val="26"/>
          <w:szCs w:val="26"/>
          <w:rtl/>
        </w:rPr>
        <w:t>202</w:t>
      </w:r>
      <w:bookmarkEnd w:id="2"/>
      <w:r w:rsidRPr="000A3FA0">
        <w:rPr>
          <w:rFonts w:cs="FrankRuehl"/>
          <w:sz w:val="26"/>
          <w:szCs w:val="26"/>
          <w:rtl/>
        </w:rPr>
        <w:t xml:space="preserve"> - </w:t>
      </w:r>
      <w:bookmarkStart w:id="3" w:name="TAKZIV3"/>
      <w:r w:rsidR="0063636D">
        <w:rPr>
          <w:rFonts w:cs="FrankRuehl"/>
          <w:sz w:val="26"/>
          <w:szCs w:val="26"/>
          <w:rtl/>
        </w:rPr>
        <w:t>04</w:t>
      </w:r>
      <w:bookmarkEnd w:id="3"/>
    </w:p>
    <w:p w14:paraId="1323AF46"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B07C33B"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3D98E1E" w14:textId="77777777" w:rsidR="0051496B" w:rsidRPr="000A3FA0" w:rsidRDefault="0051496B">
      <w:pPr>
        <w:rPr>
          <w:rFonts w:cs="FrankRuehl"/>
          <w:sz w:val="26"/>
          <w:szCs w:val="26"/>
          <w:rtl/>
        </w:rPr>
      </w:pPr>
      <w:r w:rsidRPr="000A3FA0">
        <w:rPr>
          <w:rFonts w:cs="FrankRuehl"/>
          <w:sz w:val="26"/>
          <w:szCs w:val="26"/>
          <w:rtl/>
        </w:rPr>
        <w:t>לכבוד,</w:t>
      </w:r>
    </w:p>
    <w:p w14:paraId="5C2DED03" w14:textId="77777777" w:rsidR="0051496B" w:rsidRPr="000A3FA0" w:rsidRDefault="0051496B">
      <w:pPr>
        <w:rPr>
          <w:rFonts w:cs="FrankRuehl"/>
          <w:sz w:val="26"/>
          <w:szCs w:val="26"/>
          <w:rtl/>
        </w:rPr>
      </w:pPr>
      <w:r w:rsidRPr="000A3FA0">
        <w:rPr>
          <w:rFonts w:cs="FrankRuehl"/>
          <w:sz w:val="26"/>
          <w:szCs w:val="26"/>
          <w:rtl/>
        </w:rPr>
        <w:t>יו"ר ועדת הכספים</w:t>
      </w:r>
    </w:p>
    <w:p w14:paraId="68EA7D4E" w14:textId="77777777" w:rsidR="0051496B" w:rsidRPr="000A3FA0" w:rsidRDefault="0051496B">
      <w:pPr>
        <w:rPr>
          <w:rFonts w:cs="FrankRuehl"/>
          <w:sz w:val="26"/>
          <w:szCs w:val="26"/>
          <w:rtl/>
        </w:rPr>
      </w:pPr>
      <w:r w:rsidRPr="000A3FA0">
        <w:rPr>
          <w:rFonts w:cs="FrankRuehl"/>
          <w:sz w:val="26"/>
          <w:szCs w:val="26"/>
          <w:rtl/>
        </w:rPr>
        <w:t>הכנסת</w:t>
      </w:r>
    </w:p>
    <w:p w14:paraId="06D604C9" w14:textId="77777777" w:rsidR="0051496B" w:rsidRPr="000A3FA0" w:rsidRDefault="0051496B">
      <w:pPr>
        <w:rPr>
          <w:rFonts w:cs="FrankRuehl"/>
          <w:sz w:val="26"/>
          <w:szCs w:val="26"/>
          <w:rtl/>
        </w:rPr>
      </w:pPr>
    </w:p>
    <w:p w14:paraId="5B8258A0" w14:textId="77777777" w:rsidR="0051496B" w:rsidRPr="000A3FA0" w:rsidRDefault="0051496B">
      <w:pPr>
        <w:rPr>
          <w:rFonts w:cs="FrankRuehl"/>
          <w:sz w:val="26"/>
          <w:szCs w:val="26"/>
          <w:rtl/>
        </w:rPr>
      </w:pPr>
      <w:r w:rsidRPr="000A3FA0">
        <w:rPr>
          <w:rFonts w:cs="FrankRuehl"/>
          <w:sz w:val="26"/>
          <w:szCs w:val="26"/>
          <w:rtl/>
        </w:rPr>
        <w:t>א.נ.,</w:t>
      </w:r>
    </w:p>
    <w:p w14:paraId="328EE883" w14:textId="77777777" w:rsidR="0051496B" w:rsidRPr="000A3FA0" w:rsidRDefault="0051496B">
      <w:pPr>
        <w:rPr>
          <w:rFonts w:cs="FrankRuehl"/>
          <w:sz w:val="26"/>
          <w:szCs w:val="26"/>
          <w:rtl/>
        </w:rPr>
      </w:pPr>
    </w:p>
    <w:p w14:paraId="2F7AC321" w14:textId="30E177DF"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63636D">
        <w:rPr>
          <w:rFonts w:cs="FrankRuehl"/>
          <w:sz w:val="26"/>
          <w:rtl/>
        </w:rPr>
        <w:t>2026</w:t>
      </w:r>
      <w:bookmarkEnd w:id="5"/>
      <w:r w:rsidRPr="000A3FA0">
        <w:rPr>
          <w:rFonts w:cs="FrankRuehl"/>
          <w:sz w:val="26"/>
          <w:rtl/>
        </w:rPr>
        <w:t xml:space="preserve">     </w:t>
      </w:r>
    </w:p>
    <w:p w14:paraId="139CA527" w14:textId="77777777" w:rsidR="0051496B" w:rsidRPr="000A3FA0" w:rsidRDefault="0051496B" w:rsidP="00A6761F">
      <w:pPr>
        <w:jc w:val="both"/>
        <w:rPr>
          <w:rFonts w:cs="FrankRuehl"/>
          <w:sz w:val="26"/>
          <w:szCs w:val="26"/>
          <w:rtl/>
        </w:rPr>
      </w:pPr>
    </w:p>
    <w:p w14:paraId="7B788CAD" w14:textId="30784DAF" w:rsidR="0051496B" w:rsidRPr="000A3FA0" w:rsidRDefault="0051496B" w:rsidP="00392C5A">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63636D">
        <w:rPr>
          <w:rFonts w:cs="FrankRuehl"/>
          <w:sz w:val="26"/>
          <w:szCs w:val="26"/>
          <w:rtl/>
        </w:rPr>
        <w:t>1,265,937</w:t>
      </w:r>
      <w:bookmarkEnd w:id="6"/>
      <w:r w:rsidRPr="000A3FA0">
        <w:rPr>
          <w:rFonts w:cs="FrankRuehl"/>
          <w:sz w:val="26"/>
          <w:szCs w:val="26"/>
          <w:rtl/>
        </w:rPr>
        <w:t xml:space="preserve"> אלפי שקלים חדשים מסעיף </w:t>
      </w:r>
      <w:bookmarkStart w:id="7" w:name="TAKZIV3_1"/>
      <w:r w:rsidR="0063636D">
        <w:rPr>
          <w:rFonts w:cs="FrankRuehl"/>
          <w:sz w:val="26"/>
          <w:szCs w:val="26"/>
          <w:rtl/>
        </w:rPr>
        <w:t>04</w:t>
      </w:r>
      <w:bookmarkEnd w:id="7"/>
      <w:r w:rsidRPr="000A3FA0">
        <w:rPr>
          <w:rFonts w:cs="FrankRuehl"/>
          <w:sz w:val="26"/>
          <w:szCs w:val="26"/>
          <w:rtl/>
        </w:rPr>
        <w:t xml:space="preserve"> - </w:t>
      </w:r>
      <w:bookmarkStart w:id="8" w:name="TAKZIV6_2"/>
      <w:r w:rsidR="0063636D">
        <w:rPr>
          <w:rFonts w:cs="FrankRuehl"/>
          <w:sz w:val="26"/>
          <w:szCs w:val="26"/>
          <w:rtl/>
        </w:rPr>
        <w:t>משרד ראש הממשלה</w:t>
      </w:r>
      <w:bookmarkEnd w:id="8"/>
      <w:r w:rsidRPr="000A3FA0">
        <w:rPr>
          <w:rFonts w:cs="FrankRuehl"/>
          <w:sz w:val="26"/>
          <w:szCs w:val="26"/>
          <w:rtl/>
        </w:rPr>
        <w:t xml:space="preserve"> משנת הכספים </w:t>
      </w:r>
      <w:bookmarkStart w:id="9" w:name="TAKZIV2_1"/>
      <w:r w:rsidR="0063636D">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63636D">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p>
    <w:p w14:paraId="5AB9BBF0" w14:textId="0D4CE171" w:rsidR="0051496B" w:rsidRDefault="0051496B" w:rsidP="00392C5A">
      <w:pPr>
        <w:jc w:val="both"/>
        <w:rPr>
          <w:rFonts w:cs="FrankRuehl"/>
          <w:sz w:val="26"/>
          <w:szCs w:val="26"/>
          <w:rtl/>
        </w:rPr>
      </w:pPr>
      <w:r w:rsidRPr="000A3FA0">
        <w:rPr>
          <w:rFonts w:cs="FrankRuehl"/>
          <w:sz w:val="26"/>
          <w:szCs w:val="26"/>
          <w:rtl/>
        </w:rPr>
        <w:t>כמפורט בתדפיס המצורף בזה.</w:t>
      </w:r>
    </w:p>
    <w:p w14:paraId="59716EA9" w14:textId="6FAF3597" w:rsidR="00392C5A" w:rsidRDefault="00392C5A" w:rsidP="00392C5A">
      <w:pPr>
        <w:jc w:val="both"/>
        <w:rPr>
          <w:rFonts w:cs="FrankRuehl"/>
          <w:sz w:val="26"/>
          <w:szCs w:val="26"/>
          <w:rtl/>
        </w:rPr>
      </w:pPr>
    </w:p>
    <w:p w14:paraId="078E64F6" w14:textId="77777777" w:rsidR="00392C5A" w:rsidRDefault="00392C5A" w:rsidP="00392C5A">
      <w:pPr>
        <w:contextualSpacing/>
        <w:jc w:val="both"/>
        <w:rPr>
          <w:rFonts w:ascii="FrankRuehl" w:hAnsi="FrankRuehl" w:cs="FrankRuehl"/>
          <w:sz w:val="26"/>
          <w:szCs w:val="26"/>
          <w:lang w:eastAsia="en-US"/>
        </w:rPr>
      </w:pPr>
      <w:bookmarkStart w:id="11" w:name="DIVREY_HESBER"/>
      <w:bookmarkEnd w:id="11"/>
      <w:r>
        <w:rPr>
          <w:rFonts w:ascii="FrankRuehl" w:hAnsi="FrankRuehl" w:cs="FrankRuehl"/>
          <w:b/>
          <w:bCs/>
          <w:sz w:val="26"/>
          <w:szCs w:val="26"/>
          <w:rtl/>
        </w:rPr>
        <w:t>הבקשה דנה בסעיף תקציבי:</w:t>
      </w:r>
      <w:r>
        <w:rPr>
          <w:rFonts w:ascii="FrankRuehl" w:hAnsi="FrankRuehl" w:cs="FrankRuehl"/>
          <w:sz w:val="26"/>
          <w:szCs w:val="26"/>
          <w:rtl/>
        </w:rPr>
        <w:t xml:space="preserve"> 04 - משרד ראש הממשלה</w:t>
      </w:r>
    </w:p>
    <w:p w14:paraId="7CC3E9C9" w14:textId="77777777" w:rsidR="00392C5A" w:rsidRDefault="00392C5A" w:rsidP="00392C5A">
      <w:pPr>
        <w:contextualSpacing/>
        <w:jc w:val="both"/>
        <w:rPr>
          <w:rFonts w:ascii="FrankRuehl" w:hAnsi="FrankRuehl" w:cs="FrankRuehl"/>
          <w:sz w:val="26"/>
          <w:szCs w:val="26"/>
        </w:rPr>
      </w:pPr>
    </w:p>
    <w:p w14:paraId="02ECBB9C"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עיקרי הפנייה:</w:t>
      </w:r>
    </w:p>
    <w:p w14:paraId="4EE5FF40"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הפנייה התקציבית נועדה להעברת עודפים משנת התקציב 2025 לשנת התקציב 2026 בסך של 1,265,937 אלפי ש"ח.</w:t>
      </w:r>
    </w:p>
    <w:p w14:paraId="687E2134" w14:textId="77777777" w:rsidR="00392C5A" w:rsidRDefault="00392C5A" w:rsidP="00392C5A">
      <w:pPr>
        <w:contextualSpacing/>
        <w:jc w:val="both"/>
        <w:rPr>
          <w:rFonts w:ascii="FrankRuehl" w:hAnsi="FrankRuehl" w:cs="FrankRuehl"/>
          <w:sz w:val="26"/>
          <w:szCs w:val="26"/>
        </w:rPr>
      </w:pPr>
    </w:p>
    <w:p w14:paraId="49CCA866"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עיקרי הפניה בחלוקה לתוכניות מובאים להלן:</w:t>
      </w:r>
    </w:p>
    <w:p w14:paraId="4B652918"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045101 מטה המשרד – 310,880 אלפי ש"ח</w:t>
      </w:r>
    </w:p>
    <w:p w14:paraId="02E667F9"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והתפעול של מטה משרד ראש הממשלה.</w:t>
      </w:r>
    </w:p>
    <w:p w14:paraId="5C2F5E4C"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0417536"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שוטפות חוצות שנה והתקשרויות ארוכות טווח, וביניהן:</w:t>
      </w:r>
    </w:p>
    <w:p w14:paraId="0A3A5CCE" w14:textId="77777777" w:rsidR="00392C5A" w:rsidRDefault="00392C5A" w:rsidP="00392C5A">
      <w:pPr>
        <w:numPr>
          <w:ilvl w:val="0"/>
          <w:numId w:val="1"/>
        </w:numPr>
        <w:contextualSpacing/>
        <w:jc w:val="both"/>
        <w:rPr>
          <w:rFonts w:ascii="FrankRuehl" w:hAnsi="FrankRuehl" w:cs="FrankRuehl"/>
          <w:sz w:val="26"/>
          <w:szCs w:val="26"/>
          <w:rtl/>
        </w:rPr>
      </w:pPr>
      <w:r>
        <w:rPr>
          <w:rFonts w:ascii="FrankRuehl" w:hAnsi="FrankRuehl" w:cs="FrankRuehl"/>
          <w:sz w:val="26"/>
          <w:szCs w:val="26"/>
          <w:rtl/>
        </w:rPr>
        <w:t xml:space="preserve">שירותי מערכות מידע וטכנולוגיה – רכישת ציוד תקשורת ומחשבים, קניית שירותי חברות </w:t>
      </w:r>
      <w:proofErr w:type="spellStart"/>
      <w:r>
        <w:rPr>
          <w:rFonts w:ascii="FrankRuehl" w:hAnsi="FrankRuehl" w:cs="FrankRuehl"/>
          <w:sz w:val="26"/>
          <w:szCs w:val="26"/>
          <w:rtl/>
        </w:rPr>
        <w:t>כח</w:t>
      </w:r>
      <w:proofErr w:type="spellEnd"/>
      <w:r>
        <w:rPr>
          <w:rFonts w:ascii="FrankRuehl" w:hAnsi="FrankRuehl" w:cs="FrankRuehl"/>
          <w:sz w:val="26"/>
          <w:szCs w:val="26"/>
          <w:rtl/>
        </w:rPr>
        <w:t>-אדם, תחזוקת מערכות, רכישה ואחזקת ציוד מולטימדיה, תשלום עבור רישיונות תוכנה.</w:t>
      </w:r>
    </w:p>
    <w:p w14:paraId="7C07098C" w14:textId="77777777" w:rsidR="00392C5A" w:rsidRDefault="00392C5A" w:rsidP="00392C5A">
      <w:pPr>
        <w:numPr>
          <w:ilvl w:val="0"/>
          <w:numId w:val="1"/>
        </w:numPr>
        <w:contextualSpacing/>
        <w:jc w:val="both"/>
        <w:rPr>
          <w:rFonts w:ascii="FrankRuehl" w:hAnsi="FrankRuehl" w:cs="FrankRuehl"/>
          <w:sz w:val="26"/>
          <w:szCs w:val="26"/>
        </w:rPr>
      </w:pPr>
      <w:r>
        <w:rPr>
          <w:rFonts w:ascii="FrankRuehl" w:hAnsi="FrankRuehl" w:cs="FrankRuehl"/>
          <w:sz w:val="26"/>
          <w:szCs w:val="26"/>
          <w:rtl/>
        </w:rPr>
        <w:t>רכישת שירותי מיגון ואבטחה – הוצאות שוטפות עבור שירותי אבטחה והצבת מחסומים.</w:t>
      </w:r>
    </w:p>
    <w:p w14:paraId="35064156" w14:textId="77777777" w:rsidR="00392C5A" w:rsidRDefault="00392C5A" w:rsidP="00392C5A">
      <w:pPr>
        <w:numPr>
          <w:ilvl w:val="0"/>
          <w:numId w:val="1"/>
        </w:numPr>
        <w:contextualSpacing/>
        <w:jc w:val="both"/>
        <w:rPr>
          <w:rFonts w:ascii="FrankRuehl" w:hAnsi="FrankRuehl" w:cs="FrankRuehl"/>
          <w:sz w:val="26"/>
          <w:szCs w:val="26"/>
        </w:rPr>
      </w:pPr>
      <w:r>
        <w:rPr>
          <w:rFonts w:ascii="FrankRuehl" w:hAnsi="FrankRuehl" w:cs="FrankRuehl"/>
          <w:sz w:val="26"/>
          <w:szCs w:val="26"/>
          <w:rtl/>
        </w:rPr>
        <w:t>התקשרויות לתפעול שוטף של המשרד הראשי – התקשרויות לקבלת שירותי ניקיון, גינון, תחזוקה וכדומה. התקשרויות חוצות שנה.</w:t>
      </w:r>
    </w:p>
    <w:p w14:paraId="4C055549" w14:textId="77777777" w:rsidR="00392C5A" w:rsidRDefault="00392C5A" w:rsidP="00392C5A">
      <w:pPr>
        <w:numPr>
          <w:ilvl w:val="0"/>
          <w:numId w:val="1"/>
        </w:numPr>
        <w:contextualSpacing/>
        <w:jc w:val="both"/>
        <w:rPr>
          <w:rFonts w:ascii="FrankRuehl" w:hAnsi="FrankRuehl" w:cs="FrankRuehl"/>
          <w:sz w:val="26"/>
          <w:szCs w:val="26"/>
        </w:rPr>
      </w:pPr>
      <w:r>
        <w:rPr>
          <w:rFonts w:ascii="FrankRuehl" w:hAnsi="FrankRuehl" w:cs="FrankRuehl"/>
          <w:sz w:val="26"/>
          <w:szCs w:val="26"/>
          <w:rtl/>
        </w:rPr>
        <w:t>פעילות מערך ההסברה – מטה ההסברה הלאומי משמש כמנגנון המקצועי האחראי על תיאום ותכלול פעולות ההסברה של כלל הגורמים הרשמיים העוסקים בהסברה במדינת ישראל. העודפים נוצרו בהתחייבויות חוצי שנה עבור חוזי הפקת סרטוני הסברה ופעילות הסברתית בחו"ל.</w:t>
      </w:r>
    </w:p>
    <w:p w14:paraId="03A5B195" w14:textId="77777777" w:rsidR="00392C5A" w:rsidRDefault="00392C5A" w:rsidP="00392C5A">
      <w:pPr>
        <w:contextualSpacing/>
        <w:jc w:val="both"/>
        <w:rPr>
          <w:rFonts w:ascii="FrankRuehl" w:hAnsi="FrankRuehl" w:cs="FrankRuehl"/>
          <w:b/>
          <w:bCs/>
          <w:sz w:val="26"/>
          <w:szCs w:val="26"/>
          <w:rtl/>
        </w:rPr>
      </w:pPr>
    </w:p>
    <w:p w14:paraId="069A4F5D"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045103 מערך הגיור – 26,821 אלפי ש"ח</w:t>
      </w:r>
    </w:p>
    <w:p w14:paraId="68E35908"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הפעילות של מערך הגיור הממשלתי לצורך הפעילות השוטפת במסגרת תהליכי גיור וכן </w:t>
      </w:r>
      <w:proofErr w:type="spellStart"/>
      <w:r>
        <w:rPr>
          <w:rFonts w:ascii="FrankRuehl" w:hAnsi="FrankRuehl" w:cs="FrankRuehl"/>
          <w:sz w:val="26"/>
          <w:szCs w:val="26"/>
          <w:rtl/>
        </w:rPr>
        <w:t>לתכנית</w:t>
      </w:r>
      <w:proofErr w:type="spellEnd"/>
      <w:r>
        <w:rPr>
          <w:rFonts w:ascii="FrankRuehl" w:hAnsi="FrankRuehl" w:cs="FrankRuehl"/>
          <w:sz w:val="26"/>
          <w:szCs w:val="26"/>
          <w:rtl/>
        </w:rPr>
        <w:t xml:space="preserve"> הבריתות למתגיירים. </w:t>
      </w:r>
    </w:p>
    <w:p w14:paraId="74DB7539"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22D0C70" w14:textId="77777777" w:rsidR="00392C5A" w:rsidRDefault="00392C5A" w:rsidP="00392C5A">
      <w:pPr>
        <w:tabs>
          <w:tab w:val="left" w:pos="714"/>
        </w:tabs>
        <w:contextualSpacing/>
        <w:jc w:val="both"/>
        <w:rPr>
          <w:rFonts w:ascii="FrankRuehl" w:hAnsi="FrankRuehl" w:cs="FrankRuehl"/>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בגין התקשרויות חוצות שנה כמפורט להלן:</w:t>
      </w:r>
    </w:p>
    <w:p w14:paraId="3542DA90" w14:textId="77777777" w:rsidR="00392C5A" w:rsidRDefault="00392C5A" w:rsidP="00392C5A">
      <w:pPr>
        <w:numPr>
          <w:ilvl w:val="0"/>
          <w:numId w:val="2"/>
        </w:numPr>
        <w:contextualSpacing/>
        <w:jc w:val="both"/>
        <w:rPr>
          <w:rFonts w:ascii="FrankRuehl" w:hAnsi="FrankRuehl" w:cs="FrankRuehl"/>
          <w:b/>
          <w:bCs/>
          <w:sz w:val="26"/>
          <w:szCs w:val="26"/>
          <w:rtl/>
        </w:rPr>
      </w:pPr>
      <w:r>
        <w:rPr>
          <w:rFonts w:ascii="FrankRuehl" w:hAnsi="FrankRuehl" w:cs="FrankRuehl"/>
          <w:sz w:val="26"/>
          <w:szCs w:val="26"/>
          <w:rtl/>
        </w:rPr>
        <w:t>התקשרות חוצות שנים עבור לימוד והכנה של מתגיירים לגיור</w:t>
      </w:r>
      <w:r>
        <w:rPr>
          <w:rFonts w:ascii="FrankRuehl" w:hAnsi="FrankRuehl" w:cs="FrankRuehl"/>
          <w:b/>
          <w:bCs/>
          <w:sz w:val="26"/>
          <w:szCs w:val="26"/>
          <w:rtl/>
        </w:rPr>
        <w:t>.</w:t>
      </w:r>
    </w:p>
    <w:p w14:paraId="60C790CA" w14:textId="77777777" w:rsidR="00392C5A" w:rsidRDefault="00392C5A" w:rsidP="00392C5A">
      <w:pPr>
        <w:numPr>
          <w:ilvl w:val="0"/>
          <w:numId w:val="2"/>
        </w:numPr>
        <w:contextualSpacing/>
        <w:jc w:val="both"/>
        <w:rPr>
          <w:rFonts w:ascii="FrankRuehl" w:hAnsi="FrankRuehl" w:cs="FrankRuehl"/>
          <w:b/>
          <w:bCs/>
          <w:sz w:val="26"/>
          <w:szCs w:val="26"/>
          <w:rtl/>
        </w:rPr>
      </w:pPr>
      <w:r>
        <w:rPr>
          <w:rFonts w:ascii="FrankRuehl" w:hAnsi="FrankRuehl" w:cs="FrankRuehl"/>
          <w:sz w:val="26"/>
          <w:szCs w:val="26"/>
          <w:rtl/>
        </w:rPr>
        <w:t>התקשרויות ארוכות טווח לבירור יהדות של עולים לארץ</w:t>
      </w:r>
      <w:r>
        <w:rPr>
          <w:rFonts w:ascii="FrankRuehl" w:hAnsi="FrankRuehl" w:cs="FrankRuehl"/>
          <w:b/>
          <w:bCs/>
          <w:sz w:val="26"/>
          <w:szCs w:val="26"/>
          <w:rtl/>
        </w:rPr>
        <w:t>.</w:t>
      </w:r>
    </w:p>
    <w:p w14:paraId="630A845A" w14:textId="77777777" w:rsidR="00392C5A" w:rsidRDefault="00392C5A" w:rsidP="00392C5A">
      <w:pPr>
        <w:numPr>
          <w:ilvl w:val="0"/>
          <w:numId w:val="2"/>
        </w:numPr>
        <w:contextualSpacing/>
        <w:jc w:val="both"/>
        <w:rPr>
          <w:rFonts w:ascii="FrankRuehl" w:hAnsi="FrankRuehl" w:cs="FrankRuehl"/>
          <w:b/>
          <w:bCs/>
          <w:sz w:val="26"/>
          <w:szCs w:val="26"/>
          <w:rtl/>
        </w:rPr>
      </w:pPr>
      <w:r>
        <w:rPr>
          <w:rFonts w:ascii="FrankRuehl" w:hAnsi="FrankRuehl" w:cs="FrankRuehl"/>
          <w:sz w:val="26"/>
          <w:szCs w:val="26"/>
          <w:rtl/>
        </w:rPr>
        <w:t>חוזי אחזקה וניקיון חוצי שנים.</w:t>
      </w:r>
    </w:p>
    <w:p w14:paraId="25844AE9" w14:textId="77777777" w:rsidR="00392C5A" w:rsidRDefault="00392C5A" w:rsidP="00392C5A">
      <w:pPr>
        <w:numPr>
          <w:ilvl w:val="0"/>
          <w:numId w:val="2"/>
        </w:numPr>
        <w:contextualSpacing/>
        <w:jc w:val="both"/>
        <w:rPr>
          <w:rFonts w:ascii="FrankRuehl" w:hAnsi="FrankRuehl" w:cs="FrankRuehl"/>
          <w:b/>
          <w:bCs/>
          <w:sz w:val="26"/>
          <w:szCs w:val="26"/>
          <w:rtl/>
        </w:rPr>
      </w:pPr>
      <w:r>
        <w:rPr>
          <w:rFonts w:ascii="FrankRuehl" w:hAnsi="FrankRuehl" w:cs="FrankRuehl"/>
          <w:sz w:val="26"/>
          <w:szCs w:val="26"/>
          <w:rtl/>
        </w:rPr>
        <w:lastRenderedPageBreak/>
        <w:t>התקשרויות חוצות שנים עבור נותני שירותים – אנשי מחשוב ואבטחה.</w:t>
      </w:r>
    </w:p>
    <w:p w14:paraId="5F3A9ACB" w14:textId="77777777" w:rsidR="00392C5A" w:rsidRDefault="00392C5A" w:rsidP="00392C5A">
      <w:pPr>
        <w:ind w:left="397"/>
        <w:contextualSpacing/>
        <w:jc w:val="both"/>
        <w:rPr>
          <w:rFonts w:ascii="FrankRuehl" w:hAnsi="FrankRuehl" w:cs="FrankRuehl"/>
          <w:b/>
          <w:bCs/>
          <w:sz w:val="26"/>
          <w:szCs w:val="26"/>
          <w:rtl/>
        </w:rPr>
      </w:pPr>
    </w:p>
    <w:p w14:paraId="665148E4" w14:textId="77777777" w:rsidR="00392C5A" w:rsidRDefault="00392C5A" w:rsidP="00392C5A">
      <w:pPr>
        <w:contextualSpacing/>
        <w:jc w:val="both"/>
        <w:rPr>
          <w:rFonts w:ascii="FrankRuehl" w:hAnsi="FrankRuehl" w:cs="FrankRuehl"/>
          <w:sz w:val="26"/>
          <w:szCs w:val="26"/>
        </w:rPr>
      </w:pPr>
      <w:r>
        <w:rPr>
          <w:rFonts w:ascii="FrankRuehl" w:hAnsi="FrankRuehl" w:cs="FrankRuehl"/>
          <w:b/>
          <w:bCs/>
          <w:sz w:val="26"/>
          <w:szCs w:val="26"/>
          <w:rtl/>
        </w:rPr>
        <w:t>תכנית 045104 תמיכות בארגוני הנצחה – 13,077 אלפי ש"ח</w:t>
      </w:r>
    </w:p>
    <w:p w14:paraId="5766494A"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eastAsia="FrankRuehl" w:hAnsi="FrankRuehl" w:cs="FrankRuehl"/>
          <w:color w:val="000000"/>
          <w:sz w:val="26"/>
          <w:szCs w:val="26"/>
          <w:bdr w:val="none" w:sz="0" w:space="0" w:color="auto" w:frame="1"/>
          <w:rtl/>
        </w:rPr>
        <w:t>התכנית</w:t>
      </w:r>
      <w:proofErr w:type="spellEnd"/>
      <w:r>
        <w:rPr>
          <w:rFonts w:ascii="FrankRuehl" w:eastAsia="FrankRuehl" w:hAnsi="FrankRuehl" w:cs="FrankRuehl"/>
          <w:color w:val="000000"/>
          <w:sz w:val="26"/>
          <w:szCs w:val="26"/>
          <w:bdr w:val="none" w:sz="0" w:space="0" w:color="auto" w:frame="1"/>
          <w:rtl/>
        </w:rPr>
        <w:t xml:space="preserve"> כוללת את תקציב מרכז בגין, מרכז רבין, מכון בן גוריון, בית בן גוריון, מרכז גוש קטיף, המועצה להנצחת זכרם ופועלם של נשיאי ישראל וראשי ממשלותיה.</w:t>
      </w:r>
    </w:p>
    <w:p w14:paraId="0A167C65"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BAEE05F"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חוצות שנה ובמקרים בהם התשלום מתבצע בשנה העוקבות.</w:t>
      </w:r>
    </w:p>
    <w:p w14:paraId="1EE26066" w14:textId="77777777" w:rsidR="00392C5A" w:rsidRDefault="00392C5A" w:rsidP="00392C5A">
      <w:pPr>
        <w:contextualSpacing/>
        <w:jc w:val="both"/>
        <w:rPr>
          <w:rFonts w:ascii="FrankRuehl" w:hAnsi="FrankRuehl" w:cs="FrankRuehl"/>
          <w:sz w:val="26"/>
          <w:szCs w:val="26"/>
          <w:rtl/>
        </w:rPr>
      </w:pPr>
    </w:p>
    <w:p w14:paraId="6D98F242"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תכנית 045107 ארכיון המדינה – 9,460 אלפי ש"ח </w:t>
      </w:r>
    </w:p>
    <w:p w14:paraId="1F92B993"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מיועדת לביצוע הפעילויות הבאות: כינוס, רישום וקטלוג חומר ארכיוני של מוסדות המדינה, ושמירתו לדורות.</w:t>
      </w:r>
    </w:p>
    <w:p w14:paraId="5AE60FF2"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46FEA50F"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חוצות שנה ובהתקשרויות בהן התשלום מתבצע בשנה העוקבת, עבור הפעילות השוטפת שמקיים ארכיון המדינה.</w:t>
      </w:r>
    </w:p>
    <w:p w14:paraId="320F0ABD" w14:textId="77777777" w:rsidR="00392C5A" w:rsidRDefault="00392C5A" w:rsidP="00392C5A">
      <w:pPr>
        <w:contextualSpacing/>
        <w:jc w:val="both"/>
        <w:rPr>
          <w:rFonts w:ascii="FrankRuehl" w:hAnsi="FrankRuehl" w:cs="FrankRuehl"/>
          <w:b/>
          <w:bCs/>
          <w:sz w:val="26"/>
          <w:szCs w:val="26"/>
          <w:rtl/>
        </w:rPr>
      </w:pPr>
    </w:p>
    <w:p w14:paraId="061BC9C8" w14:textId="77777777" w:rsidR="00392C5A" w:rsidRDefault="00392C5A" w:rsidP="00392C5A">
      <w:pPr>
        <w:tabs>
          <w:tab w:val="left" w:pos="357"/>
        </w:tabs>
        <w:ind w:left="360" w:hanging="360"/>
        <w:contextualSpacing/>
        <w:jc w:val="both"/>
        <w:rPr>
          <w:rFonts w:ascii="FrankRuehl" w:hAnsi="FrankRuehl" w:cs="FrankRuehl"/>
          <w:b/>
          <w:bCs/>
          <w:sz w:val="26"/>
          <w:szCs w:val="26"/>
          <w:rtl/>
        </w:rPr>
      </w:pPr>
      <w:r>
        <w:rPr>
          <w:rFonts w:ascii="FrankRuehl" w:hAnsi="FrankRuehl" w:cs="FrankRuehl"/>
          <w:b/>
          <w:bCs/>
          <w:sz w:val="26"/>
          <w:szCs w:val="26"/>
          <w:rtl/>
        </w:rPr>
        <w:t>045108 - מערך הסייבר הלאומי – 47,005 אלפי ש"ח</w:t>
      </w:r>
    </w:p>
    <w:p w14:paraId="7318BE51"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והפעילות השוטפת של מערך הסייבר הלאומי.</w:t>
      </w:r>
    </w:p>
    <w:p w14:paraId="174A2044"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11C4877B"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התקשרויות חוצות שנה כמפורט להלן:</w:t>
      </w:r>
    </w:p>
    <w:p w14:paraId="3B8E24B1" w14:textId="77777777" w:rsidR="00392C5A" w:rsidRDefault="00392C5A" w:rsidP="00392C5A">
      <w:pPr>
        <w:numPr>
          <w:ilvl w:val="0"/>
          <w:numId w:val="3"/>
        </w:numPr>
        <w:contextualSpacing/>
        <w:jc w:val="both"/>
        <w:rPr>
          <w:rFonts w:ascii="FrankRuehl" w:hAnsi="FrankRuehl" w:cs="FrankRuehl"/>
          <w:sz w:val="26"/>
          <w:szCs w:val="26"/>
        </w:rPr>
      </w:pPr>
      <w:r>
        <w:rPr>
          <w:rFonts w:ascii="FrankRuehl" w:hAnsi="FrankRuehl" w:cs="FrankRuehl"/>
          <w:sz w:val="26"/>
          <w:szCs w:val="26"/>
          <w:rtl/>
        </w:rPr>
        <w:t>התקשרויות ארוכות טווח בגין</w:t>
      </w:r>
      <w:r>
        <w:rPr>
          <w:rFonts w:ascii="FrankRuehl" w:hAnsi="FrankRuehl" w:cs="FrankRuehl"/>
          <w:sz w:val="26"/>
          <w:szCs w:val="26"/>
        </w:rPr>
        <w:t xml:space="preserve"> </w:t>
      </w:r>
      <w:r>
        <w:rPr>
          <w:rFonts w:ascii="FrankRuehl" w:hAnsi="FrankRuehl" w:cs="FrankRuehl"/>
          <w:sz w:val="26"/>
          <w:szCs w:val="26"/>
          <w:rtl/>
        </w:rPr>
        <w:t>מערכות</w:t>
      </w:r>
      <w:r>
        <w:rPr>
          <w:rFonts w:ascii="FrankRuehl" w:hAnsi="FrankRuehl" w:cs="FrankRuehl"/>
          <w:sz w:val="26"/>
          <w:szCs w:val="26"/>
        </w:rPr>
        <w:t xml:space="preserve"> </w:t>
      </w:r>
      <w:r>
        <w:rPr>
          <w:rFonts w:ascii="FrankRuehl" w:hAnsi="FrankRuehl" w:cs="FrankRuehl"/>
          <w:sz w:val="26"/>
          <w:szCs w:val="26"/>
          <w:rtl/>
        </w:rPr>
        <w:t xml:space="preserve">טכנולוגיות ונותני שירותים לעולם המבצעי והטכנולוגי. </w:t>
      </w:r>
    </w:p>
    <w:p w14:paraId="57227E2E" w14:textId="77777777" w:rsidR="00392C5A" w:rsidRDefault="00392C5A" w:rsidP="00392C5A">
      <w:pPr>
        <w:numPr>
          <w:ilvl w:val="0"/>
          <w:numId w:val="3"/>
        </w:numPr>
        <w:contextualSpacing/>
        <w:jc w:val="both"/>
        <w:rPr>
          <w:rFonts w:ascii="FrankRuehl" w:hAnsi="FrankRuehl" w:cs="FrankRuehl"/>
          <w:sz w:val="26"/>
          <w:szCs w:val="26"/>
          <w:rtl/>
        </w:rPr>
      </w:pPr>
      <w:r>
        <w:rPr>
          <w:rFonts w:ascii="FrankRuehl" w:hAnsi="FrankRuehl" w:cs="FrankRuehl"/>
          <w:sz w:val="26"/>
          <w:szCs w:val="26"/>
          <w:rtl/>
        </w:rPr>
        <w:t>חוזים חוצי</w:t>
      </w:r>
      <w:r>
        <w:rPr>
          <w:rFonts w:ascii="FrankRuehl" w:hAnsi="FrankRuehl" w:cs="FrankRuehl"/>
          <w:sz w:val="26"/>
          <w:szCs w:val="26"/>
        </w:rPr>
        <w:t xml:space="preserve"> </w:t>
      </w:r>
      <w:r>
        <w:rPr>
          <w:rFonts w:ascii="FrankRuehl" w:hAnsi="FrankRuehl" w:cs="FrankRuehl"/>
          <w:sz w:val="26"/>
          <w:szCs w:val="26"/>
          <w:rtl/>
        </w:rPr>
        <w:t>שנה בגין התקשרויות שוטפות ביניהם אחזקה, דיור, אבטחה וניקיון.</w:t>
      </w:r>
    </w:p>
    <w:p w14:paraId="614F896B" w14:textId="77777777" w:rsidR="00392C5A" w:rsidRDefault="00392C5A" w:rsidP="00392C5A">
      <w:pPr>
        <w:contextualSpacing/>
        <w:jc w:val="both"/>
        <w:rPr>
          <w:rFonts w:ascii="FrankRuehl" w:hAnsi="FrankRuehl" w:cs="FrankRuehl"/>
          <w:b/>
          <w:bCs/>
          <w:sz w:val="26"/>
          <w:szCs w:val="26"/>
        </w:rPr>
      </w:pPr>
    </w:p>
    <w:p w14:paraId="18339B7A"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תכנית 045110 פרויקטים והחלטות ממשלה – 4,286 אלפי ש"ח </w:t>
      </w:r>
    </w:p>
    <w:p w14:paraId="0EE0578A"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הקרן למורשת הכותל לצורך פיתוח ותחזוקה שוטפת של מנהרות הכותל.</w:t>
      </w:r>
    </w:p>
    <w:p w14:paraId="4F8AEFCC"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01E3476"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חוצות שנה עבור תחזוקת הכותל ופיתוח מנהרות הכותל. </w:t>
      </w:r>
    </w:p>
    <w:p w14:paraId="41CF540E" w14:textId="77777777" w:rsidR="00392C5A" w:rsidRDefault="00392C5A" w:rsidP="00392C5A">
      <w:pPr>
        <w:contextualSpacing/>
        <w:jc w:val="both"/>
        <w:rPr>
          <w:rFonts w:ascii="FrankRuehl" w:hAnsi="FrankRuehl" w:cs="FrankRuehl"/>
          <w:b/>
          <w:bCs/>
          <w:sz w:val="26"/>
          <w:szCs w:val="26"/>
          <w:rtl/>
        </w:rPr>
      </w:pPr>
    </w:p>
    <w:p w14:paraId="49D877F9"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תכנית 045111 לשכת העיתונות הממשלתית – 4,161 אלפי ש"ח </w:t>
      </w:r>
    </w:p>
    <w:p w14:paraId="107F71F6"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הפעולות והשכר של לשכת העיתונות הממשלתית.</w:t>
      </w:r>
    </w:p>
    <w:p w14:paraId="0443B06E"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3D41912"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חוצות שנה ובמקרים בהם התשלום מתבצע בשנה העוקבות, ביניהן התקשרויות להנפקת תעודות עיתונאים, צילום והפקה. </w:t>
      </w:r>
    </w:p>
    <w:p w14:paraId="6AD2885A" w14:textId="77777777" w:rsidR="00392C5A" w:rsidRDefault="00392C5A" w:rsidP="00392C5A">
      <w:pPr>
        <w:contextualSpacing/>
        <w:jc w:val="both"/>
        <w:rPr>
          <w:rFonts w:ascii="FrankRuehl" w:hAnsi="FrankRuehl" w:cs="FrankRuehl"/>
          <w:sz w:val="26"/>
          <w:szCs w:val="26"/>
          <w:rtl/>
        </w:rPr>
      </w:pPr>
    </w:p>
    <w:p w14:paraId="29C5C31B"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045203 משרד התפוצות – 11,739 אלפי ש"ח</w:t>
      </w:r>
    </w:p>
    <w:p w14:paraId="22DAB78E"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התפעול והפעולות של התפוצות.</w:t>
      </w:r>
    </w:p>
    <w:p w14:paraId="3BC086C5"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3FF18A5"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מהתקשרות רב שנתית של המנהלת להתחדשות יהודית, כאשר התשלום בפרויקט מתבצע בהתאם לביצוע בפועל. על כן, ישנם מקרים בהם התשלום יתבצע בשנה העוקבת ולא בשנת יצירת ההתקשרות.</w:t>
      </w:r>
    </w:p>
    <w:p w14:paraId="4C614D0E" w14:textId="77777777" w:rsidR="00392C5A" w:rsidRDefault="00392C5A" w:rsidP="00392C5A">
      <w:pPr>
        <w:contextualSpacing/>
        <w:jc w:val="both"/>
        <w:rPr>
          <w:rFonts w:ascii="FrankRuehl" w:hAnsi="FrankRuehl" w:cs="FrankRuehl"/>
          <w:sz w:val="26"/>
          <w:szCs w:val="26"/>
          <w:rtl/>
        </w:rPr>
      </w:pPr>
    </w:p>
    <w:p w14:paraId="4BD5E721"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045204 המשרד לנושאים אסטרטגיים – 220 אלפי ש"ח</w:t>
      </w:r>
    </w:p>
    <w:p w14:paraId="6810BD0B"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התפעול, הפרויקטים והשכר במשרד לנושאים אסטרטגיים. </w:t>
      </w:r>
    </w:p>
    <w:p w14:paraId="653149F4"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EEEF241"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רב שנתיות עבור שירותי תפעול שוטף, אחזקה וניקיון. </w:t>
      </w:r>
    </w:p>
    <w:p w14:paraId="1FD06E93" w14:textId="77777777" w:rsidR="00392C5A" w:rsidRDefault="00392C5A" w:rsidP="00392C5A">
      <w:pPr>
        <w:contextualSpacing/>
        <w:jc w:val="both"/>
        <w:rPr>
          <w:rFonts w:ascii="FrankRuehl" w:hAnsi="FrankRuehl" w:cs="FrankRuehl"/>
          <w:sz w:val="26"/>
          <w:szCs w:val="26"/>
          <w:rtl/>
        </w:rPr>
      </w:pPr>
    </w:p>
    <w:p w14:paraId="1A2EB168"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045209 לשכות שרים וסגני שרים – 9,146 אלפי ש"ח</w:t>
      </w:r>
    </w:p>
    <w:p w14:paraId="0C589882" w14:textId="12490539"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ההוצאות של לשכות שרים וסגני שרים במשרד ראש הממשלה.  </w:t>
      </w:r>
    </w:p>
    <w:p w14:paraId="165A1C99" w14:textId="77777777" w:rsidR="00392C5A" w:rsidRDefault="00392C5A" w:rsidP="00392C5A">
      <w:pPr>
        <w:contextualSpacing/>
        <w:jc w:val="both"/>
        <w:rPr>
          <w:rFonts w:ascii="FrankRuehl" w:hAnsi="FrankRuehl" w:cs="FrankRuehl"/>
          <w:sz w:val="26"/>
          <w:szCs w:val="26"/>
          <w:rtl/>
        </w:rPr>
      </w:pPr>
    </w:p>
    <w:p w14:paraId="3DDF6FC5"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lastRenderedPageBreak/>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FCFA96A"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רב שנתיות עבור שירותי תפעול שוטף, אחזקה וניקיון, וכן התקשרויות ארוכות טווח לפעילויות הרשות לזהות לאומית, ובין השאר התקשרויות לביצוע מחקרים בתחומי הפעולה של הרשות. </w:t>
      </w:r>
    </w:p>
    <w:p w14:paraId="1CA320FA" w14:textId="77777777" w:rsidR="00392C5A" w:rsidRDefault="00392C5A" w:rsidP="00392C5A">
      <w:pPr>
        <w:contextualSpacing/>
        <w:jc w:val="both"/>
        <w:rPr>
          <w:rFonts w:ascii="FrankRuehl" w:hAnsi="FrankRuehl" w:cs="FrankRuehl"/>
          <w:b/>
          <w:bCs/>
          <w:sz w:val="26"/>
          <w:szCs w:val="26"/>
          <w:rtl/>
        </w:rPr>
      </w:pPr>
    </w:p>
    <w:p w14:paraId="3934C5A7"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045211 משרד ירושלים ומסורת ישראל</w:t>
      </w:r>
      <w:r>
        <w:rPr>
          <w:rFonts w:ascii="FrankRuehl" w:hAnsi="FrankRuehl" w:cs="FrankRuehl"/>
          <w:sz w:val="26"/>
          <w:szCs w:val="26"/>
          <w:rtl/>
        </w:rPr>
        <w:t xml:space="preserve"> </w:t>
      </w:r>
      <w:r>
        <w:rPr>
          <w:rFonts w:ascii="FrankRuehl" w:hAnsi="FrankRuehl" w:cs="FrankRuehl"/>
          <w:b/>
          <w:bCs/>
          <w:sz w:val="26"/>
          <w:szCs w:val="26"/>
          <w:rtl/>
        </w:rPr>
        <w:t>– 19,999 אלפי ש"ח</w:t>
      </w:r>
    </w:p>
    <w:p w14:paraId="388F5F4D"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תכנית זו מרכזת את הוצאות התפעול, השכר והפעילות השוטפת של משרד ירושלים ומסורת ישראל וכן את ההוצאות הנוגעות לפעילות בתחום מסורת ישראל לרבות הילולת רבי שמעון בר יוחאי במירון.</w:t>
      </w:r>
    </w:p>
    <w:p w14:paraId="6F47D952"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2692284"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מדובר בהתחייבויות עבור תפעול, פעולות המשרד ותשתיות קבע למירון אשר חוצים שנה פיסקלית.</w:t>
      </w:r>
    </w:p>
    <w:p w14:paraId="065DE205" w14:textId="77777777" w:rsidR="00392C5A" w:rsidRDefault="00392C5A" w:rsidP="00392C5A">
      <w:pPr>
        <w:contextualSpacing/>
        <w:jc w:val="both"/>
        <w:rPr>
          <w:rFonts w:ascii="FrankRuehl" w:hAnsi="FrankRuehl" w:cs="FrankRuehl"/>
          <w:sz w:val="26"/>
          <w:szCs w:val="26"/>
        </w:rPr>
      </w:pPr>
    </w:p>
    <w:p w14:paraId="5AB498E8"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045212 משרד המורשת</w:t>
      </w:r>
      <w:r>
        <w:rPr>
          <w:rFonts w:ascii="FrankRuehl" w:hAnsi="FrankRuehl" w:cs="FrankRuehl"/>
          <w:sz w:val="26"/>
          <w:szCs w:val="26"/>
          <w:rtl/>
        </w:rPr>
        <w:t xml:space="preserve"> </w:t>
      </w:r>
      <w:r>
        <w:rPr>
          <w:rFonts w:ascii="FrankRuehl" w:hAnsi="FrankRuehl" w:cs="FrankRuehl"/>
          <w:b/>
          <w:bCs/>
          <w:sz w:val="26"/>
          <w:szCs w:val="26"/>
          <w:rtl/>
        </w:rPr>
        <w:t>– 43,498 אלפי ש"ח</w:t>
      </w:r>
    </w:p>
    <w:p w14:paraId="5D5AD3DF" w14:textId="77777777" w:rsidR="00392C5A" w:rsidRDefault="00392C5A" w:rsidP="00392C5A">
      <w:pPr>
        <w:contextualSpacing/>
        <w:jc w:val="both"/>
        <w:rPr>
          <w:rFonts w:ascii="FrankRuehl" w:hAnsi="FrankRuehl" w:cs="FrankRuehl"/>
          <w:color w:val="FF0000"/>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תכנית נועדה למימון הוצאות המשרד השוטפות של משרד מורשת, לרבות שכר ותפעול המשרד.</w:t>
      </w:r>
    </w:p>
    <w:p w14:paraId="007EF8D1"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21C257F"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העודפים  נוצרו בשל יתרות בהתקשרויות שטרם הוגשו בגינן כלל הדוחות הסופיים לשנת 2025 ולכן טרם שולמו, וכן התחייבויות עבור תפעול ופעולות המשרד עבור חוזים חוצי שנה.</w:t>
      </w:r>
    </w:p>
    <w:p w14:paraId="2CD73C20" w14:textId="77777777" w:rsidR="00392C5A" w:rsidRDefault="00392C5A" w:rsidP="00392C5A">
      <w:pPr>
        <w:contextualSpacing/>
        <w:jc w:val="both"/>
        <w:rPr>
          <w:rFonts w:ascii="FrankRuehl" w:hAnsi="FrankRuehl" w:cs="FrankRuehl"/>
          <w:sz w:val="26"/>
          <w:szCs w:val="26"/>
        </w:rPr>
      </w:pPr>
    </w:p>
    <w:p w14:paraId="582A6570" w14:textId="77777777" w:rsidR="00392C5A" w:rsidRDefault="00392C5A" w:rsidP="00392C5A">
      <w:pPr>
        <w:ind w:left="360" w:hanging="360"/>
        <w:contextualSpacing/>
        <w:jc w:val="both"/>
        <w:rPr>
          <w:rFonts w:ascii="FrankRuehl" w:hAnsi="FrankRuehl" w:cs="FrankRuehl"/>
          <w:b/>
          <w:bCs/>
          <w:sz w:val="26"/>
          <w:szCs w:val="26"/>
          <w:rtl/>
        </w:rPr>
      </w:pPr>
      <w:r>
        <w:rPr>
          <w:rFonts w:ascii="FrankRuehl" w:hAnsi="FrankRuehl" w:cs="FrankRuehl"/>
          <w:b/>
          <w:bCs/>
          <w:sz w:val="26"/>
          <w:szCs w:val="26"/>
          <w:rtl/>
        </w:rPr>
        <w:t xml:space="preserve">תכנית 045213 משרד ההתיישבות </w:t>
      </w:r>
      <w:r>
        <w:rPr>
          <w:rFonts w:ascii="FrankRuehl" w:hAnsi="FrankRuehl" w:cs="FrankRuehl"/>
          <w:b/>
          <w:bCs/>
          <w:sz w:val="26"/>
          <w:szCs w:val="26"/>
        </w:rPr>
        <w:t>–</w:t>
      </w:r>
      <w:r>
        <w:rPr>
          <w:rFonts w:ascii="FrankRuehl" w:hAnsi="FrankRuehl" w:cs="FrankRuehl"/>
          <w:b/>
          <w:bCs/>
          <w:sz w:val="26"/>
          <w:szCs w:val="26"/>
          <w:rtl/>
        </w:rPr>
        <w:t xml:space="preserve"> 264,278 אלפי ש"ח</w:t>
      </w:r>
    </w:p>
    <w:p w14:paraId="6D8258A8" w14:textId="77777777" w:rsidR="00392C5A" w:rsidRDefault="00392C5A" w:rsidP="00392C5A">
      <w:pPr>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כוללת את תקציב השכר, התפעול של משרד ההתיישבות, תקציב הפעילות של משרד ההתיישבות ותקציב התמיכה של משרד ההתיישבות.</w:t>
      </w:r>
    </w:p>
    <w:p w14:paraId="3C901AD2" w14:textId="77777777" w:rsidR="00392C5A" w:rsidRDefault="00392C5A" w:rsidP="00392C5A">
      <w:pPr>
        <w:ind w:left="360" w:hanging="360"/>
        <w:contextualSpacing/>
        <w:jc w:val="both"/>
        <w:rPr>
          <w:rFonts w:ascii="FrankRuehl" w:hAnsi="FrankRuehl" w:cs="FrankRuehl"/>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
    <w:p w14:paraId="7F61B271" w14:textId="77777777" w:rsidR="00392C5A" w:rsidRDefault="00392C5A" w:rsidP="00392C5A">
      <w:pPr>
        <w:tabs>
          <w:tab w:val="left" w:pos="357"/>
        </w:tabs>
        <w:contextualSpacing/>
        <w:jc w:val="both"/>
        <w:rPr>
          <w:rFonts w:ascii="FrankRuehl" w:hAnsi="FrankRuehl" w:cs="FrankRuehl"/>
          <w:b/>
          <w:bCs/>
          <w:sz w:val="26"/>
          <w:szCs w:val="26"/>
          <w:rtl/>
        </w:rPr>
      </w:pPr>
      <w:r>
        <w:rPr>
          <w:rFonts w:ascii="FrankRuehl" w:hAnsi="FrankRuehl" w:cs="FrankRuehl"/>
          <w:sz w:val="26"/>
          <w:szCs w:val="26"/>
          <w:rtl/>
        </w:rPr>
        <w:t>העודפים נוצרו בגין תמיכות חוצות שנה עבור גרעינים משימתיים המשולמים בהתאם לביצוע בפועל, פרויקטים רב שנתיים של החטיבה להתיישבות, התקשרויות במנהלת לזהות יהודית שמשולמות לספקים רק לאחר ביצוע ויצאו בסוף שנת 2025 והוצאות תפעול חוצות שנה.</w:t>
      </w:r>
    </w:p>
    <w:p w14:paraId="6207962E" w14:textId="77777777" w:rsidR="00392C5A" w:rsidRDefault="00392C5A" w:rsidP="00392C5A">
      <w:pPr>
        <w:contextualSpacing/>
        <w:jc w:val="both"/>
        <w:rPr>
          <w:rFonts w:ascii="FrankRuehl" w:hAnsi="FrankRuehl" w:cs="FrankRuehl"/>
          <w:sz w:val="26"/>
          <w:szCs w:val="26"/>
        </w:rPr>
      </w:pPr>
    </w:p>
    <w:p w14:paraId="581949BC" w14:textId="77777777" w:rsidR="00392C5A" w:rsidRDefault="00392C5A" w:rsidP="00392C5A">
      <w:pPr>
        <w:ind w:left="360" w:hanging="360"/>
        <w:contextualSpacing/>
        <w:jc w:val="both"/>
        <w:rPr>
          <w:rFonts w:ascii="FrankRuehl" w:hAnsi="FrankRuehl" w:cs="FrankRuehl"/>
          <w:b/>
          <w:bCs/>
          <w:sz w:val="26"/>
          <w:szCs w:val="26"/>
          <w:rtl/>
        </w:rPr>
      </w:pPr>
      <w:r>
        <w:rPr>
          <w:rFonts w:ascii="FrankRuehl" w:hAnsi="FrankRuehl" w:cs="FrankRuehl"/>
          <w:b/>
          <w:bCs/>
          <w:sz w:val="26"/>
          <w:szCs w:val="26"/>
          <w:rtl/>
        </w:rPr>
        <w:t xml:space="preserve">תכנית 045215 מערך </w:t>
      </w:r>
      <w:proofErr w:type="spellStart"/>
      <w:r>
        <w:rPr>
          <w:rFonts w:ascii="FrankRuehl" w:hAnsi="FrankRuehl" w:cs="FrankRuehl"/>
          <w:b/>
          <w:bCs/>
          <w:sz w:val="26"/>
          <w:szCs w:val="26"/>
          <w:rtl/>
        </w:rPr>
        <w:t>הדיגיטל</w:t>
      </w:r>
      <w:proofErr w:type="spellEnd"/>
      <w:r>
        <w:rPr>
          <w:rFonts w:ascii="FrankRuehl" w:hAnsi="FrankRuehl" w:cs="FrankRuehl"/>
          <w:b/>
          <w:bCs/>
          <w:sz w:val="26"/>
          <w:szCs w:val="26"/>
          <w:rtl/>
        </w:rPr>
        <w:t xml:space="preserve"> הלאומי </w:t>
      </w:r>
      <w:r>
        <w:rPr>
          <w:rFonts w:ascii="FrankRuehl" w:hAnsi="FrankRuehl" w:cs="FrankRuehl"/>
          <w:b/>
          <w:bCs/>
          <w:sz w:val="26"/>
          <w:szCs w:val="26"/>
        </w:rPr>
        <w:t> –</w:t>
      </w:r>
      <w:r>
        <w:rPr>
          <w:rFonts w:ascii="FrankRuehl" w:hAnsi="FrankRuehl" w:cs="FrankRuehl"/>
          <w:b/>
          <w:bCs/>
          <w:sz w:val="26"/>
          <w:szCs w:val="26"/>
          <w:rtl/>
        </w:rPr>
        <w:t>129,017 אלפי ש"ח</w:t>
      </w:r>
    </w:p>
    <w:p w14:paraId="5D2EA822" w14:textId="77777777" w:rsidR="00392C5A" w:rsidRDefault="00392C5A" w:rsidP="00392C5A">
      <w:pPr>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התפעול והפעולות של מערך </w:t>
      </w:r>
      <w:proofErr w:type="spellStart"/>
      <w:r>
        <w:rPr>
          <w:rFonts w:ascii="FrankRuehl" w:hAnsi="FrankRuehl" w:cs="FrankRuehl"/>
          <w:sz w:val="26"/>
          <w:szCs w:val="26"/>
          <w:rtl/>
        </w:rPr>
        <w:t>הדיגיטל</w:t>
      </w:r>
      <w:proofErr w:type="spellEnd"/>
      <w:r>
        <w:rPr>
          <w:rFonts w:ascii="FrankRuehl" w:hAnsi="FrankRuehl" w:cs="FrankRuehl"/>
          <w:sz w:val="26"/>
          <w:szCs w:val="26"/>
          <w:rtl/>
        </w:rPr>
        <w:t xml:space="preserve"> הלאומי, חיבור של רשות התקשוב הממשלתית וישראל דיגיטלית.</w:t>
      </w:r>
    </w:p>
    <w:p w14:paraId="61F4FD56"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0EA7B60B"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התקשרויות לאספקת תשתיות טכנולוגיות - שרתים, נפחי אחסון, שדרוג חדר מחשב, חומרה ורישיונות ומערכת מחשוב. </w:t>
      </w:r>
    </w:p>
    <w:p w14:paraId="52FF89C1" w14:textId="77777777" w:rsidR="00392C5A" w:rsidRDefault="00392C5A" w:rsidP="00392C5A">
      <w:pPr>
        <w:ind w:left="360" w:hanging="360"/>
        <w:contextualSpacing/>
        <w:jc w:val="both"/>
        <w:rPr>
          <w:rFonts w:ascii="FrankRuehl" w:hAnsi="FrankRuehl" w:cs="FrankRuehl"/>
          <w:b/>
          <w:bCs/>
          <w:sz w:val="26"/>
          <w:szCs w:val="26"/>
        </w:rPr>
      </w:pPr>
    </w:p>
    <w:p w14:paraId="30548F13" w14:textId="77777777" w:rsidR="00392C5A" w:rsidRDefault="00392C5A" w:rsidP="00392C5A">
      <w:pPr>
        <w:ind w:left="360" w:hanging="360"/>
        <w:contextualSpacing/>
        <w:jc w:val="both"/>
        <w:rPr>
          <w:rFonts w:ascii="FrankRuehl" w:hAnsi="FrankRuehl" w:cs="FrankRuehl"/>
          <w:b/>
          <w:bCs/>
          <w:sz w:val="26"/>
          <w:szCs w:val="26"/>
          <w:rtl/>
        </w:rPr>
      </w:pPr>
      <w:r>
        <w:rPr>
          <w:rFonts w:ascii="FrankRuehl" w:hAnsi="FrankRuehl" w:cs="FrankRuehl"/>
          <w:b/>
          <w:bCs/>
          <w:sz w:val="26"/>
          <w:szCs w:val="26"/>
          <w:rtl/>
        </w:rPr>
        <w:t>תכנית 045217 מטה בינה מלאכותית – 1,012 אלפי ש"ח</w:t>
      </w:r>
    </w:p>
    <w:p w14:paraId="37019D33"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במסגרת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מתוקצבת פעילות המטה הלאומי לבינה מלאכותית, הכוללת שכר לעובדי המטה, תקציב ייעוץ ורכש לוגיסטי. המטה הלאומי לבינה מלאכותית מופקד על גיבוש והתוויית יעדים </w:t>
      </w:r>
      <w:proofErr w:type="spellStart"/>
      <w:r>
        <w:rPr>
          <w:rFonts w:ascii="FrankRuehl" w:hAnsi="FrankRuehl" w:cs="FrankRuehl"/>
          <w:sz w:val="26"/>
          <w:szCs w:val="26"/>
          <w:rtl/>
        </w:rPr>
        <w:t>ותכנית</w:t>
      </w:r>
      <w:proofErr w:type="spellEnd"/>
      <w:r>
        <w:rPr>
          <w:rFonts w:ascii="FrankRuehl" w:hAnsi="FrankRuehl" w:cs="FrankRuehl"/>
          <w:sz w:val="26"/>
          <w:szCs w:val="26"/>
          <w:rtl/>
        </w:rPr>
        <w:t xml:space="preserve"> אסטרטגית לקידום תחום הבינה המלאכותית בישראל.</w:t>
      </w:r>
    </w:p>
    <w:p w14:paraId="53F88A70"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00E3CD86"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 xml:space="preserve">העודפים נוצרו בגין פתיחת התקשרויות ייעוץ חוצות שנות תקציב שמשמשות את המטה לבינה מלאכותית לצורך ביסוס פעילותו וכתיבת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האסטרטגית. הייעוץ ניתן בנושאי תשתיות, הון אנושי וכתיבת תכנים מקצועיים הנדרשים לצרכי המטה.</w:t>
      </w:r>
    </w:p>
    <w:p w14:paraId="3E503132" w14:textId="77777777" w:rsidR="00392C5A" w:rsidRDefault="00392C5A" w:rsidP="00392C5A">
      <w:pPr>
        <w:contextualSpacing/>
        <w:jc w:val="both"/>
        <w:rPr>
          <w:rFonts w:ascii="FrankRuehl" w:hAnsi="FrankRuehl" w:cs="FrankRuehl"/>
          <w:b/>
          <w:bCs/>
          <w:sz w:val="26"/>
          <w:szCs w:val="26"/>
        </w:rPr>
      </w:pPr>
    </w:p>
    <w:p w14:paraId="257C28C1"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045301 הלשכה המרכזית לסטטיסטיקה – 104,415 אלפי ש"ח</w:t>
      </w:r>
    </w:p>
    <w:p w14:paraId="27342E09" w14:textId="77777777" w:rsidR="00392C5A" w:rsidRDefault="00392C5A" w:rsidP="00392C5A">
      <w:pPr>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השכר והקניות המשמשים לביצוע הפעילות השוטפת של הלשכה המרכזית לסטטיסטיקה</w:t>
      </w:r>
      <w:r>
        <w:rPr>
          <w:rFonts w:ascii="FrankRuehl" w:hAnsi="FrankRuehl" w:cs="FrankRuehl"/>
          <w:sz w:val="26"/>
          <w:szCs w:val="26"/>
        </w:rPr>
        <w:t>.</w:t>
      </w:r>
      <w:r>
        <w:rPr>
          <w:rFonts w:ascii="FrankRuehl" w:hAnsi="FrankRuehl" w:cs="FrankRuehl"/>
          <w:sz w:val="26"/>
          <w:szCs w:val="26"/>
          <w:rtl/>
        </w:rPr>
        <w:t xml:space="preserve"> </w:t>
      </w:r>
    </w:p>
    <w:p w14:paraId="17D6D268"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752B008"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התקשרויות שוטפות חוצות שנה והתקשרויות ארוכות טווח:</w:t>
      </w:r>
    </w:p>
    <w:p w14:paraId="2A37EAFD" w14:textId="77777777" w:rsidR="00392C5A" w:rsidRDefault="00392C5A" w:rsidP="00392C5A">
      <w:pPr>
        <w:numPr>
          <w:ilvl w:val="0"/>
          <w:numId w:val="4"/>
        </w:numPr>
        <w:contextualSpacing/>
        <w:jc w:val="both"/>
        <w:rPr>
          <w:rFonts w:ascii="FrankRuehl" w:hAnsi="FrankRuehl" w:cs="FrankRuehl"/>
          <w:sz w:val="26"/>
          <w:szCs w:val="26"/>
        </w:rPr>
      </w:pPr>
      <w:r>
        <w:rPr>
          <w:rFonts w:ascii="FrankRuehl" w:hAnsi="FrankRuehl" w:cs="FrankRuehl"/>
          <w:sz w:val="26"/>
          <w:szCs w:val="26"/>
          <w:rtl/>
        </w:rPr>
        <w:t xml:space="preserve">פרויקטים חוצי שנה בשדרוג מערכות המידע של </w:t>
      </w:r>
      <w:proofErr w:type="spellStart"/>
      <w:r>
        <w:rPr>
          <w:rFonts w:ascii="FrankRuehl" w:hAnsi="FrankRuehl" w:cs="FrankRuehl"/>
          <w:sz w:val="26"/>
          <w:szCs w:val="26"/>
          <w:rtl/>
        </w:rPr>
        <w:t>הלמ"ס</w:t>
      </w:r>
      <w:proofErr w:type="spellEnd"/>
      <w:r>
        <w:rPr>
          <w:rFonts w:ascii="FrankRuehl" w:hAnsi="FrankRuehl" w:cs="FrankRuehl"/>
          <w:sz w:val="26"/>
          <w:szCs w:val="26"/>
          <w:rtl/>
        </w:rPr>
        <w:t xml:space="preserve"> שהתשלום בגינם נעשה בהתאם לאבני דרך</w:t>
      </w:r>
      <w:r>
        <w:rPr>
          <w:rFonts w:ascii="FrankRuehl" w:hAnsi="FrankRuehl" w:cs="FrankRuehl"/>
          <w:sz w:val="26"/>
          <w:szCs w:val="26"/>
        </w:rPr>
        <w:t>.</w:t>
      </w:r>
    </w:p>
    <w:p w14:paraId="3E3EBBB6" w14:textId="77777777" w:rsidR="00392C5A" w:rsidRDefault="00392C5A" w:rsidP="00392C5A">
      <w:pPr>
        <w:numPr>
          <w:ilvl w:val="0"/>
          <w:numId w:val="4"/>
        </w:numPr>
        <w:contextualSpacing/>
        <w:jc w:val="both"/>
        <w:rPr>
          <w:rFonts w:ascii="FrankRuehl" w:hAnsi="FrankRuehl" w:cs="FrankRuehl"/>
          <w:sz w:val="26"/>
          <w:szCs w:val="26"/>
          <w:rtl/>
        </w:rPr>
      </w:pPr>
      <w:r>
        <w:rPr>
          <w:rFonts w:ascii="FrankRuehl" w:hAnsi="FrankRuehl" w:cs="FrankRuehl"/>
          <w:sz w:val="26"/>
          <w:szCs w:val="26"/>
          <w:rtl/>
        </w:rPr>
        <w:t xml:space="preserve">התקשרויות עם נותני שירותים לאספקת תשתיות טכנולוגיות </w:t>
      </w:r>
      <w:proofErr w:type="spellStart"/>
      <w:r>
        <w:rPr>
          <w:rFonts w:ascii="FrankRuehl" w:hAnsi="FrankRuehl" w:cs="FrankRuehl"/>
          <w:sz w:val="26"/>
          <w:szCs w:val="26"/>
          <w:rtl/>
        </w:rPr>
        <w:t>ומחשוביות</w:t>
      </w:r>
      <w:proofErr w:type="spellEnd"/>
      <w:r>
        <w:rPr>
          <w:rFonts w:ascii="FrankRuehl" w:hAnsi="FrankRuehl" w:cs="FrankRuehl"/>
          <w:sz w:val="26"/>
          <w:szCs w:val="26"/>
          <w:rtl/>
        </w:rPr>
        <w:t>.</w:t>
      </w:r>
    </w:p>
    <w:p w14:paraId="07B3F9C1" w14:textId="77777777" w:rsidR="00392C5A" w:rsidRDefault="00392C5A" w:rsidP="00392C5A">
      <w:pPr>
        <w:numPr>
          <w:ilvl w:val="0"/>
          <w:numId w:val="4"/>
        </w:numPr>
        <w:contextualSpacing/>
        <w:jc w:val="both"/>
        <w:rPr>
          <w:rFonts w:ascii="FrankRuehl" w:hAnsi="FrankRuehl" w:cs="FrankRuehl"/>
          <w:sz w:val="26"/>
          <w:szCs w:val="26"/>
          <w:rtl/>
        </w:rPr>
      </w:pPr>
      <w:r>
        <w:rPr>
          <w:rFonts w:ascii="FrankRuehl" w:hAnsi="FrankRuehl" w:cs="FrankRuehl"/>
          <w:sz w:val="26"/>
          <w:szCs w:val="26"/>
          <w:rtl/>
        </w:rPr>
        <w:t>שיפוץ מבנה והתאמתו לצורכי הסוקרים, המעבר טרם הושלם והתשלום בגינו חוצה שנה.</w:t>
      </w:r>
    </w:p>
    <w:p w14:paraId="1E812347" w14:textId="77777777" w:rsidR="00392C5A" w:rsidRDefault="00392C5A" w:rsidP="00392C5A">
      <w:pPr>
        <w:numPr>
          <w:ilvl w:val="0"/>
          <w:numId w:val="4"/>
        </w:numPr>
        <w:contextualSpacing/>
        <w:jc w:val="both"/>
        <w:rPr>
          <w:rFonts w:ascii="FrankRuehl" w:hAnsi="FrankRuehl" w:cs="FrankRuehl"/>
          <w:sz w:val="26"/>
          <w:szCs w:val="26"/>
          <w:rtl/>
        </w:rPr>
      </w:pPr>
      <w:r>
        <w:rPr>
          <w:rFonts w:ascii="FrankRuehl" w:hAnsi="FrankRuehl" w:cs="FrankRuehl"/>
          <w:sz w:val="26"/>
          <w:szCs w:val="26"/>
          <w:rtl/>
        </w:rPr>
        <w:lastRenderedPageBreak/>
        <w:t>חוזי אחזקה, תחזוקה וניקיון חוצים שנים</w:t>
      </w:r>
      <w:r>
        <w:rPr>
          <w:rFonts w:ascii="FrankRuehl" w:hAnsi="FrankRuehl" w:cs="FrankRuehl"/>
          <w:sz w:val="26"/>
          <w:szCs w:val="26"/>
        </w:rPr>
        <w:t>.</w:t>
      </w:r>
    </w:p>
    <w:p w14:paraId="5B331D2E" w14:textId="77777777" w:rsidR="00392C5A" w:rsidRDefault="00392C5A" w:rsidP="00392C5A">
      <w:pPr>
        <w:contextualSpacing/>
        <w:jc w:val="both"/>
        <w:rPr>
          <w:rFonts w:ascii="FrankRuehl" w:hAnsi="FrankRuehl" w:cs="FrankRuehl"/>
          <w:sz w:val="26"/>
          <w:szCs w:val="26"/>
        </w:rPr>
      </w:pPr>
    </w:p>
    <w:p w14:paraId="52F34500"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045302 ביצוע סקרים חיצוניים – 16,356 אלפי ש"ח</w:t>
      </w:r>
    </w:p>
    <w:p w14:paraId="59AB024A"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הפרויקטים של </w:t>
      </w:r>
      <w:proofErr w:type="spellStart"/>
      <w:r>
        <w:rPr>
          <w:rFonts w:ascii="FrankRuehl" w:hAnsi="FrankRuehl" w:cs="FrankRuehl"/>
          <w:sz w:val="26"/>
          <w:szCs w:val="26"/>
          <w:rtl/>
        </w:rPr>
        <w:t>הלמ"ס</w:t>
      </w:r>
      <w:proofErr w:type="spellEnd"/>
      <w:r>
        <w:rPr>
          <w:rFonts w:ascii="FrankRuehl" w:hAnsi="FrankRuehl" w:cs="FrankRuehl"/>
          <w:sz w:val="26"/>
          <w:szCs w:val="26"/>
          <w:rtl/>
        </w:rPr>
        <w:t xml:space="preserve"> ואת תקציב מפקד האוכלוסין.</w:t>
      </w:r>
    </w:p>
    <w:p w14:paraId="1083C34D"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Pr>
        <w:t>:</w:t>
      </w:r>
    </w:p>
    <w:p w14:paraId="29E82276"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פרויקט "אגם המידע הממשלתי" שנועד לקדם את מערכות המידע של </w:t>
      </w:r>
      <w:proofErr w:type="spellStart"/>
      <w:r>
        <w:rPr>
          <w:rFonts w:ascii="FrankRuehl" w:hAnsi="FrankRuehl" w:cs="FrankRuehl"/>
          <w:sz w:val="26"/>
          <w:szCs w:val="26"/>
          <w:rtl/>
        </w:rPr>
        <w:t>הלמ"ס</w:t>
      </w:r>
      <w:proofErr w:type="spellEnd"/>
      <w:r>
        <w:rPr>
          <w:rFonts w:ascii="FrankRuehl" w:hAnsi="FrankRuehl" w:cs="FrankRuehl"/>
          <w:sz w:val="26"/>
          <w:szCs w:val="26"/>
          <w:rtl/>
        </w:rPr>
        <w:t xml:space="preserve"> </w:t>
      </w:r>
      <w:proofErr w:type="spellStart"/>
      <w:r>
        <w:rPr>
          <w:rFonts w:ascii="FrankRuehl" w:hAnsi="FrankRuehl" w:cs="FrankRuehl"/>
          <w:sz w:val="26"/>
          <w:szCs w:val="26"/>
          <w:rtl/>
        </w:rPr>
        <w:t>ולהנגיש</w:t>
      </w:r>
      <w:proofErr w:type="spellEnd"/>
      <w:r>
        <w:rPr>
          <w:rFonts w:ascii="FrankRuehl" w:hAnsi="FrankRuehl" w:cs="FrankRuehl"/>
          <w:sz w:val="26"/>
          <w:szCs w:val="26"/>
          <w:rtl/>
        </w:rPr>
        <w:t xml:space="preserve"> את נתוני </w:t>
      </w:r>
      <w:proofErr w:type="spellStart"/>
      <w:r>
        <w:rPr>
          <w:rFonts w:ascii="FrankRuehl" w:hAnsi="FrankRuehl" w:cs="FrankRuehl"/>
          <w:sz w:val="26"/>
          <w:szCs w:val="26"/>
          <w:rtl/>
        </w:rPr>
        <w:t>הלמ"ס</w:t>
      </w:r>
      <w:proofErr w:type="spellEnd"/>
      <w:r>
        <w:rPr>
          <w:rFonts w:ascii="FrankRuehl" w:hAnsi="FrankRuehl" w:cs="FrankRuehl"/>
          <w:sz w:val="26"/>
          <w:szCs w:val="26"/>
          <w:rtl/>
        </w:rPr>
        <w:t xml:space="preserve"> למשרדי הממשלה ולציבור</w:t>
      </w:r>
      <w:r>
        <w:rPr>
          <w:rFonts w:ascii="FrankRuehl" w:hAnsi="FrankRuehl" w:cs="FrankRuehl"/>
          <w:sz w:val="26"/>
          <w:szCs w:val="26"/>
        </w:rPr>
        <w:t>.</w:t>
      </w:r>
    </w:p>
    <w:p w14:paraId="497ED944" w14:textId="77777777" w:rsidR="00392C5A" w:rsidRDefault="00392C5A" w:rsidP="00392C5A">
      <w:pPr>
        <w:contextualSpacing/>
        <w:jc w:val="both"/>
        <w:rPr>
          <w:rFonts w:ascii="FrankRuehl" w:hAnsi="FrankRuehl" w:cs="FrankRuehl"/>
          <w:sz w:val="26"/>
          <w:szCs w:val="26"/>
        </w:rPr>
      </w:pPr>
    </w:p>
    <w:p w14:paraId="1F370FC4"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תכנית 045501 נציבות שירות המדינה – 42,818 אלפי ש"ח</w:t>
      </w:r>
    </w:p>
    <w:p w14:paraId="1E649797" w14:textId="77777777" w:rsidR="00392C5A" w:rsidRDefault="00392C5A" w:rsidP="00392C5A">
      <w:pPr>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תכנית זו מאגדת בתוכה את התקציב המוקצה לתשלומי השכר ואת תקציב הקניות הנדרש לתפעול השוטף של הנציבות, כגון: שכר דירה, הוצאות חשמל.</w:t>
      </w:r>
    </w:p>
    <w:p w14:paraId="141836FA"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001D45D"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העודפים הינם בגין התחייבויות חוצות שנה בתחומי התפעול השוטף, וביניהן התקשרויות לשירותי אחזקה, ניקיון ומחשוב. </w:t>
      </w:r>
    </w:p>
    <w:p w14:paraId="613CA875" w14:textId="77777777" w:rsidR="00392C5A" w:rsidRDefault="00392C5A" w:rsidP="00392C5A">
      <w:pPr>
        <w:contextualSpacing/>
        <w:jc w:val="both"/>
        <w:rPr>
          <w:rFonts w:ascii="FrankRuehl" w:hAnsi="FrankRuehl" w:cs="FrankRuehl"/>
          <w:sz w:val="26"/>
          <w:szCs w:val="26"/>
          <w:rtl/>
        </w:rPr>
      </w:pPr>
    </w:p>
    <w:p w14:paraId="6F1784F1"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תכנית 045502 </w:t>
      </w:r>
      <w:proofErr w:type="spellStart"/>
      <w:r>
        <w:rPr>
          <w:rFonts w:ascii="FrankRuehl" w:hAnsi="FrankRuehl" w:cs="FrankRuehl"/>
          <w:b/>
          <w:bCs/>
          <w:sz w:val="26"/>
          <w:szCs w:val="26"/>
          <w:rtl/>
        </w:rPr>
        <w:t>תכניות</w:t>
      </w:r>
      <w:proofErr w:type="spellEnd"/>
      <w:r>
        <w:rPr>
          <w:rFonts w:ascii="FrankRuehl" w:hAnsi="FrankRuehl" w:cs="FrankRuehl"/>
          <w:b/>
          <w:bCs/>
          <w:sz w:val="26"/>
          <w:szCs w:val="26"/>
          <w:rtl/>
        </w:rPr>
        <w:t xml:space="preserve"> מיוחדות – 8,279 אלפי ש"ח</w:t>
      </w:r>
    </w:p>
    <w:p w14:paraId="74540397"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התקציב המיועד להפעלת תכנית "צוערים </w:t>
      </w:r>
      <w:proofErr w:type="spellStart"/>
      <w:r>
        <w:rPr>
          <w:rFonts w:ascii="FrankRuehl" w:hAnsi="FrankRuehl" w:cs="FrankRuehl"/>
          <w:sz w:val="26"/>
          <w:szCs w:val="26"/>
          <w:rtl/>
        </w:rPr>
        <w:t>למינהל</w:t>
      </w:r>
      <w:proofErr w:type="spellEnd"/>
      <w:r>
        <w:rPr>
          <w:rFonts w:ascii="FrankRuehl" w:hAnsi="FrankRuehl" w:cs="FrankRuehl"/>
          <w:sz w:val="26"/>
          <w:szCs w:val="26"/>
          <w:rtl/>
        </w:rPr>
        <w:t xml:space="preserve"> ציבורי" בהתאם להמלצות ועדת ההיגוי </w:t>
      </w:r>
      <w:proofErr w:type="spellStart"/>
      <w:r>
        <w:rPr>
          <w:rFonts w:ascii="FrankRuehl" w:hAnsi="FrankRuehl" w:cs="FrankRuehl"/>
          <w:sz w:val="26"/>
          <w:szCs w:val="26"/>
          <w:rtl/>
        </w:rPr>
        <w:t>לתכנית</w:t>
      </w:r>
      <w:proofErr w:type="spellEnd"/>
      <w:r>
        <w:rPr>
          <w:rFonts w:ascii="FrankRuehl" w:hAnsi="FrankRuehl" w:cs="FrankRuehl"/>
          <w:sz w:val="26"/>
          <w:szCs w:val="26"/>
          <w:rtl/>
        </w:rPr>
        <w:t xml:space="preserve"> זו מיום 13.01.2010 אשר אומצו על ידיד הממשלה בהחלטה מס' 248 ביום 17 בינואר 2010 לתקנון ולתקצוב. </w:t>
      </w:r>
    </w:p>
    <w:p w14:paraId="561AA360"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6FA8CE4"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העודפים הינם בגין התחייבויות חוצות שנה להפעלת תכנית "צוערים לשירות המדינה", וביניהן התקשרויות מעטפת הכוללות שכירות, תפעול שוטף וייעוץ.</w:t>
      </w:r>
    </w:p>
    <w:p w14:paraId="64FBD9B2" w14:textId="77777777" w:rsidR="00392C5A" w:rsidRDefault="00392C5A" w:rsidP="00392C5A">
      <w:pPr>
        <w:contextualSpacing/>
        <w:jc w:val="both"/>
        <w:rPr>
          <w:rFonts w:ascii="FrankRuehl" w:hAnsi="FrankRuehl" w:cs="FrankRuehl"/>
          <w:sz w:val="26"/>
          <w:szCs w:val="26"/>
          <w:rtl/>
        </w:rPr>
      </w:pPr>
    </w:p>
    <w:p w14:paraId="2CDB7DD2"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תכנית 045601 שיתוף פעולה אזורי </w:t>
      </w:r>
      <w:r>
        <w:rPr>
          <w:rFonts w:ascii="FrankRuehl" w:hAnsi="FrankRuehl" w:cs="FrankRuehl"/>
          <w:b/>
          <w:bCs/>
          <w:sz w:val="26"/>
          <w:szCs w:val="26"/>
        </w:rPr>
        <w:t xml:space="preserve"> –</w:t>
      </w:r>
      <w:r>
        <w:rPr>
          <w:rFonts w:ascii="FrankRuehl" w:hAnsi="FrankRuehl" w:cs="FrankRuehl"/>
          <w:b/>
          <w:bCs/>
          <w:sz w:val="26"/>
          <w:szCs w:val="26"/>
          <w:rtl/>
        </w:rPr>
        <w:t>20,684 אלפי ש"ח</w:t>
      </w:r>
    </w:p>
    <w:p w14:paraId="7B76BA4D" w14:textId="77777777" w:rsidR="00392C5A" w:rsidRDefault="00392C5A" w:rsidP="00392C5A">
      <w:pPr>
        <w:contextualSpacing/>
        <w:jc w:val="both"/>
        <w:rPr>
          <w:rFonts w:ascii="FrankRuehl" w:hAnsi="FrankRuehl" w:cs="FrankRuehl"/>
          <w:b/>
          <w:bCs/>
          <w:sz w:val="26"/>
          <w:szCs w:val="26"/>
          <w:rtl/>
        </w:rPr>
      </w:pP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מתוקצבות כלל הפעילויות של המשרד לשיתוף פעולה אזורי, כולל תקציב השכר, התפעול והפעולות של המשרד.</w:t>
      </w:r>
    </w:p>
    <w:p w14:paraId="14D61416"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3CD4A0F"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העודפים הינם בגין התחייבויות חוצות שנה.</w:t>
      </w:r>
    </w:p>
    <w:p w14:paraId="638A849E" w14:textId="77777777" w:rsidR="00392C5A" w:rsidRDefault="00392C5A" w:rsidP="00392C5A">
      <w:pPr>
        <w:contextualSpacing/>
        <w:jc w:val="both"/>
        <w:rPr>
          <w:rFonts w:ascii="FrankRuehl" w:hAnsi="FrankRuehl" w:cs="FrankRuehl"/>
          <w:b/>
          <w:bCs/>
          <w:sz w:val="26"/>
          <w:szCs w:val="26"/>
          <w:rtl/>
        </w:rPr>
      </w:pPr>
    </w:p>
    <w:p w14:paraId="540E9E87"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045701 המשרד לשוויון חברתי – 74,561 אלפי ש"ח</w:t>
      </w:r>
    </w:p>
    <w:p w14:paraId="4FE487EB"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התפעול, הפרויקטים והשכר במטה המשרד לשוויון חברתי.</w:t>
      </w:r>
    </w:p>
    <w:p w14:paraId="0D3F2B46"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
    <w:p w14:paraId="4B6BDB4B"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עודפים בתוכנית נוצרו מהתקשרויות שוטפות חוצות שנה עבור תמיכה באירועי תרבות וספורט, קידום אוריינות דיגיטלית לאזרחים וותיקים ברשויות המקומיות:</w:t>
      </w:r>
    </w:p>
    <w:p w14:paraId="03C8B54D" w14:textId="77777777" w:rsidR="00392C5A" w:rsidRDefault="00392C5A" w:rsidP="00392C5A">
      <w:pPr>
        <w:numPr>
          <w:ilvl w:val="0"/>
          <w:numId w:val="5"/>
        </w:numPr>
        <w:contextualSpacing/>
        <w:jc w:val="both"/>
        <w:rPr>
          <w:rFonts w:ascii="FrankRuehl" w:hAnsi="FrankRuehl" w:cs="FrankRuehl"/>
          <w:sz w:val="26"/>
          <w:szCs w:val="26"/>
          <w:rtl/>
          <w:lang w:eastAsia="en-US"/>
        </w:rPr>
      </w:pPr>
      <w:r>
        <w:rPr>
          <w:rFonts w:ascii="FrankRuehl" w:hAnsi="FrankRuehl" w:cs="FrankRuehl"/>
          <w:sz w:val="26"/>
          <w:szCs w:val="26"/>
          <w:rtl/>
        </w:rPr>
        <w:t xml:space="preserve">התקשרויות </w:t>
      </w:r>
      <w:proofErr w:type="spellStart"/>
      <w:r>
        <w:rPr>
          <w:rFonts w:ascii="FrankRuehl" w:hAnsi="FrankRuehl" w:cs="FrankRuehl"/>
          <w:sz w:val="26"/>
          <w:szCs w:val="26"/>
          <w:rtl/>
        </w:rPr>
        <w:t>ותכניות</w:t>
      </w:r>
      <w:proofErr w:type="spellEnd"/>
      <w:r>
        <w:rPr>
          <w:rFonts w:ascii="FrankRuehl" w:hAnsi="FrankRuehl" w:cs="FrankRuehl"/>
          <w:sz w:val="26"/>
          <w:szCs w:val="26"/>
          <w:rtl/>
        </w:rPr>
        <w:t xml:space="preserve"> רבות אשר הינן חוצות שנים לאור הפער בין תחילת שנת הלימודים במערכת החינוך לשנה </w:t>
      </w:r>
      <w:proofErr w:type="spellStart"/>
      <w:r>
        <w:rPr>
          <w:rFonts w:ascii="FrankRuehl" w:hAnsi="FrankRuehl" w:cs="FrankRuehl"/>
          <w:sz w:val="26"/>
          <w:szCs w:val="26"/>
          <w:rtl/>
        </w:rPr>
        <w:t>קלנדרית</w:t>
      </w:r>
      <w:proofErr w:type="spellEnd"/>
      <w:r>
        <w:rPr>
          <w:rFonts w:ascii="FrankRuehl" w:hAnsi="FrankRuehl" w:cs="FrankRuehl"/>
          <w:sz w:val="26"/>
          <w:szCs w:val="26"/>
          <w:rtl/>
        </w:rPr>
        <w:t xml:space="preserve"> כגון תכנית מלגות.</w:t>
      </w:r>
    </w:p>
    <w:p w14:paraId="45DFF169" w14:textId="25137F99" w:rsidR="00392C5A" w:rsidRDefault="00392C5A" w:rsidP="00392C5A">
      <w:pPr>
        <w:numPr>
          <w:ilvl w:val="0"/>
          <w:numId w:val="5"/>
        </w:numPr>
        <w:contextualSpacing/>
        <w:jc w:val="both"/>
        <w:rPr>
          <w:rFonts w:ascii="FrankRuehl" w:hAnsi="FrankRuehl" w:cs="FrankRuehl"/>
          <w:sz w:val="26"/>
          <w:szCs w:val="26"/>
          <w:rtl/>
        </w:rPr>
      </w:pP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אשר תחילת ההתקשרות הינן חוצות שנים כגון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"שלישי בשלייקס" (הוזלה בבתי קולנוע לאזרחים ותיקים), "בזק אונליין" (מוקד טלפוני </w:t>
      </w:r>
      <w:r>
        <w:rPr>
          <w:rFonts w:ascii="FrankRuehl" w:hAnsi="FrankRuehl" w:cs="FrankRuehl" w:hint="cs"/>
          <w:sz w:val="26"/>
          <w:szCs w:val="26"/>
          <w:rtl/>
        </w:rPr>
        <w:t>עבור</w:t>
      </w:r>
      <w:r>
        <w:rPr>
          <w:rFonts w:ascii="FrankRuehl" w:hAnsi="FrankRuehl" w:cs="FrankRuehl"/>
          <w:sz w:val="26"/>
          <w:szCs w:val="26"/>
          <w:rtl/>
        </w:rPr>
        <w:t xml:space="preserve"> אזרחים ותיקים), התקשרויות בתחום נותני שירותי </w:t>
      </w:r>
      <w:proofErr w:type="spellStart"/>
      <w:r>
        <w:rPr>
          <w:rFonts w:ascii="FrankRuehl" w:hAnsi="FrankRuehl" w:cs="FrankRuehl"/>
          <w:sz w:val="26"/>
          <w:szCs w:val="26"/>
          <w:rtl/>
        </w:rPr>
        <w:t>מיחשוב</w:t>
      </w:r>
      <w:proofErr w:type="spellEnd"/>
      <w:r>
        <w:rPr>
          <w:rFonts w:ascii="FrankRuehl" w:hAnsi="FrankRuehl" w:cs="FrankRuehl"/>
          <w:sz w:val="26"/>
          <w:szCs w:val="26"/>
          <w:rtl/>
        </w:rPr>
        <w:t xml:space="preserve"> וכדומה.</w:t>
      </w:r>
    </w:p>
    <w:p w14:paraId="3B3D29F4" w14:textId="77777777" w:rsidR="00392C5A" w:rsidRDefault="00392C5A" w:rsidP="00392C5A">
      <w:pPr>
        <w:numPr>
          <w:ilvl w:val="0"/>
          <w:numId w:val="5"/>
        </w:numPr>
        <w:contextualSpacing/>
        <w:jc w:val="both"/>
        <w:rPr>
          <w:rFonts w:ascii="FrankRuehl" w:hAnsi="FrankRuehl" w:cs="FrankRuehl"/>
          <w:sz w:val="26"/>
          <w:szCs w:val="26"/>
          <w:rtl/>
        </w:rPr>
      </w:pPr>
      <w:r>
        <w:rPr>
          <w:rFonts w:ascii="FrankRuehl" w:hAnsi="FrankRuehl" w:cs="FrankRuehl"/>
          <w:sz w:val="26"/>
          <w:szCs w:val="26"/>
          <w:rtl/>
        </w:rPr>
        <w:t>התקשרויות עם רשויות מקומיות ואשר הרשויות טרם הספיקו להגיש דרישת תשלום, למרכזי צעירים, בתים פתוחים וכדומה.</w:t>
      </w:r>
    </w:p>
    <w:p w14:paraId="347F4331" w14:textId="77777777" w:rsidR="00392C5A" w:rsidRDefault="00392C5A" w:rsidP="00392C5A">
      <w:pPr>
        <w:ind w:left="360"/>
        <w:contextualSpacing/>
        <w:jc w:val="both"/>
        <w:rPr>
          <w:rFonts w:ascii="FrankRuehl" w:hAnsi="FrankRuehl" w:cs="FrankRuehl"/>
          <w:sz w:val="26"/>
          <w:szCs w:val="26"/>
          <w:rtl/>
        </w:rPr>
      </w:pPr>
    </w:p>
    <w:p w14:paraId="11418891"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תכנית 045702 הרשות לקידום מעמד האישה – 338 אלפי ש"ח</w:t>
      </w:r>
    </w:p>
    <w:p w14:paraId="1A20ED62"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התפעול, הפרויקטים והשכר של הרשות לקידום מעמד האישה.</w:t>
      </w:r>
    </w:p>
    <w:p w14:paraId="7C3F7FBF" w14:textId="77777777" w:rsidR="00392C5A" w:rsidRDefault="00392C5A" w:rsidP="00392C5A">
      <w:pPr>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B14B69A"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העודפים בתוכנית נוצרו בעקבות התקשרויות שוטפות חוצות שנה בהן התשלום בפועל נעשה בשנה העוקבת לשנת ההתקשרות, בפעילות כגון קול קורא למאבק באלימות נגד נשים, קידום מאגר לנשים מומחיות ופעילויות בתחום השוויון המגדרי.</w:t>
      </w:r>
    </w:p>
    <w:p w14:paraId="54AE014B" w14:textId="1A07D899" w:rsidR="00392C5A" w:rsidRDefault="00392C5A" w:rsidP="00392C5A">
      <w:pPr>
        <w:contextualSpacing/>
        <w:jc w:val="both"/>
        <w:rPr>
          <w:rFonts w:ascii="FrankRuehl" w:hAnsi="FrankRuehl" w:cs="FrankRuehl"/>
          <w:sz w:val="26"/>
          <w:szCs w:val="26"/>
          <w:rtl/>
        </w:rPr>
      </w:pPr>
    </w:p>
    <w:p w14:paraId="3A0D3635" w14:textId="27E553D1" w:rsidR="00392C5A" w:rsidRDefault="00392C5A" w:rsidP="00392C5A">
      <w:pPr>
        <w:contextualSpacing/>
        <w:jc w:val="both"/>
        <w:rPr>
          <w:rFonts w:ascii="FrankRuehl" w:hAnsi="FrankRuehl" w:cs="FrankRuehl"/>
          <w:sz w:val="26"/>
          <w:szCs w:val="26"/>
          <w:rtl/>
        </w:rPr>
      </w:pPr>
    </w:p>
    <w:p w14:paraId="23CD341F" w14:textId="77777777" w:rsidR="00392C5A" w:rsidRDefault="00392C5A" w:rsidP="00392C5A">
      <w:pPr>
        <w:contextualSpacing/>
        <w:jc w:val="both"/>
        <w:rPr>
          <w:rFonts w:ascii="FrankRuehl" w:hAnsi="FrankRuehl" w:cs="FrankRuehl"/>
          <w:sz w:val="26"/>
          <w:szCs w:val="26"/>
          <w:rtl/>
        </w:rPr>
      </w:pPr>
    </w:p>
    <w:p w14:paraId="327481CC"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lastRenderedPageBreak/>
        <w:t>תכנית 045703 הרשות לפיתוח כלכלי של המיעוטים – 37,644 אלפי ש"ח</w:t>
      </w:r>
    </w:p>
    <w:p w14:paraId="3AA449FF"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התקציב המיועד לפעילות הרשות לפיתוח כלכלי של מגזר המיעוטים, בהתאם ליעדיה אשר נקבעו בהחלטת הממשלה 1204 מיום 28.1.2007. </w:t>
      </w:r>
    </w:p>
    <w:p w14:paraId="4BB7A223"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ED40522" w14:textId="77777777" w:rsidR="00392C5A" w:rsidRDefault="00392C5A" w:rsidP="00392C5A">
      <w:pPr>
        <w:contextualSpacing/>
        <w:jc w:val="both"/>
        <w:rPr>
          <w:rFonts w:ascii="FrankRuehl" w:hAnsi="FrankRuehl" w:cs="FrankRuehl"/>
          <w:sz w:val="26"/>
          <w:szCs w:val="26"/>
          <w:rtl/>
        </w:rPr>
      </w:pPr>
      <w:r>
        <w:rPr>
          <w:rFonts w:ascii="FrankRuehl" w:hAnsi="FrankRuehl" w:cs="FrankRuehl"/>
          <w:sz w:val="26"/>
          <w:szCs w:val="26"/>
          <w:rtl/>
        </w:rPr>
        <w:t xml:space="preserve">העודפים בתוכנית נוצרו בעקבות התקשרויות שוטפות חוצות שנה בהן התשלום בפועל נעשה בשנה העוקבת לשנת ההתקשרות, בפעילויות הרשות. </w:t>
      </w:r>
    </w:p>
    <w:p w14:paraId="06D5E330" w14:textId="77777777" w:rsidR="00392C5A" w:rsidRDefault="00392C5A" w:rsidP="00392C5A">
      <w:pPr>
        <w:contextualSpacing/>
        <w:jc w:val="both"/>
        <w:rPr>
          <w:rFonts w:ascii="FrankRuehl" w:hAnsi="FrankRuehl" w:cs="FrankRuehl"/>
          <w:sz w:val="26"/>
          <w:szCs w:val="26"/>
          <w:rtl/>
        </w:rPr>
      </w:pPr>
    </w:p>
    <w:p w14:paraId="56796940"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045901 נתיב – 16,547 אלפי ש"ח</w:t>
      </w:r>
    </w:p>
    <w:p w14:paraId="0AC79AAA"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התפעול השוטף של ארגון "נתיב". גוף הפועל בקרב יהודים וזכאי עלייה במדינות ברית המועצות לשעבר ויוצאי מדינות ברית המועצות לשעבר בכל העולם כדי לבחון ולאשר את זכאותם לעלייה בלימה לחוק השבות לעודד ולסייע ולחזק את זיקתם לישראל לציונות וליהדות.</w:t>
      </w:r>
    </w:p>
    <w:p w14:paraId="26851A24"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5B489B43"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חוצות שנה ובמקרים בהם התשלום מתבצע בשנה העוקבת</w:t>
      </w:r>
      <w:r>
        <w:rPr>
          <w:rFonts w:ascii="FrankRuehl" w:hAnsi="FrankRuehl" w:cs="FrankRuehl"/>
          <w:b/>
          <w:bCs/>
          <w:sz w:val="26"/>
          <w:szCs w:val="26"/>
          <w:rtl/>
        </w:rPr>
        <w:t>.</w:t>
      </w:r>
    </w:p>
    <w:p w14:paraId="0B793E6C" w14:textId="77777777" w:rsidR="00392C5A" w:rsidRDefault="00392C5A" w:rsidP="00392C5A">
      <w:pPr>
        <w:contextualSpacing/>
        <w:jc w:val="both"/>
        <w:rPr>
          <w:rFonts w:ascii="FrankRuehl" w:hAnsi="FrankRuehl" w:cs="FrankRuehl"/>
          <w:sz w:val="26"/>
          <w:szCs w:val="26"/>
          <w:rtl/>
        </w:rPr>
      </w:pPr>
    </w:p>
    <w:p w14:paraId="455C69FC" w14:textId="77777777" w:rsidR="00392C5A" w:rsidRDefault="00392C5A" w:rsidP="00392C5A">
      <w:pPr>
        <w:ind w:left="360" w:hanging="360"/>
        <w:contextualSpacing/>
        <w:jc w:val="both"/>
        <w:rPr>
          <w:rFonts w:ascii="FrankRuehl" w:hAnsi="FrankRuehl" w:cs="FrankRuehl"/>
          <w:b/>
          <w:bCs/>
          <w:sz w:val="26"/>
          <w:szCs w:val="26"/>
          <w:rtl/>
        </w:rPr>
      </w:pPr>
    </w:p>
    <w:p w14:paraId="055ABD98"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תכנית 046302 תפעול</w:t>
      </w:r>
      <w:r>
        <w:rPr>
          <w:rFonts w:ascii="FrankRuehl" w:hAnsi="FrankRuehl" w:cs="FrankRuehl"/>
          <w:sz w:val="26"/>
          <w:szCs w:val="26"/>
          <w:rtl/>
        </w:rPr>
        <w:t xml:space="preserve"> </w:t>
      </w:r>
      <w:r>
        <w:rPr>
          <w:rFonts w:ascii="FrankRuehl" w:hAnsi="FrankRuehl" w:cs="FrankRuehl"/>
          <w:b/>
          <w:bCs/>
          <w:sz w:val="26"/>
          <w:szCs w:val="26"/>
          <w:rtl/>
        </w:rPr>
        <w:t>– 10,185 אלפי ש"ח</w:t>
      </w:r>
    </w:p>
    <w:p w14:paraId="052829EB"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תקציבי התפעול השוטף של משרד הנגב, הגליל והחוסן הלאומי</w:t>
      </w:r>
      <w:r>
        <w:rPr>
          <w:rFonts w:ascii="FrankRuehl" w:hAnsi="FrankRuehl" w:cs="FrankRuehl"/>
          <w:b/>
          <w:bCs/>
          <w:sz w:val="26"/>
          <w:szCs w:val="26"/>
          <w:rtl/>
        </w:rPr>
        <w:t>.</w:t>
      </w:r>
    </w:p>
    <w:p w14:paraId="70DCCA99"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155528E" w14:textId="77777777" w:rsidR="00392C5A" w:rsidRDefault="00392C5A" w:rsidP="00392C5A">
      <w:pPr>
        <w:contextualSpacing/>
        <w:jc w:val="both"/>
        <w:rPr>
          <w:rFonts w:ascii="FrankRuehl" w:hAnsi="FrankRuehl" w:cs="FrankRuehl"/>
          <w:b/>
          <w:bCs/>
          <w:sz w:val="26"/>
          <w:szCs w:val="26"/>
        </w:rPr>
      </w:pPr>
      <w:r>
        <w:rPr>
          <w:rFonts w:ascii="FrankRuehl" w:hAnsi="FrankRuehl" w:cs="FrankRuehl"/>
          <w:sz w:val="26"/>
          <w:szCs w:val="26"/>
          <w:rtl/>
        </w:rPr>
        <w:t xml:space="preserve">החוזים שנחתמים עבור תפעול המשרד נחתמים באופן שחוצה שנה פיסקלית, ולכן נוצרים עודפים מחויבים בגינם. </w:t>
      </w:r>
    </w:p>
    <w:p w14:paraId="214CFEE9" w14:textId="77777777" w:rsidR="00392C5A" w:rsidRDefault="00392C5A" w:rsidP="00392C5A">
      <w:pPr>
        <w:ind w:left="360" w:hanging="360"/>
        <w:contextualSpacing/>
        <w:jc w:val="both"/>
        <w:rPr>
          <w:rFonts w:ascii="FrankRuehl" w:hAnsi="FrankRuehl" w:cs="FrankRuehl"/>
          <w:b/>
          <w:bCs/>
          <w:sz w:val="26"/>
          <w:szCs w:val="26"/>
        </w:rPr>
      </w:pPr>
    </w:p>
    <w:p w14:paraId="21DBE4A6" w14:textId="77777777" w:rsidR="00392C5A" w:rsidRDefault="00392C5A" w:rsidP="00392C5A">
      <w:pPr>
        <w:ind w:left="360" w:hanging="360"/>
        <w:contextualSpacing/>
        <w:jc w:val="both"/>
        <w:rPr>
          <w:rFonts w:ascii="FrankRuehl" w:hAnsi="FrankRuehl" w:cs="FrankRuehl"/>
          <w:b/>
          <w:bCs/>
          <w:sz w:val="26"/>
          <w:szCs w:val="26"/>
          <w:rtl/>
        </w:rPr>
      </w:pPr>
      <w:r>
        <w:rPr>
          <w:rFonts w:ascii="FrankRuehl" w:hAnsi="FrankRuehl" w:cs="FrankRuehl"/>
          <w:b/>
          <w:bCs/>
          <w:sz w:val="26"/>
          <w:szCs w:val="26"/>
          <w:rtl/>
        </w:rPr>
        <w:t>תכנית 046303 פיתוח הנגב והגליל – 38,579 אלפי ש"ח</w:t>
      </w:r>
    </w:p>
    <w:p w14:paraId="0BDF6A08"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תקציב הפעולות של המשרד, תמיכה </w:t>
      </w:r>
      <w:proofErr w:type="spellStart"/>
      <w:r>
        <w:rPr>
          <w:rFonts w:ascii="FrankRuehl" w:hAnsi="FrankRuehl" w:cs="FrankRuehl"/>
          <w:sz w:val="26"/>
          <w:szCs w:val="26"/>
          <w:rtl/>
        </w:rPr>
        <w:t>בפרויקטי</w:t>
      </w:r>
      <w:proofErr w:type="spellEnd"/>
      <w:r>
        <w:rPr>
          <w:rFonts w:ascii="FrankRuehl" w:hAnsi="FrankRuehl" w:cs="FrankRuehl"/>
          <w:sz w:val="26"/>
          <w:szCs w:val="26"/>
          <w:rtl/>
        </w:rPr>
        <w:t xml:space="preserve"> פיתוח וקידום פרויקטים כלכליים ברשויות המקומיות וכן תקציב הרשויות לפיתוח הנגב והגליל.</w:t>
      </w:r>
    </w:p>
    <w:p w14:paraId="14F37174"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5A5419A0" w14:textId="77777777" w:rsidR="00392C5A" w:rsidRDefault="00392C5A" w:rsidP="00392C5A">
      <w:pPr>
        <w:contextualSpacing/>
        <w:jc w:val="both"/>
        <w:rPr>
          <w:rFonts w:ascii="FrankRuehl" w:hAnsi="FrankRuehl" w:cs="FrankRuehl"/>
          <w:sz w:val="26"/>
          <w:szCs w:val="26"/>
        </w:rPr>
      </w:pPr>
      <w:r>
        <w:rPr>
          <w:rFonts w:ascii="FrankRuehl" w:hAnsi="FrankRuehl" w:cs="FrankRuehl"/>
          <w:sz w:val="26"/>
          <w:szCs w:val="26"/>
          <w:rtl/>
        </w:rPr>
        <w:t xml:space="preserve">בתוכנית קיימים </w:t>
      </w:r>
      <w:proofErr w:type="spellStart"/>
      <w:r>
        <w:rPr>
          <w:rFonts w:ascii="FrankRuehl" w:hAnsi="FrankRuehl" w:cs="FrankRuehl"/>
          <w:sz w:val="26"/>
          <w:szCs w:val="26"/>
          <w:rtl/>
        </w:rPr>
        <w:t>פרויקטי</w:t>
      </w:r>
      <w:proofErr w:type="spellEnd"/>
      <w:r>
        <w:rPr>
          <w:rFonts w:ascii="FrankRuehl" w:hAnsi="FrankRuehl" w:cs="FrankRuehl"/>
          <w:sz w:val="26"/>
          <w:szCs w:val="26"/>
          <w:rtl/>
        </w:rPr>
        <w:t xml:space="preserve"> חברה וקהילה וכן קולות קוראים לסיוע לרשויות מקומיות בנגב ובגליל ולעלה נגב עבור ביצוע ויישום פרויקטים לפיתוח כלכלי מקומי או אזורי. </w:t>
      </w:r>
    </w:p>
    <w:p w14:paraId="6767E896" w14:textId="77777777" w:rsidR="00392C5A" w:rsidRDefault="00392C5A" w:rsidP="00392C5A">
      <w:pPr>
        <w:contextualSpacing/>
        <w:jc w:val="both"/>
        <w:rPr>
          <w:rFonts w:ascii="FrankRuehl" w:hAnsi="FrankRuehl" w:cs="FrankRuehl"/>
          <w:sz w:val="26"/>
          <w:szCs w:val="26"/>
          <w:rtl/>
        </w:rPr>
      </w:pPr>
      <w:proofErr w:type="spellStart"/>
      <w:r>
        <w:rPr>
          <w:rFonts w:ascii="FrankRuehl" w:hAnsi="FrankRuehl" w:cs="FrankRuehl"/>
          <w:sz w:val="26"/>
          <w:szCs w:val="26"/>
          <w:rtl/>
        </w:rPr>
        <w:t>פרויקטי</w:t>
      </w:r>
      <w:proofErr w:type="spellEnd"/>
      <w:r>
        <w:rPr>
          <w:rFonts w:ascii="FrankRuehl" w:hAnsi="FrankRuehl" w:cs="FrankRuehl"/>
          <w:sz w:val="26"/>
          <w:szCs w:val="26"/>
          <w:rtl/>
        </w:rPr>
        <w:t xml:space="preserve"> פיתוח מסוג זה הם ארוכי טווח ובמקרים בהם קצב הביצוע שלהם נמוך מהמתוכנן, נוצר עודף המועבר לשנת הכספים העוקבת.</w:t>
      </w:r>
    </w:p>
    <w:p w14:paraId="104D2F6A" w14:textId="77777777" w:rsidR="00392C5A" w:rsidRDefault="00392C5A" w:rsidP="00392C5A">
      <w:pPr>
        <w:ind w:left="360" w:hanging="360"/>
        <w:contextualSpacing/>
        <w:jc w:val="both"/>
        <w:rPr>
          <w:rFonts w:ascii="FrankRuehl" w:hAnsi="FrankRuehl" w:cs="FrankRuehl"/>
          <w:b/>
          <w:bCs/>
          <w:sz w:val="26"/>
          <w:szCs w:val="26"/>
          <w:rtl/>
        </w:rPr>
      </w:pPr>
    </w:p>
    <w:p w14:paraId="7C20AC80" w14:textId="77777777" w:rsidR="00392C5A" w:rsidRDefault="00392C5A" w:rsidP="00392C5A">
      <w:pPr>
        <w:ind w:left="360" w:hanging="360"/>
        <w:contextualSpacing/>
        <w:jc w:val="both"/>
        <w:rPr>
          <w:rFonts w:ascii="FrankRuehl" w:hAnsi="FrankRuehl" w:cs="FrankRuehl"/>
          <w:b/>
          <w:bCs/>
          <w:sz w:val="26"/>
          <w:szCs w:val="26"/>
          <w:rtl/>
        </w:rPr>
      </w:pPr>
      <w:r>
        <w:rPr>
          <w:rFonts w:ascii="FrankRuehl" w:hAnsi="FrankRuehl" w:cs="FrankRuehl"/>
          <w:b/>
          <w:bCs/>
          <w:sz w:val="26"/>
          <w:szCs w:val="26"/>
          <w:rtl/>
        </w:rPr>
        <w:t>תכנית 046401 הרשות לפיתוח חברתי כלכלי של החברה החרדית – 1,002 אלפי ש"ח</w:t>
      </w:r>
    </w:p>
    <w:p w14:paraId="0C86B725" w14:textId="77777777" w:rsidR="00392C5A" w:rsidRDefault="00392C5A" w:rsidP="00392C5A">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כוללת את התקציב המיועד לפעילות הרשות בהתאם ליעדיה אשר נקבעו בהחלטת הממשלה</w:t>
      </w:r>
      <w:r>
        <w:rPr>
          <w:rFonts w:ascii="FrankRuehl" w:hAnsi="FrankRuehl"/>
          <w:szCs w:val="26"/>
          <w:rtl/>
        </w:rPr>
        <w:t xml:space="preserve"> </w:t>
      </w:r>
      <w:r>
        <w:rPr>
          <w:rFonts w:ascii="FrankRuehl" w:hAnsi="FrankRuehl" w:cs="FrankRuehl"/>
          <w:sz w:val="26"/>
          <w:szCs w:val="26"/>
          <w:rtl/>
        </w:rPr>
        <w:t>מס' 182 מיום 5 ביולי  2020.</w:t>
      </w:r>
    </w:p>
    <w:p w14:paraId="272CB7AC"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798F01EB" w14:textId="77777777" w:rsidR="00392C5A" w:rsidRDefault="00392C5A" w:rsidP="00392C5A">
      <w:pPr>
        <w:contextualSpacing/>
        <w:jc w:val="both"/>
        <w:rPr>
          <w:rFonts w:ascii="FrankRuehl" w:hAnsi="FrankRuehl" w:cs="FrankRuehl"/>
          <w:b/>
          <w:bCs/>
          <w:sz w:val="26"/>
          <w:szCs w:val="26"/>
          <w:rtl/>
        </w:rPr>
      </w:pPr>
      <w:r>
        <w:rPr>
          <w:rFonts w:ascii="FrankRuehl" w:hAnsi="FrankRuehl" w:cs="FrankRuehl"/>
          <w:sz w:val="26"/>
          <w:szCs w:val="26"/>
          <w:rtl/>
        </w:rPr>
        <w:t xml:space="preserve">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נוצרו מהתקשרויות חוצות שנה ובמקרים בהם התשלום מתבצע בשנה העוקבת</w:t>
      </w:r>
      <w:r>
        <w:rPr>
          <w:rFonts w:ascii="FrankRuehl" w:hAnsi="FrankRuehl" w:cs="FrankRuehl"/>
          <w:b/>
          <w:bCs/>
          <w:sz w:val="26"/>
          <w:szCs w:val="26"/>
          <w:rtl/>
        </w:rPr>
        <w:t>.</w:t>
      </w:r>
    </w:p>
    <w:p w14:paraId="7E499CAA" w14:textId="77777777" w:rsidR="00392C5A" w:rsidRDefault="00392C5A" w:rsidP="00392C5A">
      <w:pPr>
        <w:contextualSpacing/>
        <w:jc w:val="both"/>
        <w:rPr>
          <w:rFonts w:ascii="FrankRuehl" w:hAnsi="FrankRuehl" w:cs="FrankRuehl"/>
          <w:b/>
          <w:bCs/>
          <w:sz w:val="26"/>
          <w:szCs w:val="26"/>
          <w:rtl/>
        </w:rPr>
      </w:pPr>
    </w:p>
    <w:p w14:paraId="516C7D5F" w14:textId="77777777" w:rsidR="0051496B" w:rsidRPr="000A3FA0" w:rsidRDefault="0051496B" w:rsidP="00392C5A">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4A1273BD" w14:textId="77777777" w:rsidR="0051496B" w:rsidRPr="000A3FA0" w:rsidRDefault="0051496B" w:rsidP="00A6761F">
      <w:pPr>
        <w:jc w:val="both"/>
        <w:rPr>
          <w:rFonts w:cs="FrankRuehl"/>
          <w:sz w:val="26"/>
          <w:szCs w:val="26"/>
          <w:rtl/>
        </w:rPr>
      </w:pPr>
    </w:p>
    <w:p w14:paraId="40EEE56A" w14:textId="77777777" w:rsidR="0051496B" w:rsidRPr="000A3FA0" w:rsidRDefault="0051496B" w:rsidP="00A6761F">
      <w:pPr>
        <w:jc w:val="both"/>
        <w:rPr>
          <w:rFonts w:cs="FrankRuehl"/>
          <w:sz w:val="26"/>
          <w:szCs w:val="26"/>
          <w:rtl/>
        </w:rPr>
      </w:pPr>
    </w:p>
    <w:p w14:paraId="27E3DF7D"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C0178ED" w14:textId="77777777" w:rsidR="0051496B" w:rsidRDefault="0051496B">
      <w:pPr>
        <w:tabs>
          <w:tab w:val="center" w:pos="6867"/>
        </w:tabs>
        <w:rPr>
          <w:rFonts w:cs="FrankRuehl"/>
          <w:sz w:val="26"/>
          <w:szCs w:val="26"/>
          <w:rtl/>
        </w:rPr>
      </w:pPr>
    </w:p>
    <w:p w14:paraId="0F8916FC"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194370D4" w14:textId="77777777" w:rsidR="0051496B" w:rsidRPr="000A3FA0" w:rsidRDefault="0051496B">
      <w:pPr>
        <w:tabs>
          <w:tab w:val="center" w:pos="6867"/>
        </w:tabs>
        <w:rPr>
          <w:rFonts w:cs="FrankRuehl"/>
          <w:sz w:val="26"/>
          <w:szCs w:val="26"/>
          <w:rtl/>
        </w:rPr>
      </w:pPr>
    </w:p>
    <w:p w14:paraId="4B4C4018"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4743B2B5"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0B2BA95E" w14:textId="77777777" w:rsidR="0051496B" w:rsidRPr="000A3FA0" w:rsidRDefault="0051496B">
      <w:pPr>
        <w:rPr>
          <w:rFonts w:cs="FrankRuehl"/>
          <w:sz w:val="26"/>
          <w:szCs w:val="26"/>
          <w:rtl/>
        </w:rPr>
      </w:pPr>
    </w:p>
    <w:p w14:paraId="250D25EF" w14:textId="77777777" w:rsidR="0051496B" w:rsidRPr="000A3FA0" w:rsidRDefault="0051496B">
      <w:pPr>
        <w:rPr>
          <w:rFonts w:cs="FrankRuehl"/>
          <w:sz w:val="26"/>
          <w:szCs w:val="26"/>
          <w:rtl/>
        </w:rPr>
      </w:pPr>
      <w:r w:rsidRPr="000A3FA0">
        <w:rPr>
          <w:rFonts w:cs="FrankRuehl"/>
          <w:sz w:val="26"/>
          <w:szCs w:val="26"/>
          <w:rtl/>
        </w:rPr>
        <w:t>העתק:</w:t>
      </w:r>
    </w:p>
    <w:p w14:paraId="047510CD" w14:textId="77777777" w:rsidR="0051496B" w:rsidRPr="000A3FA0" w:rsidRDefault="0051496B">
      <w:pPr>
        <w:rPr>
          <w:rFonts w:cs="FrankRuehl"/>
          <w:sz w:val="26"/>
          <w:szCs w:val="26"/>
          <w:rtl/>
        </w:rPr>
      </w:pPr>
      <w:r w:rsidRPr="000A3FA0">
        <w:rPr>
          <w:rFonts w:cs="FrankRuehl"/>
          <w:sz w:val="26"/>
          <w:szCs w:val="26"/>
          <w:rtl/>
        </w:rPr>
        <w:t>החשב הכללי</w:t>
      </w:r>
    </w:p>
    <w:p w14:paraId="1A124D2F" w14:textId="77777777" w:rsidR="0051496B" w:rsidRPr="000A3FA0" w:rsidRDefault="0051496B">
      <w:pPr>
        <w:rPr>
          <w:rFonts w:cs="FrankRuehl"/>
          <w:sz w:val="26"/>
          <w:szCs w:val="26"/>
          <w:rtl/>
        </w:rPr>
      </w:pPr>
      <w:r w:rsidRPr="000A3FA0">
        <w:rPr>
          <w:rFonts w:cs="FrankRuehl"/>
          <w:sz w:val="26"/>
          <w:szCs w:val="26"/>
          <w:rtl/>
        </w:rPr>
        <w:t>מבקר המדינה (2)</w:t>
      </w:r>
    </w:p>
    <w:p w14:paraId="5E2DEAFA" w14:textId="77777777" w:rsidR="0063636D" w:rsidRDefault="0063636D">
      <w:pPr>
        <w:rPr>
          <w:rFonts w:cs="FrankRuehl"/>
          <w:sz w:val="26"/>
          <w:szCs w:val="26"/>
          <w:rtl/>
        </w:rPr>
      </w:pPr>
      <w:bookmarkStart w:id="13" w:name="TAKZIV22"/>
      <w:r>
        <w:rPr>
          <w:rFonts w:cs="FrankRuehl"/>
          <w:sz w:val="26"/>
          <w:szCs w:val="26"/>
          <w:rtl/>
        </w:rPr>
        <w:t>חשב נתיב</w:t>
      </w:r>
    </w:p>
    <w:p w14:paraId="634401BE" w14:textId="77777777" w:rsidR="0063636D" w:rsidRDefault="0063636D">
      <w:pPr>
        <w:rPr>
          <w:rFonts w:cs="FrankRuehl"/>
          <w:sz w:val="26"/>
          <w:szCs w:val="26"/>
          <w:rtl/>
        </w:rPr>
      </w:pPr>
      <w:r>
        <w:rPr>
          <w:rFonts w:cs="FrankRuehl"/>
          <w:sz w:val="26"/>
          <w:szCs w:val="26"/>
          <w:rtl/>
        </w:rPr>
        <w:t>חשב זרוע עבודה - משרד הכלכלה</w:t>
      </w:r>
    </w:p>
    <w:p w14:paraId="04CE25CA" w14:textId="77777777" w:rsidR="0063636D" w:rsidRDefault="0063636D">
      <w:pPr>
        <w:rPr>
          <w:rFonts w:cs="FrankRuehl"/>
          <w:sz w:val="26"/>
          <w:szCs w:val="26"/>
          <w:rtl/>
        </w:rPr>
      </w:pPr>
      <w:r>
        <w:rPr>
          <w:rFonts w:cs="FrankRuehl"/>
          <w:sz w:val="26"/>
          <w:szCs w:val="26"/>
          <w:rtl/>
        </w:rPr>
        <w:lastRenderedPageBreak/>
        <w:t xml:space="preserve">חשב משרד </w:t>
      </w:r>
      <w:proofErr w:type="spellStart"/>
      <w:r>
        <w:rPr>
          <w:rFonts w:cs="FrankRuehl"/>
          <w:sz w:val="26"/>
          <w:szCs w:val="26"/>
          <w:rtl/>
        </w:rPr>
        <w:t>ההתישבות</w:t>
      </w:r>
      <w:proofErr w:type="spellEnd"/>
    </w:p>
    <w:p w14:paraId="6DCB82D3" w14:textId="77777777" w:rsidR="0063636D" w:rsidRDefault="0063636D">
      <w:pPr>
        <w:rPr>
          <w:rFonts w:cs="FrankRuehl"/>
          <w:sz w:val="26"/>
          <w:szCs w:val="26"/>
          <w:rtl/>
        </w:rPr>
      </w:pPr>
      <w:r>
        <w:rPr>
          <w:rFonts w:cs="FrankRuehl"/>
          <w:sz w:val="26"/>
          <w:szCs w:val="26"/>
          <w:rtl/>
        </w:rPr>
        <w:t>חשב משרד הבריאות</w:t>
      </w:r>
    </w:p>
    <w:p w14:paraId="07168F4C" w14:textId="77777777" w:rsidR="0063636D" w:rsidRDefault="0063636D">
      <w:pPr>
        <w:rPr>
          <w:rFonts w:cs="FrankRuehl"/>
          <w:sz w:val="26"/>
          <w:szCs w:val="26"/>
          <w:rtl/>
        </w:rPr>
      </w:pPr>
      <w:r>
        <w:rPr>
          <w:rFonts w:cs="FrankRuehl"/>
          <w:sz w:val="26"/>
          <w:szCs w:val="26"/>
          <w:rtl/>
        </w:rPr>
        <w:t>חשב משרד המשפטים</w:t>
      </w:r>
    </w:p>
    <w:p w14:paraId="718C0841" w14:textId="77777777" w:rsidR="0063636D" w:rsidRDefault="0063636D">
      <w:pPr>
        <w:rPr>
          <w:rFonts w:cs="FrankRuehl"/>
          <w:sz w:val="26"/>
          <w:szCs w:val="26"/>
          <w:rtl/>
        </w:rPr>
      </w:pPr>
      <w:r>
        <w:rPr>
          <w:rFonts w:cs="FrankRuehl"/>
          <w:sz w:val="26"/>
          <w:szCs w:val="26"/>
          <w:rtl/>
        </w:rPr>
        <w:t xml:space="preserve">חשב משרד </w:t>
      </w:r>
      <w:proofErr w:type="spellStart"/>
      <w:r>
        <w:rPr>
          <w:rFonts w:cs="FrankRuehl"/>
          <w:sz w:val="26"/>
          <w:szCs w:val="26"/>
          <w:rtl/>
        </w:rPr>
        <w:t>הדיגיטל</w:t>
      </w:r>
      <w:proofErr w:type="spellEnd"/>
      <w:r>
        <w:rPr>
          <w:rFonts w:cs="FrankRuehl"/>
          <w:sz w:val="26"/>
          <w:szCs w:val="26"/>
          <w:rtl/>
        </w:rPr>
        <w:t xml:space="preserve"> הלאומי</w:t>
      </w:r>
    </w:p>
    <w:p w14:paraId="50B952E1" w14:textId="77777777" w:rsidR="0063636D" w:rsidRDefault="0063636D">
      <w:pPr>
        <w:rPr>
          <w:rFonts w:cs="FrankRuehl"/>
          <w:sz w:val="26"/>
          <w:szCs w:val="26"/>
          <w:rtl/>
        </w:rPr>
      </w:pPr>
      <w:r>
        <w:rPr>
          <w:rFonts w:cs="FrankRuehl"/>
          <w:sz w:val="26"/>
          <w:szCs w:val="26"/>
          <w:rtl/>
        </w:rPr>
        <w:t>חשב הלשכה המרכזית לסטטיסטיקה</w:t>
      </w:r>
    </w:p>
    <w:p w14:paraId="47CF9538" w14:textId="77777777" w:rsidR="0063636D" w:rsidRDefault="0063636D">
      <w:pPr>
        <w:rPr>
          <w:rFonts w:cs="FrankRuehl"/>
          <w:sz w:val="26"/>
          <w:szCs w:val="26"/>
          <w:rtl/>
        </w:rPr>
      </w:pPr>
      <w:r>
        <w:rPr>
          <w:rFonts w:cs="FrankRuehl"/>
          <w:sz w:val="26"/>
          <w:szCs w:val="26"/>
          <w:rtl/>
        </w:rPr>
        <w:t>חשב משרד הפנים</w:t>
      </w:r>
    </w:p>
    <w:p w14:paraId="673B9CE6" w14:textId="77777777" w:rsidR="0063636D" w:rsidRDefault="0063636D">
      <w:pPr>
        <w:rPr>
          <w:rFonts w:cs="FrankRuehl"/>
          <w:sz w:val="26"/>
          <w:szCs w:val="26"/>
          <w:rtl/>
        </w:rPr>
      </w:pPr>
      <w:r>
        <w:rPr>
          <w:rFonts w:cs="FrankRuehl"/>
          <w:sz w:val="26"/>
          <w:szCs w:val="26"/>
          <w:rtl/>
        </w:rPr>
        <w:t>חשב המרכז למיפוי ישראל</w:t>
      </w:r>
    </w:p>
    <w:p w14:paraId="78E3BF71" w14:textId="77777777" w:rsidR="0063636D" w:rsidRDefault="0063636D">
      <w:pPr>
        <w:rPr>
          <w:rFonts w:cs="FrankRuehl"/>
          <w:sz w:val="26"/>
          <w:szCs w:val="26"/>
          <w:rtl/>
        </w:rPr>
      </w:pPr>
      <w:r>
        <w:rPr>
          <w:rFonts w:cs="FrankRuehl"/>
          <w:sz w:val="26"/>
          <w:szCs w:val="26"/>
          <w:rtl/>
        </w:rPr>
        <w:t>חשב נגב גליל ושת"פ אזורי</w:t>
      </w:r>
    </w:p>
    <w:p w14:paraId="4B27CD34" w14:textId="37CAE69D" w:rsidR="0051496B" w:rsidRPr="000A3FA0" w:rsidRDefault="0063636D">
      <w:pPr>
        <w:rPr>
          <w:rFonts w:cs="FrankRuehl"/>
          <w:sz w:val="26"/>
          <w:szCs w:val="26"/>
          <w:rtl/>
        </w:rPr>
      </w:pPr>
      <w:r>
        <w:rPr>
          <w:rFonts w:cs="FrankRuehl"/>
          <w:sz w:val="26"/>
          <w:szCs w:val="26"/>
          <w:rtl/>
        </w:rPr>
        <w:t>חשב משרד ראש הממשלה ירושלים</w:t>
      </w:r>
      <w:bookmarkEnd w:id="13"/>
      <w:r w:rsidR="0051496B" w:rsidRPr="000A3FA0">
        <w:rPr>
          <w:rFonts w:cs="FrankRuehl"/>
          <w:sz w:val="26"/>
          <w:szCs w:val="26"/>
          <w:rtl/>
        </w:rPr>
        <w:t xml:space="preserve"> </w:t>
      </w:r>
    </w:p>
    <w:p w14:paraId="50F82885" w14:textId="00E9BA8B"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63636D">
        <w:rPr>
          <w:rFonts w:cs="FrankRuehl"/>
          <w:sz w:val="26"/>
          <w:szCs w:val="26"/>
          <w:rtl/>
        </w:rPr>
        <w:t>משרד ראש הממשלה</w:t>
      </w:r>
      <w:bookmarkEnd w:id="14"/>
    </w:p>
    <w:p w14:paraId="5B374DFB" w14:textId="21A605BE"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63636D">
        <w:rPr>
          <w:rFonts w:cs="FrankRuehl"/>
          <w:sz w:val="26"/>
          <w:szCs w:val="26"/>
          <w:rtl/>
        </w:rPr>
        <w:t>משרד ראש הממשלה</w:t>
      </w:r>
      <w:bookmarkEnd w:id="15"/>
    </w:p>
    <w:p w14:paraId="73B783F3" w14:textId="77777777" w:rsidR="0051496B" w:rsidRPr="000A3FA0" w:rsidRDefault="0051496B">
      <w:pPr>
        <w:rPr>
          <w:rFonts w:cs="FrankRuehl"/>
          <w:sz w:val="26"/>
          <w:szCs w:val="26"/>
          <w:rtl/>
        </w:rPr>
      </w:pPr>
      <w:bookmarkStart w:id="16" w:name="TAKZIV23"/>
      <w:bookmarkEnd w:id="16"/>
    </w:p>
    <w:p w14:paraId="624E0573" w14:textId="77777777" w:rsidR="0051496B" w:rsidRPr="000A3FA0" w:rsidRDefault="0051496B">
      <w:pPr>
        <w:rPr>
          <w:rFonts w:cs="FrankRuehl"/>
          <w:sz w:val="26"/>
          <w:szCs w:val="26"/>
          <w:rtl/>
        </w:rPr>
      </w:pPr>
    </w:p>
    <w:p w14:paraId="6633F680" w14:textId="3EDF1480" w:rsidR="0051496B" w:rsidRDefault="0051496B">
      <w:pPr>
        <w:rPr>
          <w:rFonts w:cs="FrankRuehl"/>
          <w:sz w:val="26"/>
          <w:szCs w:val="26"/>
          <w:rtl/>
        </w:rPr>
      </w:pPr>
      <w:bookmarkStart w:id="17" w:name="TAKZIV25"/>
      <w:bookmarkEnd w:id="17"/>
    </w:p>
    <w:p w14:paraId="0F224393" w14:textId="30872669" w:rsidR="00E7433E" w:rsidRDefault="00E7433E">
      <w:pPr>
        <w:rPr>
          <w:rFonts w:cs="FrankRuehl"/>
          <w:sz w:val="26"/>
          <w:szCs w:val="26"/>
          <w:rtl/>
        </w:rPr>
      </w:pPr>
    </w:p>
    <w:p w14:paraId="4BD952F9" w14:textId="6B510993" w:rsidR="00E7433E" w:rsidRDefault="00E7433E">
      <w:pPr>
        <w:rPr>
          <w:rFonts w:cs="FrankRuehl"/>
          <w:sz w:val="26"/>
          <w:szCs w:val="26"/>
          <w:rtl/>
        </w:rPr>
      </w:pPr>
    </w:p>
    <w:p w14:paraId="1EE9348E" w14:textId="7391F1A4" w:rsidR="00E7433E" w:rsidRDefault="00E7433E">
      <w:pPr>
        <w:rPr>
          <w:rFonts w:cs="FrankRuehl"/>
          <w:sz w:val="26"/>
          <w:szCs w:val="26"/>
          <w:rtl/>
        </w:rPr>
      </w:pPr>
    </w:p>
    <w:p w14:paraId="40F01A69" w14:textId="56321578" w:rsidR="00E7433E" w:rsidRDefault="00E7433E">
      <w:pPr>
        <w:rPr>
          <w:rFonts w:cs="FrankRuehl"/>
          <w:sz w:val="26"/>
          <w:szCs w:val="26"/>
          <w:rtl/>
        </w:rPr>
      </w:pPr>
    </w:p>
    <w:p w14:paraId="5A6E88F0" w14:textId="5D88520D" w:rsidR="00E7433E" w:rsidRDefault="00E7433E">
      <w:pPr>
        <w:rPr>
          <w:rFonts w:cs="FrankRuehl"/>
          <w:sz w:val="26"/>
          <w:szCs w:val="26"/>
          <w:rtl/>
        </w:rPr>
      </w:pPr>
    </w:p>
    <w:p w14:paraId="51C0A805" w14:textId="66FAA5D9" w:rsidR="00E7433E" w:rsidRDefault="00E7433E">
      <w:pPr>
        <w:rPr>
          <w:rFonts w:cs="FrankRuehl"/>
          <w:sz w:val="26"/>
          <w:szCs w:val="26"/>
          <w:rtl/>
        </w:rPr>
      </w:pPr>
    </w:p>
    <w:p w14:paraId="38B97476" w14:textId="3DB5ABA8" w:rsidR="00E7433E" w:rsidRDefault="00E7433E">
      <w:pPr>
        <w:rPr>
          <w:rFonts w:cs="FrankRuehl"/>
          <w:sz w:val="26"/>
          <w:szCs w:val="26"/>
          <w:rtl/>
        </w:rPr>
      </w:pPr>
    </w:p>
    <w:p w14:paraId="7D872F3C" w14:textId="462BFD85" w:rsidR="00E7433E" w:rsidRDefault="00E7433E">
      <w:pPr>
        <w:rPr>
          <w:rFonts w:cs="FrankRuehl"/>
          <w:sz w:val="26"/>
          <w:szCs w:val="26"/>
          <w:rtl/>
        </w:rPr>
      </w:pPr>
    </w:p>
    <w:p w14:paraId="20A9A060" w14:textId="267A3A2D" w:rsidR="00E7433E" w:rsidRDefault="00E7433E">
      <w:pPr>
        <w:rPr>
          <w:rFonts w:cs="FrankRuehl"/>
          <w:sz w:val="26"/>
          <w:szCs w:val="26"/>
          <w:rtl/>
        </w:rPr>
      </w:pPr>
    </w:p>
    <w:p w14:paraId="3A1685C6" w14:textId="0D16C3F7" w:rsidR="00E7433E" w:rsidRDefault="00E7433E">
      <w:pPr>
        <w:rPr>
          <w:rFonts w:cs="FrankRuehl"/>
          <w:sz w:val="26"/>
          <w:szCs w:val="26"/>
          <w:rtl/>
        </w:rPr>
      </w:pPr>
    </w:p>
    <w:p w14:paraId="3D6895B3" w14:textId="7043CBFE" w:rsidR="00E7433E" w:rsidRDefault="00E7433E">
      <w:pPr>
        <w:rPr>
          <w:rFonts w:cs="FrankRuehl"/>
          <w:sz w:val="26"/>
          <w:szCs w:val="26"/>
          <w:rtl/>
        </w:rPr>
      </w:pPr>
    </w:p>
    <w:p w14:paraId="73F5B28D" w14:textId="33CFBEFD" w:rsidR="00E7433E" w:rsidRDefault="00E7433E">
      <w:pPr>
        <w:rPr>
          <w:rFonts w:cs="FrankRuehl"/>
          <w:sz w:val="26"/>
          <w:szCs w:val="26"/>
          <w:rtl/>
        </w:rPr>
      </w:pPr>
    </w:p>
    <w:p w14:paraId="43DEBBD0" w14:textId="52D7F47A" w:rsidR="00E7433E" w:rsidRDefault="00E7433E">
      <w:pPr>
        <w:rPr>
          <w:rFonts w:cs="FrankRuehl"/>
          <w:sz w:val="26"/>
          <w:szCs w:val="26"/>
          <w:rtl/>
        </w:rPr>
      </w:pPr>
    </w:p>
    <w:p w14:paraId="41CAC4F6" w14:textId="1AF2E6A3" w:rsidR="00E7433E" w:rsidRDefault="00E7433E">
      <w:pPr>
        <w:rPr>
          <w:rFonts w:cs="FrankRuehl"/>
          <w:sz w:val="26"/>
          <w:szCs w:val="26"/>
          <w:rtl/>
        </w:rPr>
      </w:pPr>
    </w:p>
    <w:p w14:paraId="7386C9D0" w14:textId="14F91F29" w:rsidR="00E7433E" w:rsidRDefault="00E7433E">
      <w:pPr>
        <w:rPr>
          <w:rFonts w:cs="FrankRuehl"/>
          <w:sz w:val="26"/>
          <w:szCs w:val="26"/>
          <w:rtl/>
        </w:rPr>
      </w:pPr>
    </w:p>
    <w:p w14:paraId="342D1F45" w14:textId="42155675" w:rsidR="00E7433E" w:rsidRDefault="00E7433E">
      <w:pPr>
        <w:rPr>
          <w:rFonts w:cs="FrankRuehl"/>
          <w:sz w:val="26"/>
          <w:szCs w:val="26"/>
          <w:rtl/>
        </w:rPr>
      </w:pPr>
    </w:p>
    <w:p w14:paraId="47A2AFC7" w14:textId="473E4700" w:rsidR="00E7433E" w:rsidRDefault="00E7433E">
      <w:pPr>
        <w:rPr>
          <w:rFonts w:cs="FrankRuehl"/>
          <w:sz w:val="26"/>
          <w:szCs w:val="26"/>
          <w:rtl/>
        </w:rPr>
      </w:pPr>
    </w:p>
    <w:p w14:paraId="3B369F72" w14:textId="398FA717" w:rsidR="00E7433E" w:rsidRDefault="00E7433E">
      <w:pPr>
        <w:rPr>
          <w:rFonts w:cs="FrankRuehl"/>
          <w:sz w:val="26"/>
          <w:szCs w:val="26"/>
          <w:rtl/>
        </w:rPr>
      </w:pPr>
    </w:p>
    <w:p w14:paraId="5709EC8E" w14:textId="32C4DD34" w:rsidR="00E7433E" w:rsidRDefault="00E7433E">
      <w:pPr>
        <w:rPr>
          <w:rFonts w:cs="FrankRuehl"/>
          <w:sz w:val="26"/>
          <w:szCs w:val="26"/>
          <w:rtl/>
        </w:rPr>
      </w:pPr>
    </w:p>
    <w:p w14:paraId="4566D0A8" w14:textId="145FA2C9" w:rsidR="00E7433E" w:rsidRDefault="00E7433E">
      <w:pPr>
        <w:rPr>
          <w:rFonts w:cs="FrankRuehl"/>
          <w:sz w:val="26"/>
          <w:szCs w:val="26"/>
          <w:rtl/>
        </w:rPr>
      </w:pPr>
    </w:p>
    <w:p w14:paraId="33F4C61F" w14:textId="50616994" w:rsidR="00E7433E" w:rsidRDefault="00E7433E">
      <w:pPr>
        <w:rPr>
          <w:rFonts w:cs="FrankRuehl"/>
          <w:sz w:val="26"/>
          <w:szCs w:val="26"/>
          <w:rtl/>
        </w:rPr>
      </w:pPr>
    </w:p>
    <w:p w14:paraId="441C3632" w14:textId="0957F76E" w:rsidR="00E7433E" w:rsidRDefault="00E7433E">
      <w:pPr>
        <w:rPr>
          <w:rFonts w:cs="FrankRuehl"/>
          <w:sz w:val="26"/>
          <w:szCs w:val="26"/>
          <w:rtl/>
        </w:rPr>
      </w:pPr>
    </w:p>
    <w:p w14:paraId="0EBBF395" w14:textId="5B7C4C95" w:rsidR="00E7433E" w:rsidRDefault="00E7433E">
      <w:pPr>
        <w:rPr>
          <w:rFonts w:cs="FrankRuehl"/>
          <w:sz w:val="26"/>
          <w:szCs w:val="26"/>
          <w:rtl/>
        </w:rPr>
      </w:pPr>
    </w:p>
    <w:p w14:paraId="4A92C579" w14:textId="7BAE8886" w:rsidR="00E7433E" w:rsidRDefault="00E7433E">
      <w:pPr>
        <w:rPr>
          <w:rFonts w:cs="FrankRuehl"/>
          <w:sz w:val="26"/>
          <w:szCs w:val="26"/>
          <w:rtl/>
        </w:rPr>
      </w:pPr>
    </w:p>
    <w:p w14:paraId="71B86726" w14:textId="4A5A215A" w:rsidR="00E7433E" w:rsidRDefault="00E7433E">
      <w:pPr>
        <w:rPr>
          <w:rFonts w:cs="FrankRuehl"/>
          <w:sz w:val="26"/>
          <w:szCs w:val="26"/>
          <w:rtl/>
        </w:rPr>
      </w:pPr>
    </w:p>
    <w:p w14:paraId="7EBE5FF8" w14:textId="6874AAF9" w:rsidR="00E7433E" w:rsidRDefault="00E7433E">
      <w:pPr>
        <w:rPr>
          <w:rFonts w:cs="FrankRuehl"/>
          <w:sz w:val="26"/>
          <w:szCs w:val="26"/>
          <w:rtl/>
        </w:rPr>
      </w:pPr>
    </w:p>
    <w:p w14:paraId="5ECFF24A" w14:textId="6A8EE6EF" w:rsidR="00E7433E" w:rsidRDefault="00E7433E">
      <w:pPr>
        <w:rPr>
          <w:rFonts w:cs="FrankRuehl"/>
          <w:sz w:val="26"/>
          <w:szCs w:val="26"/>
          <w:rtl/>
        </w:rPr>
      </w:pPr>
    </w:p>
    <w:p w14:paraId="073E47CD" w14:textId="7B55494D" w:rsidR="00E7433E" w:rsidRDefault="00E7433E">
      <w:pPr>
        <w:rPr>
          <w:rFonts w:cs="FrankRuehl"/>
          <w:sz w:val="26"/>
          <w:szCs w:val="26"/>
          <w:rtl/>
        </w:rPr>
      </w:pPr>
    </w:p>
    <w:p w14:paraId="11EA1A44" w14:textId="5CFE6FF4" w:rsidR="00E7433E" w:rsidRDefault="00E7433E">
      <w:pPr>
        <w:rPr>
          <w:rFonts w:cs="FrankRuehl"/>
          <w:sz w:val="26"/>
          <w:szCs w:val="26"/>
          <w:rtl/>
        </w:rPr>
      </w:pPr>
    </w:p>
    <w:p w14:paraId="2819C7E5" w14:textId="00167762" w:rsidR="00E7433E" w:rsidRDefault="00E7433E">
      <w:pPr>
        <w:rPr>
          <w:rFonts w:cs="FrankRuehl"/>
          <w:sz w:val="26"/>
          <w:szCs w:val="26"/>
          <w:rtl/>
        </w:rPr>
      </w:pPr>
    </w:p>
    <w:p w14:paraId="78EEA03F" w14:textId="7586932F" w:rsidR="00E7433E" w:rsidRDefault="00E7433E">
      <w:pPr>
        <w:rPr>
          <w:rFonts w:cs="FrankRuehl"/>
          <w:sz w:val="26"/>
          <w:szCs w:val="26"/>
          <w:rtl/>
        </w:rPr>
      </w:pPr>
    </w:p>
    <w:p w14:paraId="46C97B1E" w14:textId="3A851048" w:rsidR="00E7433E" w:rsidRDefault="00E7433E">
      <w:pPr>
        <w:rPr>
          <w:rFonts w:cs="FrankRuehl"/>
          <w:sz w:val="26"/>
          <w:szCs w:val="26"/>
          <w:rtl/>
        </w:rPr>
      </w:pPr>
    </w:p>
    <w:p w14:paraId="1DCE6097" w14:textId="115C50CF" w:rsidR="00E7433E" w:rsidRDefault="00E7433E">
      <w:pPr>
        <w:rPr>
          <w:rFonts w:cs="FrankRuehl"/>
          <w:sz w:val="26"/>
          <w:szCs w:val="26"/>
          <w:rtl/>
        </w:rPr>
      </w:pPr>
    </w:p>
    <w:p w14:paraId="1D94C169" w14:textId="6ECC9310" w:rsidR="00E7433E" w:rsidRDefault="00E7433E">
      <w:pPr>
        <w:rPr>
          <w:rFonts w:cs="FrankRuehl"/>
          <w:sz w:val="26"/>
          <w:szCs w:val="26"/>
          <w:rtl/>
        </w:rPr>
      </w:pPr>
    </w:p>
    <w:p w14:paraId="3932B650" w14:textId="6988EB4F" w:rsidR="00E7433E" w:rsidRDefault="00E7433E">
      <w:pPr>
        <w:rPr>
          <w:rFonts w:cs="FrankRuehl"/>
          <w:sz w:val="26"/>
          <w:szCs w:val="26"/>
          <w:rtl/>
        </w:rPr>
      </w:pPr>
    </w:p>
    <w:p w14:paraId="44B82425" w14:textId="674F6F3D" w:rsidR="00E7433E" w:rsidRDefault="00E7433E">
      <w:pPr>
        <w:rPr>
          <w:rFonts w:cs="FrankRuehl"/>
          <w:sz w:val="26"/>
          <w:szCs w:val="26"/>
          <w:rtl/>
        </w:rPr>
      </w:pPr>
    </w:p>
    <w:p w14:paraId="6D6B6228" w14:textId="4BA1810E" w:rsidR="00E7433E" w:rsidRDefault="00E7433E">
      <w:pPr>
        <w:rPr>
          <w:rFonts w:cs="FrankRuehl"/>
          <w:sz w:val="26"/>
          <w:szCs w:val="26"/>
          <w:rtl/>
        </w:rPr>
      </w:pPr>
    </w:p>
    <w:p w14:paraId="0DE0DEEA" w14:textId="06D46EE8" w:rsidR="00E7433E" w:rsidRDefault="00E7433E">
      <w:pPr>
        <w:rPr>
          <w:rFonts w:cs="FrankRuehl"/>
          <w:sz w:val="26"/>
          <w:szCs w:val="26"/>
          <w:rtl/>
        </w:rPr>
      </w:pPr>
    </w:p>
    <w:p w14:paraId="424EABFC" w14:textId="6E306542" w:rsidR="00E7433E" w:rsidRPr="00E7433E" w:rsidRDefault="00E7433E" w:rsidP="00E7433E">
      <w:pPr>
        <w:jc w:val="center"/>
        <w:rPr>
          <w:rFonts w:cs="FrankRuehl"/>
          <w:b/>
          <w:bCs/>
          <w:sz w:val="26"/>
          <w:szCs w:val="26"/>
          <w:u w:val="single"/>
          <w:rtl/>
        </w:rPr>
      </w:pPr>
      <w:r w:rsidRPr="00E7433E">
        <w:rPr>
          <w:rFonts w:cs="FrankRuehl" w:hint="cs"/>
          <w:b/>
          <w:bCs/>
          <w:sz w:val="26"/>
          <w:szCs w:val="26"/>
          <w:u w:val="single"/>
          <w:rtl/>
        </w:rPr>
        <w:lastRenderedPageBreak/>
        <w:t>נספח לדברי ההסבר</w:t>
      </w:r>
    </w:p>
    <w:p w14:paraId="51A976E8" w14:textId="6D438BB4" w:rsidR="00E7433E" w:rsidRPr="00E7433E" w:rsidRDefault="00E7433E" w:rsidP="00E7433E">
      <w:pPr>
        <w:jc w:val="center"/>
        <w:rPr>
          <w:rFonts w:cs="FrankRuehl"/>
          <w:b/>
          <w:bCs/>
          <w:sz w:val="26"/>
          <w:szCs w:val="26"/>
          <w:u w:val="single"/>
          <w:rtl/>
        </w:rPr>
      </w:pPr>
    </w:p>
    <w:p w14:paraId="53536808" w14:textId="297CB9A3" w:rsidR="00E7433E" w:rsidRDefault="00E7433E" w:rsidP="00E7433E">
      <w:pPr>
        <w:jc w:val="center"/>
        <w:rPr>
          <w:rFonts w:cs="FrankRuehl"/>
          <w:b/>
          <w:bCs/>
          <w:sz w:val="26"/>
          <w:szCs w:val="26"/>
          <w:rtl/>
        </w:rPr>
      </w:pPr>
      <w:r w:rsidRPr="00E7433E">
        <w:rPr>
          <w:rFonts w:cs="FrankRuehl"/>
          <w:b/>
          <w:bCs/>
          <w:sz w:val="26"/>
          <w:szCs w:val="26"/>
          <w:rtl/>
        </w:rPr>
        <w:t>היסטוריה תקציבית של הפנייה</w:t>
      </w:r>
    </w:p>
    <w:p w14:paraId="30EA6FB1" w14:textId="2CCBAC19" w:rsidR="00E7433E" w:rsidRDefault="00E7433E" w:rsidP="00E7433E">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8B0386" w:rsidRPr="008B0386" w14:paraId="2090DBC3" w14:textId="77777777" w:rsidTr="008B0386">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4D52BB4F" w14:textId="77777777" w:rsidR="008B0386" w:rsidRPr="008B0386" w:rsidRDefault="008B0386" w:rsidP="008B0386">
            <w:pPr>
              <w:overflowPunct/>
              <w:autoSpaceDE/>
              <w:autoSpaceDN/>
              <w:adjustRightInd/>
              <w:jc w:val="center"/>
              <w:textAlignment w:val="auto"/>
              <w:rPr>
                <w:rFonts w:ascii="Calibri" w:hAnsi="Calibri" w:cs="Calibri"/>
                <w:b/>
                <w:bCs/>
                <w:color w:val="000000"/>
                <w:sz w:val="16"/>
                <w:szCs w:val="16"/>
                <w:lang w:eastAsia="en-US"/>
              </w:rPr>
            </w:pPr>
            <w:r w:rsidRPr="008B0386">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79E8992B" w14:textId="77777777" w:rsidR="008B0386" w:rsidRPr="008B0386" w:rsidRDefault="008B0386" w:rsidP="008B0386">
            <w:pPr>
              <w:overflowPunct/>
              <w:autoSpaceDE/>
              <w:autoSpaceDN/>
              <w:adjustRightInd/>
              <w:jc w:val="center"/>
              <w:textAlignment w:val="auto"/>
              <w:rPr>
                <w:rFonts w:ascii="Calibri" w:hAnsi="Calibri" w:cs="Calibri"/>
                <w:b/>
                <w:bCs/>
                <w:color w:val="000000"/>
                <w:sz w:val="16"/>
                <w:szCs w:val="16"/>
                <w:rtl/>
                <w:lang w:eastAsia="en-US"/>
              </w:rPr>
            </w:pPr>
            <w:r w:rsidRPr="008B0386">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B48EDCC" w14:textId="77777777" w:rsidR="008B0386" w:rsidRPr="008B0386" w:rsidRDefault="008B0386" w:rsidP="008B0386">
            <w:pPr>
              <w:overflowPunct/>
              <w:autoSpaceDE/>
              <w:autoSpaceDN/>
              <w:adjustRightInd/>
              <w:jc w:val="center"/>
              <w:textAlignment w:val="auto"/>
              <w:rPr>
                <w:rFonts w:ascii="Calibri" w:hAnsi="Calibri" w:cs="Calibri"/>
                <w:b/>
                <w:bCs/>
                <w:color w:val="000000"/>
                <w:sz w:val="16"/>
                <w:szCs w:val="16"/>
                <w:rtl/>
                <w:lang w:eastAsia="en-US"/>
              </w:rPr>
            </w:pPr>
            <w:r w:rsidRPr="008B0386">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7D78998" w14:textId="77777777" w:rsidR="008B0386" w:rsidRPr="008B0386" w:rsidRDefault="008B0386" w:rsidP="008B0386">
            <w:pPr>
              <w:overflowPunct/>
              <w:autoSpaceDE/>
              <w:autoSpaceDN/>
              <w:adjustRightInd/>
              <w:jc w:val="center"/>
              <w:textAlignment w:val="auto"/>
              <w:rPr>
                <w:rFonts w:ascii="Calibri" w:hAnsi="Calibri" w:cs="Calibri"/>
                <w:b/>
                <w:bCs/>
                <w:color w:val="000000"/>
                <w:sz w:val="16"/>
                <w:szCs w:val="16"/>
                <w:rtl/>
                <w:lang w:eastAsia="en-US"/>
              </w:rPr>
            </w:pPr>
            <w:r w:rsidRPr="008B0386">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52C66801" w14:textId="77777777" w:rsidR="008B0386" w:rsidRPr="008B0386" w:rsidRDefault="008B0386" w:rsidP="008B0386">
            <w:pPr>
              <w:overflowPunct/>
              <w:autoSpaceDE/>
              <w:autoSpaceDN/>
              <w:adjustRightInd/>
              <w:jc w:val="center"/>
              <w:textAlignment w:val="auto"/>
              <w:rPr>
                <w:rFonts w:ascii="Calibri" w:hAnsi="Calibri" w:cs="Calibri"/>
                <w:b/>
                <w:bCs/>
                <w:color w:val="000000"/>
                <w:sz w:val="16"/>
                <w:szCs w:val="16"/>
                <w:rtl/>
                <w:lang w:eastAsia="en-US"/>
              </w:rPr>
            </w:pPr>
            <w:r w:rsidRPr="008B0386">
              <w:rPr>
                <w:rFonts w:ascii="Calibri" w:hAnsi="Calibri" w:cs="Calibri"/>
                <w:b/>
                <w:bCs/>
                <w:color w:val="000000"/>
                <w:sz w:val="16"/>
                <w:szCs w:val="16"/>
                <w:rtl/>
                <w:lang w:eastAsia="en-US"/>
              </w:rPr>
              <w:t>סך עודף שהועבר ב-2023</w:t>
            </w:r>
          </w:p>
        </w:tc>
      </w:tr>
      <w:tr w:rsidR="008B0386" w:rsidRPr="008B0386" w14:paraId="72655E0A" w14:textId="77777777" w:rsidTr="008B0386">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04B82C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rtl/>
                <w:lang w:eastAsia="en-US"/>
              </w:rPr>
            </w:pPr>
            <w:r w:rsidRPr="008B0386">
              <w:rPr>
                <w:rFonts w:ascii="Calibri" w:hAnsi="Calibri" w:cs="Calibri"/>
                <w:color w:val="000000"/>
                <w:sz w:val="16"/>
                <w:szCs w:val="16"/>
                <w:lang w:eastAsia="en-US"/>
              </w:rPr>
              <w:t>045101</w:t>
            </w:r>
          </w:p>
        </w:tc>
        <w:tc>
          <w:tcPr>
            <w:tcW w:w="1111" w:type="pct"/>
            <w:tcBorders>
              <w:top w:val="nil"/>
              <w:left w:val="single" w:sz="4" w:space="0" w:color="979991"/>
              <w:bottom w:val="single" w:sz="4" w:space="0" w:color="979991"/>
              <w:right w:val="nil"/>
            </w:tcBorders>
            <w:shd w:val="clear" w:color="000000" w:fill="FFFFFF"/>
            <w:vAlign w:val="center"/>
            <w:hideMark/>
          </w:tcPr>
          <w:p w14:paraId="1BE6172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310,880</w:t>
            </w:r>
          </w:p>
        </w:tc>
        <w:tc>
          <w:tcPr>
            <w:tcW w:w="968" w:type="pct"/>
            <w:tcBorders>
              <w:top w:val="nil"/>
              <w:left w:val="single" w:sz="4" w:space="0" w:color="979991"/>
              <w:bottom w:val="single" w:sz="4" w:space="0" w:color="979991"/>
              <w:right w:val="nil"/>
            </w:tcBorders>
            <w:shd w:val="clear" w:color="000000" w:fill="FFFFFF"/>
            <w:vAlign w:val="center"/>
            <w:hideMark/>
          </w:tcPr>
          <w:p w14:paraId="651389B0"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274,187</w:t>
            </w:r>
          </w:p>
        </w:tc>
        <w:tc>
          <w:tcPr>
            <w:tcW w:w="968" w:type="pct"/>
            <w:tcBorders>
              <w:top w:val="nil"/>
              <w:left w:val="single" w:sz="4" w:space="0" w:color="979991"/>
              <w:bottom w:val="single" w:sz="4" w:space="0" w:color="979991"/>
              <w:right w:val="nil"/>
            </w:tcBorders>
            <w:shd w:val="clear" w:color="000000" w:fill="FFFFFF"/>
            <w:vAlign w:val="center"/>
            <w:hideMark/>
          </w:tcPr>
          <w:p w14:paraId="3996003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331,939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A92878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373,356</w:t>
            </w:r>
          </w:p>
        </w:tc>
      </w:tr>
      <w:tr w:rsidR="008B0386" w:rsidRPr="008B0386" w14:paraId="360CCD1B"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5D5A15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045103</w:t>
            </w:r>
          </w:p>
        </w:tc>
        <w:tc>
          <w:tcPr>
            <w:tcW w:w="1111" w:type="pct"/>
            <w:tcBorders>
              <w:top w:val="nil"/>
              <w:left w:val="single" w:sz="4" w:space="0" w:color="979991"/>
              <w:bottom w:val="single" w:sz="4" w:space="0" w:color="979991"/>
              <w:right w:val="nil"/>
            </w:tcBorders>
            <w:shd w:val="clear" w:color="000000" w:fill="FFFFFF"/>
            <w:vAlign w:val="center"/>
            <w:hideMark/>
          </w:tcPr>
          <w:p w14:paraId="5F9B5C3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26,821</w:t>
            </w:r>
          </w:p>
        </w:tc>
        <w:tc>
          <w:tcPr>
            <w:tcW w:w="968" w:type="pct"/>
            <w:tcBorders>
              <w:top w:val="nil"/>
              <w:left w:val="single" w:sz="4" w:space="0" w:color="979991"/>
              <w:bottom w:val="single" w:sz="4" w:space="0" w:color="979991"/>
              <w:right w:val="nil"/>
            </w:tcBorders>
            <w:shd w:val="clear" w:color="000000" w:fill="FFFFFF"/>
            <w:vAlign w:val="center"/>
            <w:hideMark/>
          </w:tcPr>
          <w:p w14:paraId="662ECE5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20,920</w:t>
            </w:r>
          </w:p>
        </w:tc>
        <w:tc>
          <w:tcPr>
            <w:tcW w:w="968" w:type="pct"/>
            <w:tcBorders>
              <w:top w:val="nil"/>
              <w:left w:val="single" w:sz="4" w:space="0" w:color="979991"/>
              <w:bottom w:val="single" w:sz="4" w:space="0" w:color="979991"/>
              <w:right w:val="nil"/>
            </w:tcBorders>
            <w:shd w:val="clear" w:color="000000" w:fill="FFFFFF"/>
            <w:vAlign w:val="center"/>
            <w:hideMark/>
          </w:tcPr>
          <w:p w14:paraId="2CAE468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35,932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4D3A279"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44,723</w:t>
            </w:r>
          </w:p>
        </w:tc>
      </w:tr>
      <w:tr w:rsidR="008B0386" w:rsidRPr="008B0386" w14:paraId="3E5E9740"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42553C9"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045104</w:t>
            </w:r>
          </w:p>
        </w:tc>
        <w:tc>
          <w:tcPr>
            <w:tcW w:w="1111" w:type="pct"/>
            <w:tcBorders>
              <w:top w:val="nil"/>
              <w:left w:val="single" w:sz="4" w:space="0" w:color="979991"/>
              <w:bottom w:val="single" w:sz="4" w:space="0" w:color="979991"/>
              <w:right w:val="nil"/>
            </w:tcBorders>
            <w:shd w:val="clear" w:color="000000" w:fill="FFFFFF"/>
            <w:vAlign w:val="center"/>
            <w:hideMark/>
          </w:tcPr>
          <w:p w14:paraId="470C0AB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13,007</w:t>
            </w:r>
          </w:p>
        </w:tc>
        <w:tc>
          <w:tcPr>
            <w:tcW w:w="968" w:type="pct"/>
            <w:tcBorders>
              <w:top w:val="nil"/>
              <w:left w:val="single" w:sz="4" w:space="0" w:color="979991"/>
              <w:bottom w:val="single" w:sz="4" w:space="0" w:color="979991"/>
              <w:right w:val="nil"/>
            </w:tcBorders>
            <w:shd w:val="clear" w:color="000000" w:fill="FFFFFF"/>
            <w:vAlign w:val="center"/>
            <w:hideMark/>
          </w:tcPr>
          <w:p w14:paraId="34047111"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12,987</w:t>
            </w:r>
          </w:p>
        </w:tc>
        <w:tc>
          <w:tcPr>
            <w:tcW w:w="968" w:type="pct"/>
            <w:tcBorders>
              <w:top w:val="nil"/>
              <w:left w:val="single" w:sz="4" w:space="0" w:color="979991"/>
              <w:bottom w:val="single" w:sz="4" w:space="0" w:color="979991"/>
              <w:right w:val="nil"/>
            </w:tcBorders>
            <w:shd w:val="clear" w:color="000000" w:fill="FFFFFF"/>
            <w:vAlign w:val="center"/>
            <w:hideMark/>
          </w:tcPr>
          <w:p w14:paraId="29725771"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16,599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29161B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14,971</w:t>
            </w:r>
          </w:p>
        </w:tc>
      </w:tr>
      <w:tr w:rsidR="008B0386" w:rsidRPr="008B0386" w14:paraId="02EA2458"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DDD500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045107</w:t>
            </w:r>
          </w:p>
        </w:tc>
        <w:tc>
          <w:tcPr>
            <w:tcW w:w="1111" w:type="pct"/>
            <w:tcBorders>
              <w:top w:val="nil"/>
              <w:left w:val="single" w:sz="4" w:space="0" w:color="979991"/>
              <w:bottom w:val="single" w:sz="4" w:space="0" w:color="979991"/>
              <w:right w:val="nil"/>
            </w:tcBorders>
            <w:shd w:val="clear" w:color="000000" w:fill="FFFFFF"/>
            <w:vAlign w:val="center"/>
            <w:hideMark/>
          </w:tcPr>
          <w:p w14:paraId="3E55392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9,460</w:t>
            </w:r>
          </w:p>
        </w:tc>
        <w:tc>
          <w:tcPr>
            <w:tcW w:w="968" w:type="pct"/>
            <w:tcBorders>
              <w:top w:val="nil"/>
              <w:left w:val="single" w:sz="4" w:space="0" w:color="979991"/>
              <w:bottom w:val="single" w:sz="4" w:space="0" w:color="979991"/>
              <w:right w:val="nil"/>
            </w:tcBorders>
            <w:shd w:val="clear" w:color="000000" w:fill="FFFFFF"/>
            <w:vAlign w:val="center"/>
            <w:hideMark/>
          </w:tcPr>
          <w:p w14:paraId="667F322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15,860</w:t>
            </w:r>
          </w:p>
        </w:tc>
        <w:tc>
          <w:tcPr>
            <w:tcW w:w="968" w:type="pct"/>
            <w:tcBorders>
              <w:top w:val="nil"/>
              <w:left w:val="single" w:sz="4" w:space="0" w:color="979991"/>
              <w:bottom w:val="single" w:sz="4" w:space="0" w:color="979991"/>
              <w:right w:val="nil"/>
            </w:tcBorders>
            <w:shd w:val="clear" w:color="000000" w:fill="FFFFFF"/>
            <w:vAlign w:val="center"/>
            <w:hideMark/>
          </w:tcPr>
          <w:p w14:paraId="38B34AC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20,054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149450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14,836</w:t>
            </w:r>
          </w:p>
        </w:tc>
      </w:tr>
      <w:tr w:rsidR="008B0386" w:rsidRPr="008B0386" w14:paraId="18BC5BD1"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B80EEAD"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045108</w:t>
            </w:r>
          </w:p>
        </w:tc>
        <w:tc>
          <w:tcPr>
            <w:tcW w:w="1111" w:type="pct"/>
            <w:tcBorders>
              <w:top w:val="nil"/>
              <w:left w:val="single" w:sz="4" w:space="0" w:color="979991"/>
              <w:bottom w:val="single" w:sz="4" w:space="0" w:color="979991"/>
              <w:right w:val="nil"/>
            </w:tcBorders>
            <w:shd w:val="clear" w:color="000000" w:fill="FFFFFF"/>
            <w:vAlign w:val="center"/>
            <w:hideMark/>
          </w:tcPr>
          <w:p w14:paraId="4C51513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47,005</w:t>
            </w:r>
          </w:p>
        </w:tc>
        <w:tc>
          <w:tcPr>
            <w:tcW w:w="968" w:type="pct"/>
            <w:tcBorders>
              <w:top w:val="nil"/>
              <w:left w:val="single" w:sz="4" w:space="0" w:color="979991"/>
              <w:bottom w:val="single" w:sz="4" w:space="0" w:color="979991"/>
              <w:right w:val="nil"/>
            </w:tcBorders>
            <w:shd w:val="clear" w:color="000000" w:fill="FFFFFF"/>
            <w:vAlign w:val="center"/>
            <w:hideMark/>
          </w:tcPr>
          <w:p w14:paraId="66A5B12D"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30,841</w:t>
            </w:r>
          </w:p>
        </w:tc>
        <w:tc>
          <w:tcPr>
            <w:tcW w:w="968" w:type="pct"/>
            <w:tcBorders>
              <w:top w:val="nil"/>
              <w:left w:val="single" w:sz="4" w:space="0" w:color="979991"/>
              <w:bottom w:val="single" w:sz="4" w:space="0" w:color="979991"/>
              <w:right w:val="nil"/>
            </w:tcBorders>
            <w:shd w:val="clear" w:color="000000" w:fill="FFFFFF"/>
            <w:vAlign w:val="center"/>
            <w:hideMark/>
          </w:tcPr>
          <w:p w14:paraId="7D8AF16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58,576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65BBF0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59,233</w:t>
            </w:r>
          </w:p>
        </w:tc>
      </w:tr>
      <w:tr w:rsidR="008B0386" w:rsidRPr="008B0386" w14:paraId="0FB078D1"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D1B267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045110</w:t>
            </w:r>
          </w:p>
        </w:tc>
        <w:tc>
          <w:tcPr>
            <w:tcW w:w="1111" w:type="pct"/>
            <w:tcBorders>
              <w:top w:val="nil"/>
              <w:left w:val="single" w:sz="4" w:space="0" w:color="979991"/>
              <w:bottom w:val="single" w:sz="4" w:space="0" w:color="979991"/>
              <w:right w:val="nil"/>
            </w:tcBorders>
            <w:shd w:val="clear" w:color="000000" w:fill="FFFFFF"/>
            <w:vAlign w:val="center"/>
            <w:hideMark/>
          </w:tcPr>
          <w:p w14:paraId="659F45E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4,286</w:t>
            </w:r>
          </w:p>
        </w:tc>
        <w:tc>
          <w:tcPr>
            <w:tcW w:w="968" w:type="pct"/>
            <w:tcBorders>
              <w:top w:val="nil"/>
              <w:left w:val="single" w:sz="4" w:space="0" w:color="979991"/>
              <w:bottom w:val="single" w:sz="4" w:space="0" w:color="979991"/>
              <w:right w:val="nil"/>
            </w:tcBorders>
            <w:shd w:val="clear" w:color="000000" w:fill="FFFFFF"/>
            <w:vAlign w:val="center"/>
            <w:hideMark/>
          </w:tcPr>
          <w:p w14:paraId="2A4A4C6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15,400</w:t>
            </w:r>
          </w:p>
        </w:tc>
        <w:tc>
          <w:tcPr>
            <w:tcW w:w="968" w:type="pct"/>
            <w:tcBorders>
              <w:top w:val="nil"/>
              <w:left w:val="single" w:sz="4" w:space="0" w:color="979991"/>
              <w:bottom w:val="single" w:sz="4" w:space="0" w:color="979991"/>
              <w:right w:val="nil"/>
            </w:tcBorders>
            <w:shd w:val="clear" w:color="000000" w:fill="FFFFFF"/>
            <w:vAlign w:val="center"/>
            <w:hideMark/>
          </w:tcPr>
          <w:p w14:paraId="7F619A7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3,503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E7027B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4,072</w:t>
            </w:r>
          </w:p>
        </w:tc>
      </w:tr>
      <w:tr w:rsidR="008B0386" w:rsidRPr="008B0386" w14:paraId="41E510CD"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0179B8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045111</w:t>
            </w:r>
          </w:p>
        </w:tc>
        <w:tc>
          <w:tcPr>
            <w:tcW w:w="1111" w:type="pct"/>
            <w:tcBorders>
              <w:top w:val="nil"/>
              <w:left w:val="single" w:sz="4" w:space="0" w:color="979991"/>
              <w:bottom w:val="single" w:sz="4" w:space="0" w:color="979991"/>
              <w:right w:val="nil"/>
            </w:tcBorders>
            <w:shd w:val="clear" w:color="000000" w:fill="FFFFFF"/>
            <w:vAlign w:val="center"/>
            <w:hideMark/>
          </w:tcPr>
          <w:p w14:paraId="24B66D5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4,161</w:t>
            </w:r>
          </w:p>
        </w:tc>
        <w:tc>
          <w:tcPr>
            <w:tcW w:w="968" w:type="pct"/>
            <w:tcBorders>
              <w:top w:val="nil"/>
              <w:left w:val="single" w:sz="4" w:space="0" w:color="979991"/>
              <w:bottom w:val="single" w:sz="4" w:space="0" w:color="979991"/>
              <w:right w:val="nil"/>
            </w:tcBorders>
            <w:shd w:val="clear" w:color="000000" w:fill="FFFFFF"/>
            <w:vAlign w:val="center"/>
            <w:hideMark/>
          </w:tcPr>
          <w:p w14:paraId="058CD67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6,905</w:t>
            </w:r>
          </w:p>
        </w:tc>
        <w:tc>
          <w:tcPr>
            <w:tcW w:w="968" w:type="pct"/>
            <w:tcBorders>
              <w:top w:val="nil"/>
              <w:left w:val="single" w:sz="4" w:space="0" w:color="979991"/>
              <w:bottom w:val="single" w:sz="4" w:space="0" w:color="979991"/>
              <w:right w:val="nil"/>
            </w:tcBorders>
            <w:shd w:val="clear" w:color="000000" w:fill="FFFFFF"/>
            <w:vAlign w:val="center"/>
            <w:hideMark/>
          </w:tcPr>
          <w:p w14:paraId="070CFF2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8,078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8A6610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11,660</w:t>
            </w:r>
          </w:p>
        </w:tc>
      </w:tr>
      <w:tr w:rsidR="008B0386" w:rsidRPr="008B0386" w14:paraId="05C2F6AA"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BC2585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045203</w:t>
            </w:r>
          </w:p>
        </w:tc>
        <w:tc>
          <w:tcPr>
            <w:tcW w:w="1111" w:type="pct"/>
            <w:tcBorders>
              <w:top w:val="nil"/>
              <w:left w:val="single" w:sz="4" w:space="0" w:color="979991"/>
              <w:bottom w:val="single" w:sz="4" w:space="0" w:color="979991"/>
              <w:right w:val="nil"/>
            </w:tcBorders>
            <w:shd w:val="clear" w:color="000000" w:fill="FFFFFF"/>
            <w:vAlign w:val="center"/>
            <w:hideMark/>
          </w:tcPr>
          <w:p w14:paraId="39C419E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11,739</w:t>
            </w:r>
          </w:p>
        </w:tc>
        <w:tc>
          <w:tcPr>
            <w:tcW w:w="968" w:type="pct"/>
            <w:tcBorders>
              <w:top w:val="nil"/>
              <w:left w:val="single" w:sz="4" w:space="0" w:color="979991"/>
              <w:bottom w:val="single" w:sz="4" w:space="0" w:color="979991"/>
              <w:right w:val="nil"/>
            </w:tcBorders>
            <w:shd w:val="clear" w:color="000000" w:fill="FFFFFF"/>
            <w:vAlign w:val="center"/>
            <w:hideMark/>
          </w:tcPr>
          <w:p w14:paraId="3323CA3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20,254</w:t>
            </w:r>
          </w:p>
        </w:tc>
        <w:tc>
          <w:tcPr>
            <w:tcW w:w="968" w:type="pct"/>
            <w:tcBorders>
              <w:top w:val="nil"/>
              <w:left w:val="single" w:sz="4" w:space="0" w:color="979991"/>
              <w:bottom w:val="single" w:sz="4" w:space="0" w:color="979991"/>
              <w:right w:val="nil"/>
            </w:tcBorders>
            <w:shd w:val="clear" w:color="000000" w:fill="FFFFFF"/>
            <w:vAlign w:val="center"/>
            <w:hideMark/>
          </w:tcPr>
          <w:p w14:paraId="7F11FC31"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40,583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004DDE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71,295</w:t>
            </w:r>
          </w:p>
        </w:tc>
      </w:tr>
      <w:tr w:rsidR="008B0386" w:rsidRPr="008B0386" w14:paraId="34CD486F"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37D8D5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045204</w:t>
            </w:r>
          </w:p>
        </w:tc>
        <w:tc>
          <w:tcPr>
            <w:tcW w:w="1111" w:type="pct"/>
            <w:tcBorders>
              <w:top w:val="nil"/>
              <w:left w:val="single" w:sz="4" w:space="0" w:color="979991"/>
              <w:bottom w:val="single" w:sz="4" w:space="0" w:color="979991"/>
              <w:right w:val="nil"/>
            </w:tcBorders>
            <w:shd w:val="clear" w:color="000000" w:fill="FFFFFF"/>
            <w:vAlign w:val="center"/>
            <w:hideMark/>
          </w:tcPr>
          <w:p w14:paraId="22A3CAD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220</w:t>
            </w:r>
          </w:p>
        </w:tc>
        <w:tc>
          <w:tcPr>
            <w:tcW w:w="968" w:type="pct"/>
            <w:tcBorders>
              <w:top w:val="nil"/>
              <w:left w:val="single" w:sz="4" w:space="0" w:color="979991"/>
              <w:bottom w:val="single" w:sz="4" w:space="0" w:color="979991"/>
              <w:right w:val="nil"/>
            </w:tcBorders>
            <w:shd w:val="clear" w:color="000000" w:fill="FFFFFF"/>
            <w:vAlign w:val="center"/>
            <w:hideMark/>
          </w:tcPr>
          <w:p w14:paraId="00A9BFED"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1,548</w:t>
            </w:r>
          </w:p>
        </w:tc>
        <w:tc>
          <w:tcPr>
            <w:tcW w:w="968" w:type="pct"/>
            <w:tcBorders>
              <w:top w:val="nil"/>
              <w:left w:val="single" w:sz="4" w:space="0" w:color="979991"/>
              <w:bottom w:val="single" w:sz="4" w:space="0" w:color="979991"/>
              <w:right w:val="nil"/>
            </w:tcBorders>
            <w:shd w:val="clear" w:color="000000" w:fill="FFFFFF"/>
            <w:vAlign w:val="center"/>
            <w:hideMark/>
          </w:tcPr>
          <w:p w14:paraId="0B34997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375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BEFAD0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w:t>
            </w:r>
          </w:p>
        </w:tc>
      </w:tr>
      <w:tr w:rsidR="008B0386" w:rsidRPr="008B0386" w14:paraId="6A5FA4E2"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260A19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045209</w:t>
            </w:r>
          </w:p>
        </w:tc>
        <w:tc>
          <w:tcPr>
            <w:tcW w:w="1111" w:type="pct"/>
            <w:tcBorders>
              <w:top w:val="nil"/>
              <w:left w:val="single" w:sz="4" w:space="0" w:color="979991"/>
              <w:bottom w:val="single" w:sz="4" w:space="0" w:color="979991"/>
              <w:right w:val="nil"/>
            </w:tcBorders>
            <w:shd w:val="clear" w:color="000000" w:fill="FFFFFF"/>
            <w:vAlign w:val="center"/>
            <w:hideMark/>
          </w:tcPr>
          <w:p w14:paraId="1024F55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9,146</w:t>
            </w:r>
          </w:p>
        </w:tc>
        <w:tc>
          <w:tcPr>
            <w:tcW w:w="968" w:type="pct"/>
            <w:tcBorders>
              <w:top w:val="nil"/>
              <w:left w:val="single" w:sz="4" w:space="0" w:color="979991"/>
              <w:bottom w:val="single" w:sz="4" w:space="0" w:color="979991"/>
              <w:right w:val="nil"/>
            </w:tcBorders>
            <w:shd w:val="clear" w:color="000000" w:fill="FFFFFF"/>
            <w:vAlign w:val="center"/>
            <w:hideMark/>
          </w:tcPr>
          <w:p w14:paraId="74E46391"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9,878</w:t>
            </w:r>
          </w:p>
        </w:tc>
        <w:tc>
          <w:tcPr>
            <w:tcW w:w="968" w:type="pct"/>
            <w:tcBorders>
              <w:top w:val="nil"/>
              <w:left w:val="single" w:sz="4" w:space="0" w:color="979991"/>
              <w:bottom w:val="single" w:sz="4" w:space="0" w:color="979991"/>
              <w:right w:val="nil"/>
            </w:tcBorders>
            <w:shd w:val="clear" w:color="000000" w:fill="FFFFFF"/>
            <w:vAlign w:val="center"/>
            <w:hideMark/>
          </w:tcPr>
          <w:p w14:paraId="78CC998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5,511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C2AA09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169</w:t>
            </w:r>
          </w:p>
        </w:tc>
      </w:tr>
      <w:tr w:rsidR="008B0386" w:rsidRPr="008B0386" w14:paraId="59A628D6"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2455EB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045211</w:t>
            </w:r>
          </w:p>
        </w:tc>
        <w:tc>
          <w:tcPr>
            <w:tcW w:w="1111" w:type="pct"/>
            <w:tcBorders>
              <w:top w:val="nil"/>
              <w:left w:val="single" w:sz="4" w:space="0" w:color="979991"/>
              <w:bottom w:val="single" w:sz="4" w:space="0" w:color="979991"/>
              <w:right w:val="nil"/>
            </w:tcBorders>
            <w:shd w:val="clear" w:color="000000" w:fill="FFFFFF"/>
            <w:vAlign w:val="center"/>
            <w:hideMark/>
          </w:tcPr>
          <w:p w14:paraId="6A50ADC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19,999</w:t>
            </w:r>
          </w:p>
        </w:tc>
        <w:tc>
          <w:tcPr>
            <w:tcW w:w="968" w:type="pct"/>
            <w:tcBorders>
              <w:top w:val="nil"/>
              <w:left w:val="single" w:sz="4" w:space="0" w:color="979991"/>
              <w:bottom w:val="single" w:sz="4" w:space="0" w:color="979991"/>
              <w:right w:val="nil"/>
            </w:tcBorders>
            <w:shd w:val="clear" w:color="000000" w:fill="FFFFFF"/>
            <w:vAlign w:val="center"/>
            <w:hideMark/>
          </w:tcPr>
          <w:p w14:paraId="3426ECB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32,355</w:t>
            </w:r>
          </w:p>
        </w:tc>
        <w:tc>
          <w:tcPr>
            <w:tcW w:w="968" w:type="pct"/>
            <w:tcBorders>
              <w:top w:val="nil"/>
              <w:left w:val="single" w:sz="4" w:space="0" w:color="979991"/>
              <w:bottom w:val="single" w:sz="4" w:space="0" w:color="979991"/>
              <w:right w:val="nil"/>
            </w:tcBorders>
            <w:shd w:val="clear" w:color="000000" w:fill="FFFFFF"/>
            <w:vAlign w:val="center"/>
            <w:hideMark/>
          </w:tcPr>
          <w:p w14:paraId="5454821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27,142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90ED8F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56,753</w:t>
            </w:r>
          </w:p>
        </w:tc>
      </w:tr>
      <w:tr w:rsidR="008B0386" w:rsidRPr="008B0386" w14:paraId="580DE75E"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67980E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045212</w:t>
            </w:r>
          </w:p>
        </w:tc>
        <w:tc>
          <w:tcPr>
            <w:tcW w:w="1111" w:type="pct"/>
            <w:tcBorders>
              <w:top w:val="nil"/>
              <w:left w:val="single" w:sz="4" w:space="0" w:color="979991"/>
              <w:bottom w:val="single" w:sz="4" w:space="0" w:color="979991"/>
              <w:right w:val="nil"/>
            </w:tcBorders>
            <w:shd w:val="clear" w:color="000000" w:fill="FFFFFF"/>
            <w:vAlign w:val="center"/>
            <w:hideMark/>
          </w:tcPr>
          <w:p w14:paraId="0E5395C9"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43,498</w:t>
            </w:r>
          </w:p>
        </w:tc>
        <w:tc>
          <w:tcPr>
            <w:tcW w:w="968" w:type="pct"/>
            <w:tcBorders>
              <w:top w:val="nil"/>
              <w:left w:val="single" w:sz="4" w:space="0" w:color="979991"/>
              <w:bottom w:val="single" w:sz="4" w:space="0" w:color="979991"/>
              <w:right w:val="nil"/>
            </w:tcBorders>
            <w:shd w:val="clear" w:color="000000" w:fill="FFFFFF"/>
            <w:vAlign w:val="center"/>
            <w:hideMark/>
          </w:tcPr>
          <w:p w14:paraId="37A5EE6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27,427</w:t>
            </w:r>
          </w:p>
        </w:tc>
        <w:tc>
          <w:tcPr>
            <w:tcW w:w="968" w:type="pct"/>
            <w:tcBorders>
              <w:top w:val="nil"/>
              <w:left w:val="single" w:sz="4" w:space="0" w:color="979991"/>
              <w:bottom w:val="single" w:sz="4" w:space="0" w:color="979991"/>
              <w:right w:val="nil"/>
            </w:tcBorders>
            <w:shd w:val="clear" w:color="000000" w:fill="FFFFFF"/>
            <w:vAlign w:val="center"/>
            <w:hideMark/>
          </w:tcPr>
          <w:p w14:paraId="73B7A99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25,026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7F25E0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9,024</w:t>
            </w:r>
          </w:p>
        </w:tc>
      </w:tr>
      <w:tr w:rsidR="008B0386" w:rsidRPr="008B0386" w14:paraId="3423F163"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871DD2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045213</w:t>
            </w:r>
          </w:p>
        </w:tc>
        <w:tc>
          <w:tcPr>
            <w:tcW w:w="1111" w:type="pct"/>
            <w:tcBorders>
              <w:top w:val="nil"/>
              <w:left w:val="single" w:sz="4" w:space="0" w:color="979991"/>
              <w:bottom w:val="single" w:sz="4" w:space="0" w:color="979991"/>
              <w:right w:val="nil"/>
            </w:tcBorders>
            <w:shd w:val="clear" w:color="000000" w:fill="FFFFFF"/>
            <w:vAlign w:val="center"/>
            <w:hideMark/>
          </w:tcPr>
          <w:p w14:paraId="333E49D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264,278</w:t>
            </w:r>
          </w:p>
        </w:tc>
        <w:tc>
          <w:tcPr>
            <w:tcW w:w="968" w:type="pct"/>
            <w:tcBorders>
              <w:top w:val="nil"/>
              <w:left w:val="single" w:sz="4" w:space="0" w:color="979991"/>
              <w:bottom w:val="single" w:sz="4" w:space="0" w:color="979991"/>
              <w:right w:val="nil"/>
            </w:tcBorders>
            <w:shd w:val="clear" w:color="000000" w:fill="FFFFFF"/>
            <w:vAlign w:val="center"/>
            <w:hideMark/>
          </w:tcPr>
          <w:p w14:paraId="77A3455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191,031</w:t>
            </w:r>
          </w:p>
        </w:tc>
        <w:tc>
          <w:tcPr>
            <w:tcW w:w="968" w:type="pct"/>
            <w:tcBorders>
              <w:top w:val="nil"/>
              <w:left w:val="single" w:sz="4" w:space="0" w:color="979991"/>
              <w:bottom w:val="single" w:sz="4" w:space="0" w:color="979991"/>
              <w:right w:val="nil"/>
            </w:tcBorders>
            <w:shd w:val="clear" w:color="000000" w:fill="FFFFFF"/>
            <w:vAlign w:val="center"/>
            <w:hideMark/>
          </w:tcPr>
          <w:p w14:paraId="4DA8406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360,987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ABC480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124,027</w:t>
            </w:r>
          </w:p>
        </w:tc>
      </w:tr>
      <w:tr w:rsidR="008B0386" w:rsidRPr="008B0386" w14:paraId="0F93940B"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1F0295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045215</w:t>
            </w:r>
          </w:p>
        </w:tc>
        <w:tc>
          <w:tcPr>
            <w:tcW w:w="1111" w:type="pct"/>
            <w:tcBorders>
              <w:top w:val="nil"/>
              <w:left w:val="single" w:sz="4" w:space="0" w:color="979991"/>
              <w:bottom w:val="single" w:sz="4" w:space="0" w:color="979991"/>
              <w:right w:val="nil"/>
            </w:tcBorders>
            <w:shd w:val="clear" w:color="000000" w:fill="FFFFFF"/>
            <w:vAlign w:val="center"/>
            <w:hideMark/>
          </w:tcPr>
          <w:p w14:paraId="556E1E2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129,017</w:t>
            </w:r>
          </w:p>
        </w:tc>
        <w:tc>
          <w:tcPr>
            <w:tcW w:w="968" w:type="pct"/>
            <w:tcBorders>
              <w:top w:val="nil"/>
              <w:left w:val="single" w:sz="4" w:space="0" w:color="979991"/>
              <w:bottom w:val="single" w:sz="4" w:space="0" w:color="979991"/>
              <w:right w:val="nil"/>
            </w:tcBorders>
            <w:shd w:val="clear" w:color="000000" w:fill="FFFFFF"/>
            <w:vAlign w:val="center"/>
            <w:hideMark/>
          </w:tcPr>
          <w:p w14:paraId="7C86D50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39,471</w:t>
            </w:r>
          </w:p>
        </w:tc>
        <w:tc>
          <w:tcPr>
            <w:tcW w:w="968" w:type="pct"/>
            <w:tcBorders>
              <w:top w:val="nil"/>
              <w:left w:val="single" w:sz="4" w:space="0" w:color="979991"/>
              <w:bottom w:val="single" w:sz="4" w:space="0" w:color="979991"/>
              <w:right w:val="nil"/>
            </w:tcBorders>
            <w:shd w:val="clear" w:color="000000" w:fill="FFFFFF"/>
            <w:vAlign w:val="center"/>
            <w:hideMark/>
          </w:tcPr>
          <w:p w14:paraId="5BA7E6E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81,741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35218F0"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106,480</w:t>
            </w:r>
          </w:p>
        </w:tc>
      </w:tr>
      <w:tr w:rsidR="008B0386" w:rsidRPr="008B0386" w14:paraId="021E70A3"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BA3303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045217</w:t>
            </w:r>
          </w:p>
        </w:tc>
        <w:tc>
          <w:tcPr>
            <w:tcW w:w="1111" w:type="pct"/>
            <w:tcBorders>
              <w:top w:val="nil"/>
              <w:left w:val="single" w:sz="4" w:space="0" w:color="979991"/>
              <w:bottom w:val="single" w:sz="4" w:space="0" w:color="979991"/>
              <w:right w:val="nil"/>
            </w:tcBorders>
            <w:shd w:val="clear" w:color="000000" w:fill="FFFFFF"/>
            <w:vAlign w:val="center"/>
            <w:hideMark/>
          </w:tcPr>
          <w:p w14:paraId="2E7D1C4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1,012</w:t>
            </w:r>
          </w:p>
        </w:tc>
        <w:tc>
          <w:tcPr>
            <w:tcW w:w="968" w:type="pct"/>
            <w:tcBorders>
              <w:top w:val="nil"/>
              <w:left w:val="single" w:sz="4" w:space="0" w:color="979991"/>
              <w:bottom w:val="single" w:sz="4" w:space="0" w:color="979991"/>
              <w:right w:val="nil"/>
            </w:tcBorders>
            <w:shd w:val="clear" w:color="000000" w:fill="FFFFFF"/>
            <w:vAlign w:val="center"/>
            <w:hideMark/>
          </w:tcPr>
          <w:p w14:paraId="10B36E8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4EA4A9A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E0D5FB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w:t>
            </w:r>
          </w:p>
        </w:tc>
      </w:tr>
      <w:tr w:rsidR="008B0386" w:rsidRPr="008B0386" w14:paraId="106C9869"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4D3DFAD"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045301</w:t>
            </w:r>
          </w:p>
        </w:tc>
        <w:tc>
          <w:tcPr>
            <w:tcW w:w="1111" w:type="pct"/>
            <w:tcBorders>
              <w:top w:val="nil"/>
              <w:left w:val="single" w:sz="4" w:space="0" w:color="979991"/>
              <w:bottom w:val="single" w:sz="4" w:space="0" w:color="979991"/>
              <w:right w:val="nil"/>
            </w:tcBorders>
            <w:shd w:val="clear" w:color="000000" w:fill="FFFFFF"/>
            <w:vAlign w:val="center"/>
            <w:hideMark/>
          </w:tcPr>
          <w:p w14:paraId="2F38CE1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104,415</w:t>
            </w:r>
          </w:p>
        </w:tc>
        <w:tc>
          <w:tcPr>
            <w:tcW w:w="968" w:type="pct"/>
            <w:tcBorders>
              <w:top w:val="nil"/>
              <w:left w:val="single" w:sz="4" w:space="0" w:color="979991"/>
              <w:bottom w:val="single" w:sz="4" w:space="0" w:color="979991"/>
              <w:right w:val="nil"/>
            </w:tcBorders>
            <w:shd w:val="clear" w:color="000000" w:fill="FFFFFF"/>
            <w:vAlign w:val="center"/>
            <w:hideMark/>
          </w:tcPr>
          <w:p w14:paraId="3147E5F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55,944</w:t>
            </w:r>
          </w:p>
        </w:tc>
        <w:tc>
          <w:tcPr>
            <w:tcW w:w="968" w:type="pct"/>
            <w:tcBorders>
              <w:top w:val="nil"/>
              <w:left w:val="single" w:sz="4" w:space="0" w:color="979991"/>
              <w:bottom w:val="single" w:sz="4" w:space="0" w:color="979991"/>
              <w:right w:val="nil"/>
            </w:tcBorders>
            <w:shd w:val="clear" w:color="000000" w:fill="FFFFFF"/>
            <w:vAlign w:val="center"/>
            <w:hideMark/>
          </w:tcPr>
          <w:p w14:paraId="2E4EB7E9"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60,672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CF22470"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57,081</w:t>
            </w:r>
          </w:p>
        </w:tc>
      </w:tr>
      <w:tr w:rsidR="008B0386" w:rsidRPr="008B0386" w14:paraId="3C4BCD57"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11F9EB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045302</w:t>
            </w:r>
          </w:p>
        </w:tc>
        <w:tc>
          <w:tcPr>
            <w:tcW w:w="1111" w:type="pct"/>
            <w:tcBorders>
              <w:top w:val="nil"/>
              <w:left w:val="single" w:sz="4" w:space="0" w:color="979991"/>
              <w:bottom w:val="single" w:sz="4" w:space="0" w:color="979991"/>
              <w:right w:val="nil"/>
            </w:tcBorders>
            <w:shd w:val="clear" w:color="000000" w:fill="FFFFFF"/>
            <w:vAlign w:val="center"/>
            <w:hideMark/>
          </w:tcPr>
          <w:p w14:paraId="25183FD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16,356</w:t>
            </w:r>
          </w:p>
        </w:tc>
        <w:tc>
          <w:tcPr>
            <w:tcW w:w="968" w:type="pct"/>
            <w:tcBorders>
              <w:top w:val="nil"/>
              <w:left w:val="single" w:sz="4" w:space="0" w:color="979991"/>
              <w:bottom w:val="single" w:sz="4" w:space="0" w:color="979991"/>
              <w:right w:val="nil"/>
            </w:tcBorders>
            <w:shd w:val="clear" w:color="000000" w:fill="FFFFFF"/>
            <w:vAlign w:val="center"/>
            <w:hideMark/>
          </w:tcPr>
          <w:p w14:paraId="2E5552B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21,726</w:t>
            </w:r>
          </w:p>
        </w:tc>
        <w:tc>
          <w:tcPr>
            <w:tcW w:w="968" w:type="pct"/>
            <w:tcBorders>
              <w:top w:val="nil"/>
              <w:left w:val="single" w:sz="4" w:space="0" w:color="979991"/>
              <w:bottom w:val="single" w:sz="4" w:space="0" w:color="979991"/>
              <w:right w:val="nil"/>
            </w:tcBorders>
            <w:shd w:val="clear" w:color="000000" w:fill="FFFFFF"/>
            <w:vAlign w:val="center"/>
            <w:hideMark/>
          </w:tcPr>
          <w:p w14:paraId="1A53719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69,441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E390399"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100,307</w:t>
            </w:r>
          </w:p>
        </w:tc>
      </w:tr>
      <w:tr w:rsidR="008B0386" w:rsidRPr="008B0386" w14:paraId="33945D94"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311446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045501</w:t>
            </w:r>
          </w:p>
        </w:tc>
        <w:tc>
          <w:tcPr>
            <w:tcW w:w="1111" w:type="pct"/>
            <w:tcBorders>
              <w:top w:val="nil"/>
              <w:left w:val="single" w:sz="4" w:space="0" w:color="979991"/>
              <w:bottom w:val="single" w:sz="4" w:space="0" w:color="979991"/>
              <w:right w:val="nil"/>
            </w:tcBorders>
            <w:shd w:val="clear" w:color="000000" w:fill="FFFFFF"/>
            <w:vAlign w:val="center"/>
            <w:hideMark/>
          </w:tcPr>
          <w:p w14:paraId="08799C9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42,818</w:t>
            </w:r>
          </w:p>
        </w:tc>
        <w:tc>
          <w:tcPr>
            <w:tcW w:w="968" w:type="pct"/>
            <w:tcBorders>
              <w:top w:val="nil"/>
              <w:left w:val="single" w:sz="4" w:space="0" w:color="979991"/>
              <w:bottom w:val="single" w:sz="4" w:space="0" w:color="979991"/>
              <w:right w:val="nil"/>
            </w:tcBorders>
            <w:shd w:val="clear" w:color="000000" w:fill="FFFFFF"/>
            <w:vAlign w:val="center"/>
            <w:hideMark/>
          </w:tcPr>
          <w:p w14:paraId="3C79857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26,776</w:t>
            </w:r>
          </w:p>
        </w:tc>
        <w:tc>
          <w:tcPr>
            <w:tcW w:w="968" w:type="pct"/>
            <w:tcBorders>
              <w:top w:val="nil"/>
              <w:left w:val="single" w:sz="4" w:space="0" w:color="979991"/>
              <w:bottom w:val="single" w:sz="4" w:space="0" w:color="979991"/>
              <w:right w:val="nil"/>
            </w:tcBorders>
            <w:shd w:val="clear" w:color="000000" w:fill="FFFFFF"/>
            <w:vAlign w:val="center"/>
            <w:hideMark/>
          </w:tcPr>
          <w:p w14:paraId="1D0288B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26,629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544985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33,226</w:t>
            </w:r>
          </w:p>
        </w:tc>
      </w:tr>
      <w:tr w:rsidR="008B0386" w:rsidRPr="008B0386" w14:paraId="26834EFC"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DD6BDC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045502</w:t>
            </w:r>
          </w:p>
        </w:tc>
        <w:tc>
          <w:tcPr>
            <w:tcW w:w="1111" w:type="pct"/>
            <w:tcBorders>
              <w:top w:val="nil"/>
              <w:left w:val="single" w:sz="4" w:space="0" w:color="979991"/>
              <w:bottom w:val="single" w:sz="4" w:space="0" w:color="979991"/>
              <w:right w:val="nil"/>
            </w:tcBorders>
            <w:shd w:val="clear" w:color="000000" w:fill="FFFFFF"/>
            <w:vAlign w:val="center"/>
            <w:hideMark/>
          </w:tcPr>
          <w:p w14:paraId="123C1C7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8,279</w:t>
            </w:r>
          </w:p>
        </w:tc>
        <w:tc>
          <w:tcPr>
            <w:tcW w:w="968" w:type="pct"/>
            <w:tcBorders>
              <w:top w:val="nil"/>
              <w:left w:val="single" w:sz="4" w:space="0" w:color="979991"/>
              <w:bottom w:val="single" w:sz="4" w:space="0" w:color="979991"/>
              <w:right w:val="nil"/>
            </w:tcBorders>
            <w:shd w:val="clear" w:color="000000" w:fill="FFFFFF"/>
            <w:vAlign w:val="center"/>
            <w:hideMark/>
          </w:tcPr>
          <w:p w14:paraId="271BF30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9,759</w:t>
            </w:r>
          </w:p>
        </w:tc>
        <w:tc>
          <w:tcPr>
            <w:tcW w:w="968" w:type="pct"/>
            <w:tcBorders>
              <w:top w:val="nil"/>
              <w:left w:val="single" w:sz="4" w:space="0" w:color="979991"/>
              <w:bottom w:val="single" w:sz="4" w:space="0" w:color="979991"/>
              <w:right w:val="nil"/>
            </w:tcBorders>
            <w:shd w:val="clear" w:color="000000" w:fill="FFFFFF"/>
            <w:vAlign w:val="center"/>
            <w:hideMark/>
          </w:tcPr>
          <w:p w14:paraId="7646C3B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8,737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3CFD0A0"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7,393</w:t>
            </w:r>
          </w:p>
        </w:tc>
      </w:tr>
      <w:tr w:rsidR="008B0386" w:rsidRPr="008B0386" w14:paraId="5481501E"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679F09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045601</w:t>
            </w:r>
          </w:p>
        </w:tc>
        <w:tc>
          <w:tcPr>
            <w:tcW w:w="1111" w:type="pct"/>
            <w:tcBorders>
              <w:top w:val="nil"/>
              <w:left w:val="single" w:sz="4" w:space="0" w:color="979991"/>
              <w:bottom w:val="single" w:sz="4" w:space="0" w:color="979991"/>
              <w:right w:val="nil"/>
            </w:tcBorders>
            <w:shd w:val="clear" w:color="000000" w:fill="FFFFFF"/>
            <w:vAlign w:val="center"/>
            <w:hideMark/>
          </w:tcPr>
          <w:p w14:paraId="5F10936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20,684</w:t>
            </w:r>
          </w:p>
        </w:tc>
        <w:tc>
          <w:tcPr>
            <w:tcW w:w="968" w:type="pct"/>
            <w:tcBorders>
              <w:top w:val="nil"/>
              <w:left w:val="single" w:sz="4" w:space="0" w:color="979991"/>
              <w:bottom w:val="single" w:sz="4" w:space="0" w:color="979991"/>
              <w:right w:val="nil"/>
            </w:tcBorders>
            <w:shd w:val="clear" w:color="000000" w:fill="FFFFFF"/>
            <w:vAlign w:val="center"/>
            <w:hideMark/>
          </w:tcPr>
          <w:p w14:paraId="19F46EA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18,052</w:t>
            </w:r>
          </w:p>
        </w:tc>
        <w:tc>
          <w:tcPr>
            <w:tcW w:w="968" w:type="pct"/>
            <w:tcBorders>
              <w:top w:val="nil"/>
              <w:left w:val="single" w:sz="4" w:space="0" w:color="979991"/>
              <w:bottom w:val="single" w:sz="4" w:space="0" w:color="979991"/>
              <w:right w:val="nil"/>
            </w:tcBorders>
            <w:shd w:val="clear" w:color="000000" w:fill="FFFFFF"/>
            <w:vAlign w:val="center"/>
            <w:hideMark/>
          </w:tcPr>
          <w:p w14:paraId="5145BD0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32,178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B71B6D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34,819</w:t>
            </w:r>
          </w:p>
        </w:tc>
      </w:tr>
      <w:tr w:rsidR="008B0386" w:rsidRPr="008B0386" w14:paraId="36312BA5"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FEB7745"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045701</w:t>
            </w:r>
          </w:p>
        </w:tc>
        <w:tc>
          <w:tcPr>
            <w:tcW w:w="1111" w:type="pct"/>
            <w:tcBorders>
              <w:top w:val="nil"/>
              <w:left w:val="single" w:sz="4" w:space="0" w:color="979991"/>
              <w:bottom w:val="single" w:sz="4" w:space="0" w:color="979991"/>
              <w:right w:val="nil"/>
            </w:tcBorders>
            <w:shd w:val="clear" w:color="000000" w:fill="FFFFFF"/>
            <w:vAlign w:val="center"/>
            <w:hideMark/>
          </w:tcPr>
          <w:p w14:paraId="074B933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74,561</w:t>
            </w:r>
          </w:p>
        </w:tc>
        <w:tc>
          <w:tcPr>
            <w:tcW w:w="968" w:type="pct"/>
            <w:tcBorders>
              <w:top w:val="nil"/>
              <w:left w:val="single" w:sz="4" w:space="0" w:color="979991"/>
              <w:bottom w:val="single" w:sz="4" w:space="0" w:color="979991"/>
              <w:right w:val="nil"/>
            </w:tcBorders>
            <w:shd w:val="clear" w:color="000000" w:fill="FFFFFF"/>
            <w:vAlign w:val="center"/>
            <w:hideMark/>
          </w:tcPr>
          <w:p w14:paraId="795C910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88,422</w:t>
            </w:r>
          </w:p>
        </w:tc>
        <w:tc>
          <w:tcPr>
            <w:tcW w:w="968" w:type="pct"/>
            <w:tcBorders>
              <w:top w:val="nil"/>
              <w:left w:val="single" w:sz="4" w:space="0" w:color="979991"/>
              <w:bottom w:val="single" w:sz="4" w:space="0" w:color="979991"/>
              <w:right w:val="nil"/>
            </w:tcBorders>
            <w:shd w:val="clear" w:color="000000" w:fill="FFFFFF"/>
            <w:vAlign w:val="center"/>
            <w:hideMark/>
          </w:tcPr>
          <w:p w14:paraId="6F35B6A0"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110,904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AAC11B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141,208</w:t>
            </w:r>
          </w:p>
        </w:tc>
      </w:tr>
      <w:tr w:rsidR="008B0386" w:rsidRPr="008B0386" w14:paraId="07EE1405"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764246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045702</w:t>
            </w:r>
          </w:p>
        </w:tc>
        <w:tc>
          <w:tcPr>
            <w:tcW w:w="1111" w:type="pct"/>
            <w:tcBorders>
              <w:top w:val="nil"/>
              <w:left w:val="single" w:sz="4" w:space="0" w:color="979991"/>
              <w:bottom w:val="single" w:sz="4" w:space="0" w:color="979991"/>
              <w:right w:val="nil"/>
            </w:tcBorders>
            <w:shd w:val="clear" w:color="000000" w:fill="FFFFFF"/>
            <w:vAlign w:val="center"/>
            <w:hideMark/>
          </w:tcPr>
          <w:p w14:paraId="77D50D28"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338</w:t>
            </w:r>
          </w:p>
        </w:tc>
        <w:tc>
          <w:tcPr>
            <w:tcW w:w="968" w:type="pct"/>
            <w:tcBorders>
              <w:top w:val="nil"/>
              <w:left w:val="single" w:sz="4" w:space="0" w:color="979991"/>
              <w:bottom w:val="single" w:sz="4" w:space="0" w:color="979991"/>
              <w:right w:val="nil"/>
            </w:tcBorders>
            <w:shd w:val="clear" w:color="000000" w:fill="FFFFFF"/>
            <w:vAlign w:val="center"/>
            <w:hideMark/>
          </w:tcPr>
          <w:p w14:paraId="4366A8E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4,157</w:t>
            </w:r>
          </w:p>
        </w:tc>
        <w:tc>
          <w:tcPr>
            <w:tcW w:w="968" w:type="pct"/>
            <w:tcBorders>
              <w:top w:val="nil"/>
              <w:left w:val="single" w:sz="4" w:space="0" w:color="979991"/>
              <w:bottom w:val="single" w:sz="4" w:space="0" w:color="979991"/>
              <w:right w:val="nil"/>
            </w:tcBorders>
            <w:shd w:val="clear" w:color="000000" w:fill="FFFFFF"/>
            <w:vAlign w:val="center"/>
            <w:hideMark/>
          </w:tcPr>
          <w:p w14:paraId="546A52A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17,519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DF1950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9,818</w:t>
            </w:r>
          </w:p>
        </w:tc>
      </w:tr>
      <w:tr w:rsidR="008B0386" w:rsidRPr="008B0386" w14:paraId="7ECE6B49"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382B05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045703</w:t>
            </w:r>
          </w:p>
        </w:tc>
        <w:tc>
          <w:tcPr>
            <w:tcW w:w="1111" w:type="pct"/>
            <w:tcBorders>
              <w:top w:val="nil"/>
              <w:left w:val="single" w:sz="4" w:space="0" w:color="979991"/>
              <w:bottom w:val="single" w:sz="4" w:space="0" w:color="979991"/>
              <w:right w:val="nil"/>
            </w:tcBorders>
            <w:shd w:val="clear" w:color="000000" w:fill="FFFFFF"/>
            <w:vAlign w:val="center"/>
            <w:hideMark/>
          </w:tcPr>
          <w:p w14:paraId="57B335F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37,644</w:t>
            </w:r>
          </w:p>
        </w:tc>
        <w:tc>
          <w:tcPr>
            <w:tcW w:w="968" w:type="pct"/>
            <w:tcBorders>
              <w:top w:val="nil"/>
              <w:left w:val="single" w:sz="4" w:space="0" w:color="979991"/>
              <w:bottom w:val="single" w:sz="4" w:space="0" w:color="979991"/>
              <w:right w:val="nil"/>
            </w:tcBorders>
            <w:shd w:val="clear" w:color="000000" w:fill="FFFFFF"/>
            <w:vAlign w:val="center"/>
            <w:hideMark/>
          </w:tcPr>
          <w:p w14:paraId="11295DEF"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27,421</w:t>
            </w:r>
          </w:p>
        </w:tc>
        <w:tc>
          <w:tcPr>
            <w:tcW w:w="968" w:type="pct"/>
            <w:tcBorders>
              <w:top w:val="nil"/>
              <w:left w:val="single" w:sz="4" w:space="0" w:color="979991"/>
              <w:bottom w:val="single" w:sz="4" w:space="0" w:color="979991"/>
              <w:right w:val="nil"/>
            </w:tcBorders>
            <w:shd w:val="clear" w:color="000000" w:fill="FFFFFF"/>
            <w:vAlign w:val="center"/>
            <w:hideMark/>
          </w:tcPr>
          <w:p w14:paraId="7B05453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29,810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43CE29D"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26,978</w:t>
            </w:r>
          </w:p>
        </w:tc>
      </w:tr>
      <w:tr w:rsidR="008B0386" w:rsidRPr="008B0386" w14:paraId="349896BC"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FF6CFF2"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045901</w:t>
            </w:r>
          </w:p>
        </w:tc>
        <w:tc>
          <w:tcPr>
            <w:tcW w:w="1111" w:type="pct"/>
            <w:tcBorders>
              <w:top w:val="nil"/>
              <w:left w:val="single" w:sz="4" w:space="0" w:color="979991"/>
              <w:bottom w:val="single" w:sz="4" w:space="0" w:color="979991"/>
              <w:right w:val="nil"/>
            </w:tcBorders>
            <w:shd w:val="clear" w:color="000000" w:fill="FFFFFF"/>
            <w:vAlign w:val="center"/>
            <w:hideMark/>
          </w:tcPr>
          <w:p w14:paraId="4A945DA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16,547</w:t>
            </w:r>
          </w:p>
        </w:tc>
        <w:tc>
          <w:tcPr>
            <w:tcW w:w="968" w:type="pct"/>
            <w:tcBorders>
              <w:top w:val="nil"/>
              <w:left w:val="single" w:sz="4" w:space="0" w:color="979991"/>
              <w:bottom w:val="single" w:sz="4" w:space="0" w:color="979991"/>
              <w:right w:val="nil"/>
            </w:tcBorders>
            <w:shd w:val="clear" w:color="000000" w:fill="FFFFFF"/>
            <w:vAlign w:val="center"/>
            <w:hideMark/>
          </w:tcPr>
          <w:p w14:paraId="38D9378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9,687</w:t>
            </w:r>
          </w:p>
        </w:tc>
        <w:tc>
          <w:tcPr>
            <w:tcW w:w="968" w:type="pct"/>
            <w:tcBorders>
              <w:top w:val="nil"/>
              <w:left w:val="single" w:sz="4" w:space="0" w:color="979991"/>
              <w:bottom w:val="single" w:sz="4" w:space="0" w:color="979991"/>
              <w:right w:val="nil"/>
            </w:tcBorders>
            <w:shd w:val="clear" w:color="000000" w:fill="FFFFFF"/>
            <w:vAlign w:val="center"/>
            <w:hideMark/>
          </w:tcPr>
          <w:p w14:paraId="0034969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6,602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C827A3E"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15,514</w:t>
            </w:r>
          </w:p>
        </w:tc>
      </w:tr>
      <w:tr w:rsidR="008B0386" w:rsidRPr="008B0386" w14:paraId="114FDB00"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CDB760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046302</w:t>
            </w:r>
          </w:p>
        </w:tc>
        <w:tc>
          <w:tcPr>
            <w:tcW w:w="1111" w:type="pct"/>
            <w:tcBorders>
              <w:top w:val="nil"/>
              <w:left w:val="single" w:sz="4" w:space="0" w:color="979991"/>
              <w:bottom w:val="single" w:sz="4" w:space="0" w:color="979991"/>
              <w:right w:val="nil"/>
            </w:tcBorders>
            <w:shd w:val="clear" w:color="000000" w:fill="FFFFFF"/>
            <w:vAlign w:val="center"/>
            <w:hideMark/>
          </w:tcPr>
          <w:p w14:paraId="6A4C9CB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10,185</w:t>
            </w:r>
          </w:p>
        </w:tc>
        <w:tc>
          <w:tcPr>
            <w:tcW w:w="968" w:type="pct"/>
            <w:tcBorders>
              <w:top w:val="nil"/>
              <w:left w:val="single" w:sz="4" w:space="0" w:color="979991"/>
              <w:bottom w:val="single" w:sz="4" w:space="0" w:color="979991"/>
              <w:right w:val="nil"/>
            </w:tcBorders>
            <w:shd w:val="clear" w:color="000000" w:fill="FFFFFF"/>
            <w:vAlign w:val="center"/>
            <w:hideMark/>
          </w:tcPr>
          <w:p w14:paraId="18245FE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5,228</w:t>
            </w:r>
          </w:p>
        </w:tc>
        <w:tc>
          <w:tcPr>
            <w:tcW w:w="968" w:type="pct"/>
            <w:tcBorders>
              <w:top w:val="nil"/>
              <w:left w:val="single" w:sz="4" w:space="0" w:color="979991"/>
              <w:bottom w:val="single" w:sz="4" w:space="0" w:color="979991"/>
              <w:right w:val="nil"/>
            </w:tcBorders>
            <w:shd w:val="clear" w:color="000000" w:fill="FFFFFF"/>
            <w:vAlign w:val="center"/>
            <w:hideMark/>
          </w:tcPr>
          <w:p w14:paraId="4680422A"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5,611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1771AE7"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7,381</w:t>
            </w:r>
          </w:p>
        </w:tc>
      </w:tr>
      <w:tr w:rsidR="008B0386" w:rsidRPr="008B0386" w14:paraId="1D609DC4"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F9142A0"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046303</w:t>
            </w:r>
          </w:p>
        </w:tc>
        <w:tc>
          <w:tcPr>
            <w:tcW w:w="1111" w:type="pct"/>
            <w:tcBorders>
              <w:top w:val="nil"/>
              <w:left w:val="single" w:sz="4" w:space="0" w:color="979991"/>
              <w:bottom w:val="single" w:sz="4" w:space="0" w:color="979991"/>
              <w:right w:val="nil"/>
            </w:tcBorders>
            <w:shd w:val="clear" w:color="000000" w:fill="FFFFFF"/>
            <w:vAlign w:val="center"/>
            <w:hideMark/>
          </w:tcPr>
          <w:p w14:paraId="42B5D3BC"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38,579</w:t>
            </w:r>
          </w:p>
        </w:tc>
        <w:tc>
          <w:tcPr>
            <w:tcW w:w="968" w:type="pct"/>
            <w:tcBorders>
              <w:top w:val="nil"/>
              <w:left w:val="single" w:sz="4" w:space="0" w:color="979991"/>
              <w:bottom w:val="single" w:sz="4" w:space="0" w:color="979991"/>
              <w:right w:val="nil"/>
            </w:tcBorders>
            <w:shd w:val="clear" w:color="000000" w:fill="FFFFFF"/>
            <w:vAlign w:val="center"/>
            <w:hideMark/>
          </w:tcPr>
          <w:p w14:paraId="5488A471"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31,775</w:t>
            </w:r>
          </w:p>
        </w:tc>
        <w:tc>
          <w:tcPr>
            <w:tcW w:w="968" w:type="pct"/>
            <w:tcBorders>
              <w:top w:val="nil"/>
              <w:left w:val="single" w:sz="4" w:space="0" w:color="979991"/>
              <w:bottom w:val="single" w:sz="4" w:space="0" w:color="979991"/>
              <w:right w:val="nil"/>
            </w:tcBorders>
            <w:shd w:val="clear" w:color="000000" w:fill="FFFFFF"/>
            <w:vAlign w:val="center"/>
            <w:hideMark/>
          </w:tcPr>
          <w:p w14:paraId="1919786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28,135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12C590B"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80,576</w:t>
            </w:r>
          </w:p>
        </w:tc>
      </w:tr>
      <w:tr w:rsidR="008B0386" w:rsidRPr="008B0386" w14:paraId="226457B5" w14:textId="77777777" w:rsidTr="008B038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E912679"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046401</w:t>
            </w:r>
          </w:p>
        </w:tc>
        <w:tc>
          <w:tcPr>
            <w:tcW w:w="1111" w:type="pct"/>
            <w:tcBorders>
              <w:top w:val="nil"/>
              <w:left w:val="single" w:sz="4" w:space="0" w:color="979991"/>
              <w:bottom w:val="single" w:sz="4" w:space="0" w:color="979991"/>
              <w:right w:val="nil"/>
            </w:tcBorders>
            <w:shd w:val="clear" w:color="000000" w:fill="FFFFFF"/>
            <w:vAlign w:val="center"/>
            <w:hideMark/>
          </w:tcPr>
          <w:p w14:paraId="417DACC3"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1,002</w:t>
            </w:r>
          </w:p>
        </w:tc>
        <w:tc>
          <w:tcPr>
            <w:tcW w:w="968" w:type="pct"/>
            <w:tcBorders>
              <w:top w:val="nil"/>
              <w:left w:val="single" w:sz="4" w:space="0" w:color="979991"/>
              <w:bottom w:val="single" w:sz="4" w:space="0" w:color="979991"/>
              <w:right w:val="nil"/>
            </w:tcBorders>
            <w:shd w:val="clear" w:color="000000" w:fill="FFFFFF"/>
            <w:vAlign w:val="center"/>
            <w:hideMark/>
          </w:tcPr>
          <w:p w14:paraId="0D598AE6"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774</w:t>
            </w:r>
          </w:p>
        </w:tc>
        <w:tc>
          <w:tcPr>
            <w:tcW w:w="968" w:type="pct"/>
            <w:tcBorders>
              <w:top w:val="nil"/>
              <w:left w:val="single" w:sz="4" w:space="0" w:color="979991"/>
              <w:bottom w:val="single" w:sz="4" w:space="0" w:color="979991"/>
              <w:right w:val="nil"/>
            </w:tcBorders>
            <w:shd w:val="clear" w:color="000000" w:fill="FFFFFF"/>
            <w:vAlign w:val="center"/>
            <w:hideMark/>
          </w:tcPr>
          <w:p w14:paraId="3F32517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86B95F4" w14:textId="77777777" w:rsidR="008B0386" w:rsidRPr="008B0386" w:rsidRDefault="008B0386" w:rsidP="008B0386">
            <w:pPr>
              <w:overflowPunct/>
              <w:autoSpaceDE/>
              <w:autoSpaceDN/>
              <w:bidi w:val="0"/>
              <w:adjustRightInd/>
              <w:jc w:val="center"/>
              <w:textAlignment w:val="auto"/>
              <w:rPr>
                <w:rFonts w:ascii="Calibri" w:hAnsi="Calibri" w:cs="Calibri"/>
                <w:color w:val="000000"/>
                <w:sz w:val="16"/>
                <w:szCs w:val="16"/>
                <w:lang w:eastAsia="en-US"/>
              </w:rPr>
            </w:pPr>
            <w:r w:rsidRPr="008B0386">
              <w:rPr>
                <w:rFonts w:ascii="Calibri" w:hAnsi="Calibri" w:cs="Calibri"/>
                <w:color w:val="000000"/>
                <w:sz w:val="16"/>
                <w:szCs w:val="16"/>
                <w:lang w:eastAsia="en-US"/>
              </w:rPr>
              <w:t>0</w:t>
            </w:r>
          </w:p>
        </w:tc>
      </w:tr>
    </w:tbl>
    <w:p w14:paraId="1C9609E9" w14:textId="77777777" w:rsidR="00E7433E" w:rsidRPr="00E7433E" w:rsidRDefault="00E7433E" w:rsidP="00E7433E">
      <w:pPr>
        <w:jc w:val="center"/>
        <w:rPr>
          <w:rFonts w:cs="FrankRuehl"/>
          <w:b/>
          <w:bCs/>
          <w:sz w:val="26"/>
          <w:szCs w:val="26"/>
          <w:rtl/>
        </w:rPr>
      </w:pPr>
    </w:p>
    <w:sectPr w:rsidR="00E7433E" w:rsidRPr="00E7433E"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4F17" w14:textId="77777777" w:rsidR="0055716E" w:rsidRDefault="0055716E" w:rsidP="00A32326">
      <w:r>
        <w:separator/>
      </w:r>
    </w:p>
  </w:endnote>
  <w:endnote w:type="continuationSeparator" w:id="0">
    <w:p w14:paraId="79604E1B" w14:textId="77777777" w:rsidR="0055716E" w:rsidRDefault="0055716E"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F5C3"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6338"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77F8"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4103" w14:textId="77777777" w:rsidR="0055716E" w:rsidRDefault="0055716E" w:rsidP="00A32326">
      <w:r>
        <w:separator/>
      </w:r>
    </w:p>
  </w:footnote>
  <w:footnote w:type="continuationSeparator" w:id="0">
    <w:p w14:paraId="69AE15C0" w14:textId="77777777" w:rsidR="0055716E" w:rsidRDefault="0055716E"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B4A3"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8F73" w14:textId="77777777" w:rsidR="00A32326" w:rsidRPr="00CB5FFD" w:rsidRDefault="0055716E" w:rsidP="00A32326">
    <w:pPr>
      <w:pStyle w:val="a4"/>
      <w:jc w:val="right"/>
      <w:rPr>
        <w:color w:val="4F81BD"/>
        <w:rtl/>
        <w:cs/>
      </w:rPr>
    </w:pPr>
    <w:r>
      <w:rPr>
        <w:noProof/>
        <w:rtl/>
      </w:rPr>
      <w:pict w14:anchorId="1F5D7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5D7BFDAD" w14:textId="77777777" w:rsidR="00A32326" w:rsidRPr="00CB5FFD" w:rsidRDefault="00A32326" w:rsidP="00A32326">
    <w:pPr>
      <w:pStyle w:val="a4"/>
      <w:jc w:val="right"/>
      <w:rPr>
        <w:color w:val="4F81BD"/>
        <w:rtl/>
        <w:cs/>
      </w:rPr>
    </w:pPr>
  </w:p>
  <w:p w14:paraId="78BFB9F3" w14:textId="77777777" w:rsidR="00A32326" w:rsidRDefault="00A32326" w:rsidP="00A32326">
    <w:pPr>
      <w:pStyle w:val="a4"/>
    </w:pPr>
  </w:p>
  <w:p w14:paraId="6E4D92E4"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B95"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73E66"/>
    <w:multiLevelType w:val="hybridMultilevel"/>
    <w:tmpl w:val="173495FC"/>
    <w:lvl w:ilvl="0" w:tplc="88A4842A">
      <w:start w:val="1"/>
      <w:numFmt w:val="decimal"/>
      <w:lvlText w:val="%1."/>
      <w:lvlJc w:val="left"/>
      <w:pPr>
        <w:ind w:left="720" w:hanging="360"/>
      </w:pPr>
      <w:rPr>
        <w:rFonts w:ascii="FrankRuehl" w:eastAsia="Calibri" w:hAnsi="FrankRuehl" w:cs="FrankRuehl"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2B01B6"/>
    <w:multiLevelType w:val="hybridMultilevel"/>
    <w:tmpl w:val="394A4ECE"/>
    <w:lvl w:ilvl="0" w:tplc="C7DE0D8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534B41"/>
    <w:multiLevelType w:val="hybridMultilevel"/>
    <w:tmpl w:val="647A33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867020C"/>
    <w:multiLevelType w:val="multilevel"/>
    <w:tmpl w:val="CE0896A2"/>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4" w15:restartNumberingAfterBreak="0">
    <w:nsid w:val="66F76CC4"/>
    <w:multiLevelType w:val="hybridMultilevel"/>
    <w:tmpl w:val="C3AC57D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93E97"/>
    <w:rsid w:val="000A3FA0"/>
    <w:rsid w:val="00392C5A"/>
    <w:rsid w:val="00411078"/>
    <w:rsid w:val="00507569"/>
    <w:rsid w:val="0051496B"/>
    <w:rsid w:val="0055716E"/>
    <w:rsid w:val="00596B46"/>
    <w:rsid w:val="0063636D"/>
    <w:rsid w:val="007332A2"/>
    <w:rsid w:val="008B0386"/>
    <w:rsid w:val="0096594F"/>
    <w:rsid w:val="009E3253"/>
    <w:rsid w:val="00A14A9C"/>
    <w:rsid w:val="00A32326"/>
    <w:rsid w:val="00A33CDF"/>
    <w:rsid w:val="00A51CFB"/>
    <w:rsid w:val="00A6761F"/>
    <w:rsid w:val="00AC0FB8"/>
    <w:rsid w:val="00BE74E8"/>
    <w:rsid w:val="00C81BEB"/>
    <w:rsid w:val="00D00A6A"/>
    <w:rsid w:val="00D02451"/>
    <w:rsid w:val="00D1564D"/>
    <w:rsid w:val="00D15DD5"/>
    <w:rsid w:val="00E15D12"/>
    <w:rsid w:val="00E7433E"/>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EF5F8D5"/>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 w:type="character" w:styleId="Hyperlink">
    <w:name w:val="Hyperlink"/>
    <w:uiPriority w:val="99"/>
    <w:semiHidden/>
    <w:unhideWhenUsed/>
    <w:rsid w:val="00E7433E"/>
    <w:rPr>
      <w:color w:val="0000FF"/>
      <w:u w:val="single"/>
    </w:rPr>
  </w:style>
  <w:style w:type="character" w:styleId="FollowedHyperlink">
    <w:name w:val="FollowedHyperlink"/>
    <w:uiPriority w:val="99"/>
    <w:semiHidden/>
    <w:unhideWhenUsed/>
    <w:rsid w:val="00E7433E"/>
    <w:rPr>
      <w:color w:val="800080"/>
      <w:u w:val="single"/>
    </w:rPr>
  </w:style>
  <w:style w:type="paragraph" w:customStyle="1" w:styleId="msonormal0">
    <w:name w:val="msonormal"/>
    <w:basedOn w:val="a"/>
    <w:rsid w:val="00E7433E"/>
    <w:pPr>
      <w:overflowPunct/>
      <w:autoSpaceDE/>
      <w:autoSpaceDN/>
      <w:bidi w:val="0"/>
      <w:adjustRightInd/>
      <w:spacing w:before="100" w:beforeAutospacing="1" w:after="100" w:afterAutospacing="1"/>
      <w:textAlignment w:val="auto"/>
    </w:pPr>
    <w:rPr>
      <w:rFonts w:cs="Times New Roman"/>
      <w:sz w:val="24"/>
      <w:lang w:eastAsia="en-US"/>
    </w:rPr>
  </w:style>
  <w:style w:type="paragraph" w:customStyle="1" w:styleId="xl63">
    <w:name w:val="xl63"/>
    <w:basedOn w:val="a"/>
    <w:rsid w:val="00E7433E"/>
    <w:pPr>
      <w:pBdr>
        <w:top w:val="single" w:sz="4" w:space="0" w:color="979991"/>
        <w:left w:val="single" w:sz="4" w:space="0" w:color="979991"/>
      </w:pBdr>
      <w:shd w:val="clear" w:color="000000" w:fill="F0F4FA"/>
      <w:overflowPunct/>
      <w:autoSpaceDE/>
      <w:autoSpaceDN/>
      <w:bidi w:val="0"/>
      <w:adjustRightInd/>
      <w:spacing w:before="100" w:beforeAutospacing="1" w:after="100" w:afterAutospacing="1"/>
      <w:jc w:val="center"/>
      <w:textAlignment w:val="center"/>
    </w:pPr>
    <w:rPr>
      <w:rFonts w:cs="Times New Roman"/>
      <w:b/>
      <w:bCs/>
      <w:sz w:val="16"/>
      <w:szCs w:val="16"/>
      <w:lang w:eastAsia="en-US"/>
    </w:rPr>
  </w:style>
  <w:style w:type="paragraph" w:customStyle="1" w:styleId="xl64">
    <w:name w:val="xl64"/>
    <w:basedOn w:val="a"/>
    <w:rsid w:val="00E7433E"/>
    <w:pPr>
      <w:pBdr>
        <w:top w:val="single" w:sz="4" w:space="0" w:color="979991"/>
        <w:left w:val="single" w:sz="4" w:space="0" w:color="979991"/>
        <w:bottom w:val="single" w:sz="4" w:space="0" w:color="979991"/>
      </w:pBdr>
      <w:shd w:val="clear" w:color="000000" w:fill="F0F4FA"/>
      <w:overflowPunct/>
      <w:autoSpaceDE/>
      <w:autoSpaceDN/>
      <w:bidi w:val="0"/>
      <w:adjustRightInd/>
      <w:spacing w:before="100" w:beforeAutospacing="1" w:after="100" w:afterAutospacing="1"/>
      <w:jc w:val="center"/>
      <w:textAlignment w:val="center"/>
    </w:pPr>
    <w:rPr>
      <w:rFonts w:cs="Times New Roman"/>
      <w:b/>
      <w:bCs/>
      <w:sz w:val="16"/>
      <w:szCs w:val="16"/>
      <w:lang w:eastAsia="en-US"/>
    </w:rPr>
  </w:style>
  <w:style w:type="paragraph" w:customStyle="1" w:styleId="xl65">
    <w:name w:val="xl65"/>
    <w:basedOn w:val="a"/>
    <w:rsid w:val="00E7433E"/>
    <w:pPr>
      <w:pBdr>
        <w:top w:val="single" w:sz="4" w:space="0" w:color="979991"/>
        <w:left w:val="single" w:sz="4" w:space="0" w:color="979991"/>
        <w:bottom w:val="single" w:sz="4" w:space="0" w:color="979991"/>
        <w:right w:val="single" w:sz="4" w:space="0" w:color="979991"/>
      </w:pBdr>
      <w:shd w:val="clear" w:color="000000" w:fill="F0F4FA"/>
      <w:overflowPunct/>
      <w:autoSpaceDE/>
      <w:autoSpaceDN/>
      <w:bidi w:val="0"/>
      <w:adjustRightInd/>
      <w:spacing w:before="100" w:beforeAutospacing="1" w:after="100" w:afterAutospacing="1"/>
      <w:jc w:val="center"/>
      <w:textAlignment w:val="center"/>
    </w:pPr>
    <w:rPr>
      <w:rFonts w:cs="Times New Roman"/>
      <w:b/>
      <w:bCs/>
      <w:sz w:val="16"/>
      <w:szCs w:val="16"/>
      <w:lang w:eastAsia="en-US"/>
    </w:rPr>
  </w:style>
  <w:style w:type="paragraph" w:customStyle="1" w:styleId="xl66">
    <w:name w:val="xl66"/>
    <w:basedOn w:val="a"/>
    <w:rsid w:val="00E7433E"/>
    <w:pPr>
      <w:pBdr>
        <w:top w:val="single" w:sz="4" w:space="0" w:color="979991"/>
        <w:left w:val="single" w:sz="4" w:space="0" w:color="979991"/>
        <w:bottom w:val="single" w:sz="4" w:space="0" w:color="979991"/>
      </w:pBdr>
      <w:shd w:val="clear" w:color="000000" w:fill="F0F4FA"/>
      <w:overflowPunct/>
      <w:autoSpaceDE/>
      <w:autoSpaceDN/>
      <w:bidi w:val="0"/>
      <w:adjustRightInd/>
      <w:spacing w:before="100" w:beforeAutospacing="1" w:after="100" w:afterAutospacing="1"/>
      <w:jc w:val="center"/>
      <w:textAlignment w:val="center"/>
    </w:pPr>
    <w:rPr>
      <w:rFonts w:cs="Times New Roman"/>
      <w:sz w:val="16"/>
      <w:szCs w:val="16"/>
      <w:lang w:eastAsia="en-US"/>
    </w:rPr>
  </w:style>
  <w:style w:type="paragraph" w:customStyle="1" w:styleId="xl67">
    <w:name w:val="xl67"/>
    <w:basedOn w:val="a"/>
    <w:rsid w:val="00E7433E"/>
    <w:pPr>
      <w:pBdr>
        <w:top w:val="single" w:sz="4" w:space="0" w:color="979991"/>
        <w:left w:val="single" w:sz="4" w:space="0" w:color="979991"/>
        <w:bottom w:val="single" w:sz="4" w:space="0" w:color="979991"/>
      </w:pBdr>
      <w:shd w:val="clear" w:color="000000" w:fill="FFFFFF"/>
      <w:overflowPunct/>
      <w:autoSpaceDE/>
      <w:autoSpaceDN/>
      <w:bidi w:val="0"/>
      <w:adjustRightInd/>
      <w:spacing w:before="100" w:beforeAutospacing="1" w:after="100" w:afterAutospacing="1"/>
      <w:jc w:val="center"/>
      <w:textAlignment w:val="center"/>
    </w:pPr>
    <w:rPr>
      <w:rFonts w:cs="Times New Roman"/>
      <w:sz w:val="16"/>
      <w:szCs w:val="16"/>
      <w:lang w:eastAsia="en-US"/>
    </w:rPr>
  </w:style>
  <w:style w:type="paragraph" w:customStyle="1" w:styleId="xl68">
    <w:name w:val="xl68"/>
    <w:basedOn w:val="a"/>
    <w:rsid w:val="00E7433E"/>
    <w:pPr>
      <w:pBdr>
        <w:top w:val="single" w:sz="4" w:space="0" w:color="979991"/>
        <w:left w:val="single" w:sz="4" w:space="0" w:color="979991"/>
        <w:bottom w:val="single" w:sz="4" w:space="0" w:color="979991"/>
        <w:right w:val="single" w:sz="4" w:space="0" w:color="979991"/>
      </w:pBdr>
      <w:shd w:val="clear" w:color="000000" w:fill="FFFFFF"/>
      <w:overflowPunct/>
      <w:autoSpaceDE/>
      <w:autoSpaceDN/>
      <w:bidi w:val="0"/>
      <w:adjustRightInd/>
      <w:spacing w:before="100" w:beforeAutospacing="1" w:after="100" w:afterAutospacing="1"/>
      <w:jc w:val="center"/>
      <w:textAlignment w:val="center"/>
    </w:pPr>
    <w:rPr>
      <w:rFonts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728132">
      <w:bodyDiv w:val="1"/>
      <w:marLeft w:val="0"/>
      <w:marRight w:val="0"/>
      <w:marTop w:val="0"/>
      <w:marBottom w:val="0"/>
      <w:divBdr>
        <w:top w:val="none" w:sz="0" w:space="0" w:color="auto"/>
        <w:left w:val="none" w:sz="0" w:space="0" w:color="auto"/>
        <w:bottom w:val="none" w:sz="0" w:space="0" w:color="auto"/>
        <w:right w:val="none" w:sz="0" w:space="0" w:color="auto"/>
      </w:divBdr>
    </w:div>
    <w:div w:id="914121785">
      <w:bodyDiv w:val="1"/>
      <w:marLeft w:val="0"/>
      <w:marRight w:val="0"/>
      <w:marTop w:val="0"/>
      <w:marBottom w:val="0"/>
      <w:divBdr>
        <w:top w:val="none" w:sz="0" w:space="0" w:color="auto"/>
        <w:left w:val="none" w:sz="0" w:space="0" w:color="auto"/>
        <w:bottom w:val="none" w:sz="0" w:space="0" w:color="auto"/>
        <w:right w:val="none" w:sz="0" w:space="0" w:color="auto"/>
      </w:divBdr>
    </w:div>
    <w:div w:id="144946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2146</Words>
  <Characters>10735</Characters>
  <Application>Microsoft Office Word</Application>
  <DocSecurity>0</DocSecurity>
  <Lines>89</Lines>
  <Paragraphs>25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8</cp:revision>
  <cp:lastPrinted>1899-12-31T22:00:00Z</cp:lastPrinted>
  <dcterms:created xsi:type="dcterms:W3CDTF">2026-04-28T10:40:00Z</dcterms:created>
  <dcterms:modified xsi:type="dcterms:W3CDTF">2026-04-29T04:34:00Z</dcterms:modified>
</cp:coreProperties>
</file>