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9DB" w:rsidRDefault="00D209DB" w:rsidP="00164F15">
      <w:pPr>
        <w:ind w:left="7371"/>
        <w:jc w:val="left"/>
        <w:rPr>
          <w:sz w:val="24"/>
          <w:rtl/>
        </w:rPr>
      </w:pPr>
      <w:bookmarkStart w:id="0" w:name="Date"/>
      <w:bookmarkEnd w:id="0"/>
      <w:r>
        <w:rPr>
          <w:rFonts w:hint="eastAsia"/>
          <w:sz w:val="24"/>
          <w:rtl/>
        </w:rPr>
        <w:t>ח</w:t>
      </w:r>
      <w:r>
        <w:rPr>
          <w:sz w:val="24"/>
          <w:rtl/>
        </w:rPr>
        <w:t xml:space="preserve">' </w:t>
      </w:r>
      <w:r>
        <w:rPr>
          <w:rFonts w:hint="eastAsia"/>
          <w:sz w:val="24"/>
          <w:rtl/>
        </w:rPr>
        <w:t>בתשרי</w:t>
      </w:r>
      <w:r>
        <w:rPr>
          <w:sz w:val="24"/>
          <w:rtl/>
        </w:rPr>
        <w:t xml:space="preserve"> </w:t>
      </w:r>
      <w:proofErr w:type="spellStart"/>
      <w:r>
        <w:rPr>
          <w:rFonts w:hint="eastAsia"/>
          <w:sz w:val="24"/>
          <w:rtl/>
        </w:rPr>
        <w:t>התשפ</w:t>
      </w:r>
      <w:r>
        <w:rPr>
          <w:sz w:val="24"/>
          <w:rtl/>
        </w:rPr>
        <w:t>"</w:t>
      </w:r>
      <w:r>
        <w:rPr>
          <w:rFonts w:hint="eastAsia"/>
          <w:sz w:val="24"/>
          <w:rtl/>
        </w:rPr>
        <w:t>ב</w:t>
      </w:r>
      <w:proofErr w:type="spellEnd"/>
      <w:r>
        <w:rPr>
          <w:sz w:val="24"/>
          <w:rtl/>
        </w:rPr>
        <w:br/>
        <w:t xml:space="preserve">14 </w:t>
      </w:r>
      <w:r>
        <w:rPr>
          <w:rFonts w:hint="eastAsia"/>
          <w:sz w:val="24"/>
          <w:rtl/>
        </w:rPr>
        <w:t>בספטמבר</w:t>
      </w:r>
      <w:r>
        <w:rPr>
          <w:sz w:val="24"/>
          <w:rtl/>
        </w:rPr>
        <w:t xml:space="preserve"> 2021</w:t>
      </w:r>
    </w:p>
    <w:p w:rsidR="00D209DB" w:rsidRDefault="00D209DB" w:rsidP="00213284">
      <w:pPr>
        <w:ind w:left="7371"/>
        <w:jc w:val="left"/>
        <w:rPr>
          <w:sz w:val="24"/>
          <w:rtl/>
        </w:rPr>
      </w:pPr>
      <w:bookmarkStart w:id="1" w:name="DocNum"/>
      <w:bookmarkEnd w:id="1"/>
      <w:r>
        <w:rPr>
          <w:rFonts w:hint="eastAsia"/>
          <w:sz w:val="24"/>
          <w:rtl/>
        </w:rPr>
        <w:t>שה</w:t>
      </w:r>
      <w:r>
        <w:rPr>
          <w:sz w:val="24"/>
          <w:rtl/>
        </w:rPr>
        <w:t>. 2021-4289</w:t>
      </w:r>
    </w:p>
    <w:p w:rsidR="00C3464B" w:rsidRDefault="00C3464B" w:rsidP="00213284">
      <w:pPr>
        <w:spacing w:line="360" w:lineRule="auto"/>
        <w:ind w:left="7371"/>
        <w:jc w:val="left"/>
        <w:rPr>
          <w:sz w:val="24"/>
          <w:rtl/>
        </w:rPr>
      </w:pPr>
    </w:p>
    <w:p w:rsidR="00C3464B" w:rsidRDefault="00C3464B" w:rsidP="00C3464B">
      <w:pPr>
        <w:tabs>
          <w:tab w:val="left" w:pos="3486"/>
          <w:tab w:val="left" w:pos="5896"/>
        </w:tabs>
        <w:spacing w:line="360" w:lineRule="auto"/>
        <w:jc w:val="left"/>
        <w:rPr>
          <w:sz w:val="24"/>
          <w:rtl/>
        </w:rPr>
      </w:pPr>
    </w:p>
    <w:p w:rsidR="00C3464B" w:rsidRDefault="00C3464B" w:rsidP="00D209DB">
      <w:pPr>
        <w:spacing w:line="360" w:lineRule="auto"/>
        <w:ind w:left="651" w:hanging="651"/>
        <w:jc w:val="center"/>
        <w:rPr>
          <w:b/>
          <w:bCs/>
          <w:sz w:val="24"/>
          <w:u w:val="single"/>
          <w:rtl/>
        </w:rPr>
      </w:pPr>
      <w:r>
        <w:rPr>
          <w:sz w:val="24"/>
          <w:rtl/>
        </w:rPr>
        <w:t>הנדון:</w:t>
      </w:r>
      <w:r w:rsidRPr="002960DC">
        <w:rPr>
          <w:b/>
          <w:bCs/>
          <w:sz w:val="24"/>
          <w:u w:val="single"/>
          <w:rtl/>
        </w:rPr>
        <w:tab/>
      </w:r>
      <w:bookmarkStart w:id="2" w:name="About"/>
      <w:bookmarkEnd w:id="2"/>
      <w:r w:rsidR="00D209DB">
        <w:rPr>
          <w:rFonts w:hint="eastAsia"/>
          <w:b/>
          <w:bCs/>
          <w:sz w:val="24"/>
          <w:u w:val="single"/>
          <w:rtl/>
        </w:rPr>
        <w:t>תוצאות</w:t>
      </w:r>
      <w:r w:rsidR="00D209DB">
        <w:rPr>
          <w:b/>
          <w:bCs/>
          <w:sz w:val="24"/>
          <w:u w:val="single"/>
          <w:rtl/>
        </w:rPr>
        <w:t xml:space="preserve"> </w:t>
      </w:r>
      <w:r w:rsidR="00D209DB">
        <w:rPr>
          <w:rFonts w:hint="eastAsia"/>
          <w:b/>
          <w:bCs/>
          <w:sz w:val="24"/>
          <w:u w:val="single"/>
          <w:rtl/>
        </w:rPr>
        <w:t>ההליך</w:t>
      </w:r>
      <w:r w:rsidR="00D209DB">
        <w:rPr>
          <w:b/>
          <w:bCs/>
          <w:sz w:val="24"/>
          <w:u w:val="single"/>
          <w:rtl/>
        </w:rPr>
        <w:t xml:space="preserve"> </w:t>
      </w:r>
      <w:r w:rsidR="00D209DB">
        <w:rPr>
          <w:rFonts w:hint="eastAsia"/>
          <w:b/>
          <w:bCs/>
          <w:sz w:val="24"/>
          <w:u w:val="single"/>
          <w:rtl/>
        </w:rPr>
        <w:t>השלישי</w:t>
      </w:r>
      <w:r w:rsidR="00D209DB">
        <w:rPr>
          <w:b/>
          <w:bCs/>
          <w:sz w:val="24"/>
          <w:u w:val="single"/>
          <w:rtl/>
        </w:rPr>
        <w:t xml:space="preserve"> </w:t>
      </w:r>
      <w:r w:rsidR="00D209DB">
        <w:rPr>
          <w:rFonts w:hint="eastAsia"/>
          <w:b/>
          <w:bCs/>
          <w:sz w:val="24"/>
          <w:u w:val="single"/>
          <w:rtl/>
        </w:rPr>
        <w:t>לקביעת</w:t>
      </w:r>
      <w:r w:rsidR="00D209DB">
        <w:rPr>
          <w:b/>
          <w:bCs/>
          <w:sz w:val="24"/>
          <w:u w:val="single"/>
          <w:rtl/>
        </w:rPr>
        <w:t xml:space="preserve"> </w:t>
      </w:r>
      <w:r w:rsidR="003E6CFF">
        <w:rPr>
          <w:rFonts w:hint="eastAsia"/>
          <w:b/>
          <w:bCs/>
          <w:sz w:val="24"/>
          <w:u w:val="single"/>
          <w:rtl/>
        </w:rPr>
        <w:t>קר</w:t>
      </w:r>
      <w:r w:rsidR="003E6CFF">
        <w:rPr>
          <w:rFonts w:hint="cs"/>
          <w:b/>
          <w:bCs/>
          <w:sz w:val="24"/>
          <w:u w:val="single"/>
          <w:rtl/>
        </w:rPr>
        <w:t xml:space="preserve">נות פנסיה </w:t>
      </w:r>
      <w:r w:rsidR="00D209DB">
        <w:rPr>
          <w:rFonts w:hint="eastAsia"/>
          <w:b/>
          <w:bCs/>
          <w:sz w:val="24"/>
          <w:u w:val="single"/>
          <w:rtl/>
        </w:rPr>
        <w:t>נבחר</w:t>
      </w:r>
      <w:r w:rsidR="003E6CFF">
        <w:rPr>
          <w:rFonts w:hint="cs"/>
          <w:b/>
          <w:bCs/>
          <w:sz w:val="24"/>
          <w:u w:val="single"/>
          <w:rtl/>
        </w:rPr>
        <w:t>ו</w:t>
      </w:r>
      <w:bookmarkStart w:id="3" w:name="_GoBack"/>
      <w:bookmarkEnd w:id="3"/>
      <w:r w:rsidR="00D209DB">
        <w:rPr>
          <w:rFonts w:hint="eastAsia"/>
          <w:b/>
          <w:bCs/>
          <w:sz w:val="24"/>
          <w:u w:val="single"/>
          <w:rtl/>
        </w:rPr>
        <w:t>ת</w:t>
      </w:r>
    </w:p>
    <w:p w:rsidR="00006E49" w:rsidRDefault="00006E49" w:rsidP="00006E49">
      <w:pPr>
        <w:spacing w:line="360" w:lineRule="auto"/>
        <w:ind w:left="33"/>
        <w:rPr>
          <w:sz w:val="24"/>
          <w:rtl/>
        </w:rPr>
      </w:pPr>
    </w:p>
    <w:p w:rsidR="007768ED" w:rsidRPr="009820B7" w:rsidRDefault="007768ED" w:rsidP="00C9542C">
      <w:pPr>
        <w:spacing w:line="360" w:lineRule="auto"/>
        <w:ind w:left="33"/>
        <w:rPr>
          <w:sz w:val="24"/>
          <w:rtl/>
        </w:rPr>
      </w:pPr>
      <w:r w:rsidRPr="005F11E7">
        <w:rPr>
          <w:rFonts w:hint="cs"/>
          <w:sz w:val="24"/>
          <w:rtl/>
        </w:rPr>
        <w:t>בהתאם ל</w:t>
      </w:r>
      <w:r>
        <w:rPr>
          <w:rFonts w:hint="cs"/>
          <w:sz w:val="24"/>
          <w:rtl/>
        </w:rPr>
        <w:t xml:space="preserve">הוראות </w:t>
      </w:r>
      <w:r>
        <w:rPr>
          <w:rFonts w:hint="cs"/>
          <w:rtl/>
        </w:rPr>
        <w:t xml:space="preserve">חוזר </w:t>
      </w:r>
      <w:r w:rsidRPr="009820B7">
        <w:rPr>
          <w:rFonts w:hint="cs"/>
          <w:rtl/>
        </w:rPr>
        <w:t xml:space="preserve">גופים מוסדיים 2021-9-11 </w:t>
      </w:r>
      <w:r w:rsidRPr="009820B7">
        <w:rPr>
          <w:rFonts w:hint="cs"/>
          <w:sz w:val="24"/>
          <w:rtl/>
        </w:rPr>
        <w:t xml:space="preserve">שעניינו הוראות לעניין בחירת קופת גמל (להלן - </w:t>
      </w:r>
      <w:r w:rsidRPr="009820B7">
        <w:rPr>
          <w:rFonts w:hint="cs"/>
          <w:b/>
          <w:bCs/>
          <w:sz w:val="24"/>
          <w:rtl/>
        </w:rPr>
        <w:t>החוזר</w:t>
      </w:r>
      <w:r w:rsidRPr="009820B7">
        <w:rPr>
          <w:rFonts w:hint="cs"/>
          <w:sz w:val="24"/>
          <w:rtl/>
        </w:rPr>
        <w:t xml:space="preserve">), הוגשו הצעות של מספר חברות בהליך קביעת קרנות פנסיה נבחרות. לאחר בחינת ההצעות, נמצא כי הצעותיהן של חברת </w:t>
      </w:r>
      <w:proofErr w:type="spellStart"/>
      <w:r w:rsidRPr="009820B7">
        <w:rPr>
          <w:rFonts w:hint="cs"/>
          <w:b/>
          <w:bCs/>
          <w:sz w:val="24"/>
          <w:rtl/>
        </w:rPr>
        <w:t>אלטשולר</w:t>
      </w:r>
      <w:proofErr w:type="spellEnd"/>
      <w:r w:rsidRPr="009820B7">
        <w:rPr>
          <w:rFonts w:hint="cs"/>
          <w:b/>
          <w:bCs/>
          <w:sz w:val="24"/>
          <w:rtl/>
        </w:rPr>
        <w:t xml:space="preserve"> שחם גמל ופנסיה בע"מ,</w:t>
      </w:r>
      <w:r w:rsidR="003577DD" w:rsidRPr="009820B7">
        <w:rPr>
          <w:rFonts w:hint="cs"/>
          <w:sz w:val="24"/>
          <w:rtl/>
        </w:rPr>
        <w:t xml:space="preserve"> </w:t>
      </w:r>
      <w:r w:rsidRPr="009820B7">
        <w:rPr>
          <w:rFonts w:hint="cs"/>
          <w:sz w:val="24"/>
          <w:rtl/>
        </w:rPr>
        <w:t xml:space="preserve">של </w:t>
      </w:r>
      <w:r w:rsidRPr="009820B7">
        <w:rPr>
          <w:rFonts w:hint="cs"/>
          <w:b/>
          <w:bCs/>
          <w:sz w:val="24"/>
          <w:rtl/>
        </w:rPr>
        <w:t>מיטב דש גמל ופנסיה בע"מ,</w:t>
      </w:r>
      <w:r w:rsidRPr="009820B7">
        <w:rPr>
          <w:rFonts w:hint="cs"/>
          <w:sz w:val="24"/>
          <w:rtl/>
        </w:rPr>
        <w:t xml:space="preserve"> </w:t>
      </w:r>
      <w:r w:rsidR="003577DD" w:rsidRPr="009820B7">
        <w:rPr>
          <w:rFonts w:hint="cs"/>
          <w:sz w:val="24"/>
          <w:rtl/>
        </w:rPr>
        <w:t xml:space="preserve">של חברת </w:t>
      </w:r>
      <w:proofErr w:type="spellStart"/>
      <w:r w:rsidR="003577DD" w:rsidRPr="009820B7">
        <w:rPr>
          <w:b/>
          <w:bCs/>
          <w:sz w:val="24"/>
          <w:rtl/>
        </w:rPr>
        <w:t>אינפיניטי</w:t>
      </w:r>
      <w:proofErr w:type="spellEnd"/>
      <w:r w:rsidR="003577DD" w:rsidRPr="009820B7">
        <w:rPr>
          <w:b/>
          <w:bCs/>
          <w:sz w:val="24"/>
          <w:rtl/>
        </w:rPr>
        <w:t xml:space="preserve"> ניהול השתלמות וגמל בע"מ</w:t>
      </w:r>
      <w:r w:rsidR="003577DD" w:rsidRPr="009820B7">
        <w:rPr>
          <w:rFonts w:hint="cs"/>
          <w:b/>
          <w:bCs/>
          <w:sz w:val="24"/>
          <w:rtl/>
        </w:rPr>
        <w:t xml:space="preserve"> </w:t>
      </w:r>
      <w:r w:rsidR="003577DD" w:rsidRPr="009820B7">
        <w:rPr>
          <w:rFonts w:hint="cs"/>
          <w:sz w:val="24"/>
          <w:rtl/>
        </w:rPr>
        <w:t xml:space="preserve">ושל חברת </w:t>
      </w:r>
      <w:r w:rsidR="003577DD" w:rsidRPr="009820B7">
        <w:rPr>
          <w:rFonts w:hint="cs"/>
          <w:b/>
          <w:bCs/>
          <w:sz w:val="24"/>
          <w:rtl/>
        </w:rPr>
        <w:t>מור קופות גמל בע"מ</w:t>
      </w:r>
      <w:r w:rsidR="003577DD" w:rsidRPr="009820B7">
        <w:rPr>
          <w:rFonts w:hint="cs"/>
          <w:sz w:val="24"/>
          <w:rtl/>
        </w:rPr>
        <w:t xml:space="preserve"> </w:t>
      </w:r>
      <w:r w:rsidRPr="009820B7">
        <w:rPr>
          <w:rFonts w:hint="cs"/>
          <w:sz w:val="24"/>
          <w:rtl/>
        </w:rPr>
        <w:t xml:space="preserve">(להלן - </w:t>
      </w:r>
      <w:r w:rsidRPr="009820B7">
        <w:rPr>
          <w:rFonts w:hint="eastAsia"/>
          <w:b/>
          <w:bCs/>
          <w:sz w:val="24"/>
          <w:rtl/>
        </w:rPr>
        <w:t>חברה</w:t>
      </w:r>
      <w:r w:rsidRPr="009820B7">
        <w:rPr>
          <w:b/>
          <w:bCs/>
          <w:sz w:val="24"/>
          <w:rtl/>
        </w:rPr>
        <w:t xml:space="preserve"> </w:t>
      </w:r>
      <w:r w:rsidRPr="009820B7">
        <w:rPr>
          <w:rFonts w:hint="eastAsia"/>
          <w:b/>
          <w:bCs/>
          <w:sz w:val="24"/>
          <w:rtl/>
        </w:rPr>
        <w:t>מנהלת</w:t>
      </w:r>
      <w:r w:rsidRPr="009820B7">
        <w:rPr>
          <w:b/>
          <w:bCs/>
          <w:sz w:val="24"/>
          <w:rtl/>
        </w:rPr>
        <w:t xml:space="preserve"> </w:t>
      </w:r>
      <w:r w:rsidRPr="009820B7">
        <w:rPr>
          <w:rFonts w:hint="eastAsia"/>
          <w:b/>
          <w:bCs/>
          <w:sz w:val="24"/>
          <w:rtl/>
        </w:rPr>
        <w:t>של</w:t>
      </w:r>
      <w:r w:rsidRPr="009820B7">
        <w:rPr>
          <w:b/>
          <w:bCs/>
          <w:sz w:val="24"/>
          <w:rtl/>
        </w:rPr>
        <w:t xml:space="preserve"> </w:t>
      </w:r>
      <w:r w:rsidRPr="009820B7">
        <w:rPr>
          <w:rFonts w:hint="eastAsia"/>
          <w:b/>
          <w:bCs/>
          <w:sz w:val="24"/>
          <w:rtl/>
        </w:rPr>
        <w:t>קרן</w:t>
      </w:r>
      <w:r w:rsidRPr="009820B7">
        <w:rPr>
          <w:b/>
          <w:bCs/>
          <w:sz w:val="24"/>
          <w:rtl/>
        </w:rPr>
        <w:t xml:space="preserve"> </w:t>
      </w:r>
      <w:r w:rsidRPr="009820B7">
        <w:rPr>
          <w:rFonts w:hint="eastAsia"/>
          <w:b/>
          <w:bCs/>
          <w:sz w:val="24"/>
          <w:rtl/>
        </w:rPr>
        <w:t>נבחרת</w:t>
      </w:r>
      <w:r w:rsidRPr="009820B7">
        <w:rPr>
          <w:rFonts w:hint="cs"/>
          <w:sz w:val="24"/>
          <w:rtl/>
        </w:rPr>
        <w:t xml:space="preserve">) דורגו בארבעת המקומות הראשונים. </w:t>
      </w:r>
    </w:p>
    <w:p w:rsidR="007768ED" w:rsidRPr="009820B7" w:rsidRDefault="007768ED" w:rsidP="007768ED">
      <w:pPr>
        <w:spacing w:line="360" w:lineRule="auto"/>
        <w:ind w:left="33"/>
        <w:rPr>
          <w:sz w:val="24"/>
          <w:rtl/>
        </w:rPr>
      </w:pPr>
    </w:p>
    <w:p w:rsidR="00850D03" w:rsidRPr="009820B7" w:rsidRDefault="007768ED" w:rsidP="003577DD">
      <w:pPr>
        <w:spacing w:line="360" w:lineRule="auto"/>
        <w:ind w:left="33"/>
        <w:rPr>
          <w:sz w:val="24"/>
          <w:rtl/>
        </w:rPr>
      </w:pPr>
      <w:r w:rsidRPr="009820B7">
        <w:rPr>
          <w:rFonts w:hint="cs"/>
          <w:sz w:val="24"/>
          <w:rtl/>
        </w:rPr>
        <w:t>בהתאם לכך, קרן הפנסיה "</w:t>
      </w:r>
      <w:proofErr w:type="spellStart"/>
      <w:r w:rsidRPr="009820B7">
        <w:rPr>
          <w:rFonts w:hint="cs"/>
          <w:sz w:val="24"/>
          <w:rtl/>
        </w:rPr>
        <w:t>אלטשולר</w:t>
      </w:r>
      <w:proofErr w:type="spellEnd"/>
      <w:r w:rsidRPr="009820B7">
        <w:rPr>
          <w:rFonts w:hint="cs"/>
          <w:sz w:val="24"/>
          <w:rtl/>
        </w:rPr>
        <w:t xml:space="preserve"> שחם פנסיה מקיפה" וקרן הפנסיה "איילון מיטב פנסיה מקיפה", ייקבעו כקרנות נבחרות החל מיום 1 בנובמבר 20</w:t>
      </w:r>
      <w:r w:rsidR="009B4BF1" w:rsidRPr="009820B7">
        <w:rPr>
          <w:rFonts w:hint="cs"/>
          <w:sz w:val="24"/>
          <w:rtl/>
        </w:rPr>
        <w:t>21</w:t>
      </w:r>
      <w:r w:rsidRPr="009820B7">
        <w:rPr>
          <w:rFonts w:hint="cs"/>
          <w:sz w:val="24"/>
          <w:rtl/>
        </w:rPr>
        <w:t xml:space="preserve"> ועד ליום 31 באוקטובר 202</w:t>
      </w:r>
      <w:r w:rsidR="009B4BF1" w:rsidRPr="009820B7">
        <w:rPr>
          <w:rFonts w:hint="cs"/>
          <w:sz w:val="24"/>
          <w:rtl/>
        </w:rPr>
        <w:t>4</w:t>
      </w:r>
      <w:r w:rsidRPr="009820B7">
        <w:rPr>
          <w:rFonts w:hint="cs"/>
          <w:sz w:val="24"/>
          <w:rtl/>
        </w:rPr>
        <w:t xml:space="preserve">. </w:t>
      </w:r>
    </w:p>
    <w:p w:rsidR="007768ED" w:rsidRPr="005F11E7" w:rsidRDefault="007768ED" w:rsidP="003577DD">
      <w:pPr>
        <w:spacing w:line="360" w:lineRule="auto"/>
        <w:ind w:left="33"/>
        <w:rPr>
          <w:sz w:val="24"/>
          <w:rtl/>
        </w:rPr>
      </w:pPr>
      <w:r w:rsidRPr="009820B7">
        <w:rPr>
          <w:rFonts w:hint="cs"/>
          <w:sz w:val="24"/>
          <w:rtl/>
        </w:rPr>
        <w:t xml:space="preserve">כמו-כן, קרן הפנסיה שתוקם על ידי </w:t>
      </w:r>
      <w:r w:rsidR="00B7104C" w:rsidRPr="009820B7">
        <w:rPr>
          <w:rFonts w:hint="cs"/>
          <w:sz w:val="24"/>
          <w:rtl/>
        </w:rPr>
        <w:t xml:space="preserve">חברת </w:t>
      </w:r>
      <w:proofErr w:type="spellStart"/>
      <w:r w:rsidR="00B7104C" w:rsidRPr="009820B7">
        <w:rPr>
          <w:sz w:val="24"/>
          <w:rtl/>
        </w:rPr>
        <w:t>אינפיניטי</w:t>
      </w:r>
      <w:proofErr w:type="spellEnd"/>
      <w:r w:rsidR="00B7104C" w:rsidRPr="009820B7">
        <w:rPr>
          <w:sz w:val="24"/>
          <w:rtl/>
        </w:rPr>
        <w:t xml:space="preserve"> ניהול השתלמות וגמל בע"מ</w:t>
      </w:r>
      <w:r w:rsidR="00B7104C" w:rsidRPr="009820B7">
        <w:rPr>
          <w:rFonts w:hint="cs"/>
          <w:sz w:val="24"/>
          <w:rtl/>
        </w:rPr>
        <w:t xml:space="preserve"> </w:t>
      </w:r>
      <w:r w:rsidRPr="009820B7">
        <w:rPr>
          <w:rFonts w:hint="cs"/>
          <w:sz w:val="24"/>
          <w:rtl/>
        </w:rPr>
        <w:t xml:space="preserve">וקרן הפנסיה שתוקם על ידי </w:t>
      </w:r>
      <w:r w:rsidR="00B7104C" w:rsidRPr="009820B7">
        <w:rPr>
          <w:rFonts w:hint="cs"/>
          <w:sz w:val="24"/>
          <w:rtl/>
        </w:rPr>
        <w:t xml:space="preserve">חברת </w:t>
      </w:r>
      <w:r w:rsidRPr="009820B7">
        <w:rPr>
          <w:rFonts w:hint="cs"/>
          <w:sz w:val="24"/>
          <w:rtl/>
        </w:rPr>
        <w:t xml:space="preserve">מור קופות גמל בע"מ (להלן - </w:t>
      </w:r>
      <w:r w:rsidRPr="009820B7">
        <w:rPr>
          <w:rFonts w:hint="cs"/>
          <w:b/>
          <w:bCs/>
          <w:sz w:val="24"/>
          <w:rtl/>
        </w:rPr>
        <w:t>קרנות</w:t>
      </w:r>
      <w:r w:rsidRPr="00F2114E">
        <w:rPr>
          <w:rFonts w:hint="cs"/>
          <w:b/>
          <w:bCs/>
          <w:sz w:val="24"/>
          <w:rtl/>
        </w:rPr>
        <w:t xml:space="preserve"> הפנסיה החדשות</w:t>
      </w:r>
      <w:r>
        <w:rPr>
          <w:rFonts w:hint="cs"/>
          <w:sz w:val="24"/>
          <w:rtl/>
        </w:rPr>
        <w:t xml:space="preserve">) ייקבעו כקרנות נבחרות החל ממועד הקמתן ועד ליום 31 באוקטובר 2024. הודעה על הקמת כל אחת מקרנות הפנסיה החדשות כאמור תצא בהמשך בנפרד </w:t>
      </w:r>
      <w:r w:rsidR="003577DD">
        <w:rPr>
          <w:rFonts w:hint="cs"/>
          <w:sz w:val="24"/>
          <w:rtl/>
        </w:rPr>
        <w:t>בכפוף ל</w:t>
      </w:r>
      <w:r>
        <w:rPr>
          <w:rFonts w:hint="cs"/>
          <w:sz w:val="24"/>
          <w:rtl/>
        </w:rPr>
        <w:t>השלמת הליך הרישוי הנדרש</w:t>
      </w:r>
      <w:r w:rsidR="003577DD">
        <w:rPr>
          <w:rFonts w:hint="cs"/>
          <w:sz w:val="24"/>
          <w:rtl/>
        </w:rPr>
        <w:t xml:space="preserve"> על פי הוראות הדין, על ידי כל אחת מהן</w:t>
      </w:r>
      <w:r>
        <w:rPr>
          <w:rFonts w:hint="cs"/>
          <w:sz w:val="24"/>
          <w:rtl/>
        </w:rPr>
        <w:t xml:space="preserve">. </w:t>
      </w:r>
    </w:p>
    <w:p w:rsidR="007768ED" w:rsidRDefault="007768ED" w:rsidP="007768ED">
      <w:pPr>
        <w:spacing w:line="360" w:lineRule="auto"/>
        <w:rPr>
          <w:rtl/>
        </w:rPr>
      </w:pPr>
    </w:p>
    <w:p w:rsidR="007768ED" w:rsidRDefault="007768ED" w:rsidP="007768ED">
      <w:pPr>
        <w:spacing w:line="360" w:lineRule="auto"/>
        <w:rPr>
          <w:rtl/>
        </w:rPr>
      </w:pPr>
      <w:r w:rsidRPr="004A437F">
        <w:rPr>
          <w:rFonts w:hint="cs"/>
          <w:sz w:val="24"/>
          <w:rtl/>
        </w:rPr>
        <w:t xml:space="preserve">בהתאם לקבוע בחוזר, </w:t>
      </w:r>
      <w:r w:rsidR="00850D03">
        <w:rPr>
          <w:rFonts w:hint="cs"/>
          <w:sz w:val="24"/>
          <w:rtl/>
        </w:rPr>
        <w:t>במהלך התקופות האמורות</w:t>
      </w:r>
      <w:r>
        <w:rPr>
          <w:rFonts w:hint="cs"/>
          <w:sz w:val="24"/>
          <w:rtl/>
        </w:rPr>
        <w:t xml:space="preserve">, </w:t>
      </w:r>
      <w:r w:rsidRPr="004A437F">
        <w:rPr>
          <w:rFonts w:hint="cs"/>
          <w:sz w:val="24"/>
          <w:rtl/>
        </w:rPr>
        <w:t xml:space="preserve">מעסיק שעובדו לא בחר </w:t>
      </w:r>
      <w:r>
        <w:rPr>
          <w:rFonts w:hint="cs"/>
          <w:sz w:val="24"/>
          <w:rtl/>
        </w:rPr>
        <w:t>ב</w:t>
      </w:r>
      <w:r w:rsidRPr="004A437F">
        <w:rPr>
          <w:rFonts w:hint="cs"/>
          <w:sz w:val="24"/>
          <w:rtl/>
        </w:rPr>
        <w:t>קופת גמל</w:t>
      </w:r>
      <w:r>
        <w:rPr>
          <w:rFonts w:hint="cs"/>
          <w:sz w:val="24"/>
          <w:rtl/>
        </w:rPr>
        <w:t>,</w:t>
      </w:r>
      <w:r w:rsidRPr="004A437F">
        <w:rPr>
          <w:rFonts w:hint="cs"/>
          <w:sz w:val="24"/>
          <w:rtl/>
        </w:rPr>
        <w:t xml:space="preserve"> לפי סעיף 20 ל</w:t>
      </w:r>
      <w:r w:rsidRPr="004A437F">
        <w:rPr>
          <w:sz w:val="24"/>
          <w:rtl/>
        </w:rPr>
        <w:t>חוק הפיקוח על שירותים פיננסיים (קופות גמל), תשס"ה-2005</w:t>
      </w:r>
      <w:r w:rsidRPr="004A437F">
        <w:rPr>
          <w:rFonts w:hint="cs"/>
          <w:sz w:val="24"/>
          <w:rtl/>
        </w:rPr>
        <w:t xml:space="preserve">, </w:t>
      </w:r>
      <w:r>
        <w:rPr>
          <w:rFonts w:hint="cs"/>
          <w:sz w:val="24"/>
          <w:rtl/>
        </w:rPr>
        <w:t xml:space="preserve">והוא לא ערך הליך תחרותי לבחירת קופת ברירת מחדל, יהיה חייב </w:t>
      </w:r>
      <w:r w:rsidRPr="004A437F">
        <w:rPr>
          <w:rFonts w:hint="cs"/>
          <w:sz w:val="24"/>
          <w:rtl/>
        </w:rPr>
        <w:t xml:space="preserve">להפקיד בשלו </w:t>
      </w:r>
      <w:r w:rsidR="00112069">
        <w:rPr>
          <w:rFonts w:hint="cs"/>
          <w:sz w:val="24"/>
          <w:rtl/>
        </w:rPr>
        <w:t>כספים לאחת מקרנות הפנסיה הנבחרות הקיימות באותו המועד</w:t>
      </w:r>
      <w:r>
        <w:rPr>
          <w:rFonts w:hint="cs"/>
          <w:sz w:val="24"/>
          <w:rtl/>
        </w:rPr>
        <w:t xml:space="preserve">, בשיעורי דמי ניהול אלה: </w:t>
      </w:r>
    </w:p>
    <w:p w:rsidR="007768ED" w:rsidRDefault="007768ED" w:rsidP="007768ED">
      <w:pPr>
        <w:spacing w:line="360" w:lineRule="auto"/>
        <w:rPr>
          <w:rtl/>
        </w:rPr>
      </w:pPr>
    </w:p>
    <w:p w:rsidR="007768ED" w:rsidRPr="005F11E7" w:rsidRDefault="007768ED" w:rsidP="00B7104C">
      <w:pPr>
        <w:spacing w:line="360" w:lineRule="auto"/>
        <w:rPr>
          <w:sz w:val="24"/>
          <w:rtl/>
        </w:rPr>
      </w:pPr>
      <w:r w:rsidRPr="005F11E7">
        <w:rPr>
          <w:sz w:val="24"/>
          <w:rtl/>
        </w:rPr>
        <w:t xml:space="preserve">שיעורי דמי </w:t>
      </w:r>
      <w:r w:rsidRPr="005F11E7">
        <w:rPr>
          <w:rFonts w:hint="cs"/>
          <w:sz w:val="24"/>
          <w:rtl/>
        </w:rPr>
        <w:t>ה</w:t>
      </w:r>
      <w:r w:rsidRPr="005F11E7">
        <w:rPr>
          <w:sz w:val="24"/>
          <w:rtl/>
        </w:rPr>
        <w:t>ניהול, מ</w:t>
      </w:r>
      <w:r>
        <w:rPr>
          <w:rFonts w:hint="cs"/>
          <w:sz w:val="24"/>
          <w:rtl/>
        </w:rPr>
        <w:t>ה</w:t>
      </w:r>
      <w:r w:rsidRPr="005F11E7">
        <w:rPr>
          <w:sz w:val="24"/>
          <w:rtl/>
        </w:rPr>
        <w:t xml:space="preserve">יתרה </w:t>
      </w:r>
      <w:r>
        <w:rPr>
          <w:rFonts w:hint="cs"/>
          <w:sz w:val="24"/>
          <w:rtl/>
        </w:rPr>
        <w:t>ה</w:t>
      </w:r>
      <w:r w:rsidRPr="005F11E7">
        <w:rPr>
          <w:sz w:val="24"/>
          <w:rtl/>
        </w:rPr>
        <w:t>צבורה ומהפקדות, שתגבה</w:t>
      </w:r>
      <w:r w:rsidR="00112069">
        <w:rPr>
          <w:rFonts w:hint="cs"/>
          <w:sz w:val="24"/>
          <w:rtl/>
        </w:rPr>
        <w:t xml:space="preserve"> כל אחת</w:t>
      </w:r>
      <w:r w:rsidRPr="005F11E7">
        <w:rPr>
          <w:sz w:val="24"/>
          <w:rtl/>
        </w:rPr>
        <w:t xml:space="preserve"> </w:t>
      </w:r>
      <w:r w:rsidR="00112069">
        <w:rPr>
          <w:rFonts w:hint="cs"/>
          <w:sz w:val="24"/>
          <w:rtl/>
        </w:rPr>
        <w:t>מהחברות המנהלות של הקרנות הנבחרות</w:t>
      </w:r>
      <w:r w:rsidR="00B7104C">
        <w:rPr>
          <w:rFonts w:hint="cs"/>
          <w:sz w:val="24"/>
          <w:rtl/>
        </w:rPr>
        <w:t xml:space="preserve"> </w:t>
      </w:r>
      <w:r w:rsidRPr="005F11E7">
        <w:rPr>
          <w:rFonts w:hint="cs"/>
          <w:sz w:val="24"/>
          <w:rtl/>
        </w:rPr>
        <w:t>לא יעלו על:</w:t>
      </w:r>
    </w:p>
    <w:p w:rsidR="007768ED" w:rsidRPr="005F11E7" w:rsidRDefault="007768ED" w:rsidP="00112069">
      <w:pPr>
        <w:pStyle w:val="a7"/>
        <w:numPr>
          <w:ilvl w:val="0"/>
          <w:numId w:val="10"/>
        </w:numPr>
        <w:ind w:left="567"/>
      </w:pPr>
      <w:r w:rsidRPr="005F11E7">
        <w:rPr>
          <w:rFonts w:hint="cs"/>
          <w:rtl/>
        </w:rPr>
        <w:t>0.</w:t>
      </w:r>
      <w:r>
        <w:rPr>
          <w:rFonts w:hint="cs"/>
          <w:rtl/>
        </w:rPr>
        <w:t>22% מהיתרה הצבורה</w:t>
      </w:r>
      <w:r w:rsidRPr="005F11E7">
        <w:rPr>
          <w:rFonts w:hint="cs"/>
          <w:rtl/>
        </w:rPr>
        <w:t>.</w:t>
      </w:r>
    </w:p>
    <w:p w:rsidR="007768ED" w:rsidRPr="005F11E7" w:rsidRDefault="007768ED" w:rsidP="00112069">
      <w:pPr>
        <w:pStyle w:val="a7"/>
        <w:numPr>
          <w:ilvl w:val="0"/>
          <w:numId w:val="10"/>
        </w:numPr>
        <w:ind w:left="567"/>
        <w:rPr>
          <w:rtl/>
        </w:rPr>
      </w:pPr>
      <w:r>
        <w:rPr>
          <w:rFonts w:hint="cs"/>
          <w:rtl/>
        </w:rPr>
        <w:t>1</w:t>
      </w:r>
      <w:r w:rsidRPr="005F11E7">
        <w:rPr>
          <w:rFonts w:hint="cs"/>
          <w:rtl/>
        </w:rPr>
        <w:t>% מההפקדות.</w:t>
      </w:r>
    </w:p>
    <w:p w:rsidR="00112069" w:rsidRDefault="00112069" w:rsidP="007768ED">
      <w:pPr>
        <w:spacing w:line="360" w:lineRule="auto"/>
        <w:rPr>
          <w:sz w:val="24"/>
          <w:rtl/>
        </w:rPr>
      </w:pPr>
    </w:p>
    <w:p w:rsidR="007768ED" w:rsidRPr="00CB27EA" w:rsidRDefault="00850D03" w:rsidP="007768ED">
      <w:pPr>
        <w:spacing w:line="360" w:lineRule="auto"/>
      </w:pPr>
      <w:r>
        <w:rPr>
          <w:rFonts w:hint="cs"/>
          <w:sz w:val="24"/>
          <w:rtl/>
        </w:rPr>
        <w:t>כמו כן, במהלך התקופות האמורות</w:t>
      </w:r>
      <w:r w:rsidR="007768ED">
        <w:rPr>
          <w:rFonts w:hint="cs"/>
          <w:sz w:val="24"/>
          <w:rtl/>
        </w:rPr>
        <w:t xml:space="preserve">, </w:t>
      </w:r>
      <w:r w:rsidR="007768ED">
        <w:rPr>
          <w:rFonts w:hint="cs"/>
          <w:rtl/>
        </w:rPr>
        <w:t xml:space="preserve">דמי הניהול שישלם כל עמית שיצטרף אל קרנות אלה, למעט עמיתים </w:t>
      </w:r>
      <w:r w:rsidR="007768ED" w:rsidRPr="001E0D4B">
        <w:rPr>
          <w:rFonts w:hint="cs"/>
          <w:rtl/>
        </w:rPr>
        <w:t xml:space="preserve">שיצורפו </w:t>
      </w:r>
      <w:r w:rsidR="007768ED" w:rsidRPr="003E6408">
        <w:rPr>
          <w:rFonts w:hint="cs"/>
          <w:rtl/>
        </w:rPr>
        <w:t>אליה</w:t>
      </w:r>
      <w:r w:rsidR="007768ED" w:rsidRPr="003E6408">
        <w:rPr>
          <w:rtl/>
        </w:rPr>
        <w:t xml:space="preserve"> </w:t>
      </w:r>
      <w:r w:rsidR="007768ED" w:rsidRPr="003E6408">
        <w:rPr>
          <w:rFonts w:hint="cs"/>
          <w:rtl/>
        </w:rPr>
        <w:t>לפי</w:t>
      </w:r>
      <w:r w:rsidR="007768ED" w:rsidRPr="003E6408">
        <w:rPr>
          <w:rtl/>
        </w:rPr>
        <w:t xml:space="preserve"> </w:t>
      </w:r>
      <w:r w:rsidR="007768ED" w:rsidRPr="003E6408">
        <w:rPr>
          <w:rFonts w:hint="cs"/>
          <w:rtl/>
        </w:rPr>
        <w:t>הסכם</w:t>
      </w:r>
      <w:r w:rsidR="007768ED" w:rsidRPr="003E6408">
        <w:rPr>
          <w:rtl/>
        </w:rPr>
        <w:t xml:space="preserve"> </w:t>
      </w:r>
      <w:r w:rsidR="007768ED" w:rsidRPr="003E6408">
        <w:rPr>
          <w:rFonts w:hint="cs"/>
          <w:rtl/>
        </w:rPr>
        <w:t>קופת</w:t>
      </w:r>
      <w:r w:rsidR="007768ED" w:rsidRPr="003E6408">
        <w:rPr>
          <w:rtl/>
        </w:rPr>
        <w:t xml:space="preserve"> </w:t>
      </w:r>
      <w:r w:rsidR="007768ED" w:rsidRPr="003E6408">
        <w:rPr>
          <w:rFonts w:hint="cs"/>
          <w:rtl/>
        </w:rPr>
        <w:t>ברירת</w:t>
      </w:r>
      <w:r w:rsidR="007768ED" w:rsidRPr="003E6408">
        <w:rPr>
          <w:rtl/>
        </w:rPr>
        <w:t xml:space="preserve"> </w:t>
      </w:r>
      <w:r w:rsidR="007768ED" w:rsidRPr="003E6408">
        <w:rPr>
          <w:rFonts w:hint="cs"/>
          <w:rtl/>
        </w:rPr>
        <w:t>מחדל</w:t>
      </w:r>
      <w:r w:rsidR="007768ED" w:rsidRPr="003E6408">
        <w:rPr>
          <w:rtl/>
        </w:rPr>
        <w:t xml:space="preserve"> </w:t>
      </w:r>
      <w:r w:rsidR="007768ED" w:rsidRPr="003E6408">
        <w:rPr>
          <w:rFonts w:hint="cs"/>
          <w:rtl/>
        </w:rPr>
        <w:t>שנבחרה בהתאם להוראות סעיף</w:t>
      </w:r>
      <w:r w:rsidR="007768ED" w:rsidRPr="003E6408">
        <w:rPr>
          <w:rtl/>
        </w:rPr>
        <w:t xml:space="preserve"> 7 </w:t>
      </w:r>
      <w:r w:rsidR="007768ED" w:rsidRPr="003E6408">
        <w:rPr>
          <w:rFonts w:hint="cs"/>
          <w:rtl/>
        </w:rPr>
        <w:t>לחוזר</w:t>
      </w:r>
      <w:r w:rsidR="007768ED">
        <w:rPr>
          <w:rFonts w:hint="cs"/>
          <w:rtl/>
        </w:rPr>
        <w:t>,</w:t>
      </w:r>
      <w:r w:rsidR="007768ED" w:rsidRPr="00F81044">
        <w:rPr>
          <w:rFonts w:hint="cs"/>
          <w:rtl/>
        </w:rPr>
        <w:t xml:space="preserve"> </w:t>
      </w:r>
      <w:r w:rsidR="007768ED" w:rsidRPr="00F81044">
        <w:rPr>
          <w:rtl/>
        </w:rPr>
        <w:t>לא יעל</w:t>
      </w:r>
      <w:r w:rsidR="007768ED">
        <w:rPr>
          <w:rFonts w:hint="cs"/>
          <w:rtl/>
        </w:rPr>
        <w:t xml:space="preserve">ו </w:t>
      </w:r>
      <w:r w:rsidR="007768ED" w:rsidRPr="00F81044">
        <w:rPr>
          <w:rtl/>
        </w:rPr>
        <w:t>על</w:t>
      </w:r>
      <w:r w:rsidR="007768ED">
        <w:rPr>
          <w:rFonts w:hint="cs"/>
          <w:rtl/>
        </w:rPr>
        <w:t xml:space="preserve"> שיעורי דמי הניהול שפורטו לעיל.  </w:t>
      </w:r>
    </w:p>
    <w:p w:rsidR="007768ED" w:rsidRDefault="007768ED" w:rsidP="007768ED">
      <w:pPr>
        <w:spacing w:line="360" w:lineRule="auto"/>
        <w:rPr>
          <w:sz w:val="24"/>
          <w:rtl/>
        </w:rPr>
      </w:pPr>
    </w:p>
    <w:p w:rsidR="007768ED" w:rsidRPr="00A565C2" w:rsidRDefault="007768ED" w:rsidP="007768ED">
      <w:pPr>
        <w:spacing w:line="360" w:lineRule="auto"/>
        <w:rPr>
          <w:sz w:val="24"/>
          <w:rtl/>
        </w:rPr>
      </w:pPr>
      <w:r w:rsidRPr="00A565C2">
        <w:rPr>
          <w:rFonts w:hint="eastAsia"/>
          <w:sz w:val="24"/>
          <w:rtl/>
        </w:rPr>
        <w:t>שיעורי</w:t>
      </w:r>
      <w:r w:rsidRPr="00A565C2">
        <w:rPr>
          <w:sz w:val="24"/>
          <w:rtl/>
        </w:rPr>
        <w:t xml:space="preserve"> </w:t>
      </w:r>
      <w:r w:rsidRPr="00A565C2">
        <w:rPr>
          <w:rFonts w:hint="eastAsia"/>
          <w:sz w:val="24"/>
          <w:rtl/>
        </w:rPr>
        <w:t>דמי</w:t>
      </w:r>
      <w:r w:rsidRPr="00A565C2">
        <w:rPr>
          <w:sz w:val="24"/>
          <w:rtl/>
        </w:rPr>
        <w:t xml:space="preserve"> </w:t>
      </w:r>
      <w:r w:rsidRPr="00A565C2">
        <w:rPr>
          <w:rFonts w:hint="eastAsia"/>
          <w:sz w:val="24"/>
          <w:rtl/>
        </w:rPr>
        <w:t>הניהול</w:t>
      </w:r>
      <w:r w:rsidRPr="00A565C2">
        <w:rPr>
          <w:sz w:val="24"/>
          <w:rtl/>
        </w:rPr>
        <w:t xml:space="preserve"> </w:t>
      </w:r>
      <w:r w:rsidRPr="00A565C2">
        <w:rPr>
          <w:rFonts w:hint="eastAsia"/>
          <w:sz w:val="24"/>
          <w:rtl/>
        </w:rPr>
        <w:t>שתיגבה</w:t>
      </w:r>
      <w:r w:rsidRPr="00A565C2">
        <w:rPr>
          <w:sz w:val="24"/>
          <w:rtl/>
        </w:rPr>
        <w:t xml:space="preserve"> </w:t>
      </w:r>
      <w:r w:rsidRPr="00A565C2">
        <w:rPr>
          <w:rFonts w:hint="eastAsia"/>
          <w:sz w:val="24"/>
          <w:rtl/>
        </w:rPr>
        <w:t>חברה</w:t>
      </w:r>
      <w:r w:rsidRPr="00A565C2">
        <w:rPr>
          <w:sz w:val="24"/>
          <w:rtl/>
        </w:rPr>
        <w:t xml:space="preserve"> </w:t>
      </w:r>
      <w:r w:rsidRPr="00A565C2">
        <w:rPr>
          <w:rFonts w:hint="eastAsia"/>
          <w:sz w:val="24"/>
          <w:rtl/>
        </w:rPr>
        <w:t>מנהלת</w:t>
      </w:r>
      <w:r>
        <w:rPr>
          <w:sz w:val="24"/>
          <w:rtl/>
        </w:rPr>
        <w:t xml:space="preserve"> של קרן</w:t>
      </w:r>
      <w:r w:rsidRPr="00A565C2">
        <w:rPr>
          <w:sz w:val="24"/>
          <w:rtl/>
        </w:rPr>
        <w:t xml:space="preserve"> נבחרת מעמית חדש ש</w:t>
      </w:r>
      <w:r>
        <w:rPr>
          <w:rFonts w:hint="cs"/>
          <w:sz w:val="24"/>
          <w:rtl/>
        </w:rPr>
        <w:t xml:space="preserve">הצטרף אליה או </w:t>
      </w:r>
      <w:r w:rsidRPr="00A565C2">
        <w:rPr>
          <w:sz w:val="24"/>
          <w:rtl/>
        </w:rPr>
        <w:t>צורף אליה במהלך התקו</w:t>
      </w:r>
      <w:r>
        <w:rPr>
          <w:sz w:val="24"/>
          <w:rtl/>
        </w:rPr>
        <w:t xml:space="preserve">פה שבה היא נקבעה כקרן </w:t>
      </w:r>
      <w:r>
        <w:rPr>
          <w:rFonts w:hint="cs"/>
          <w:sz w:val="24"/>
          <w:rtl/>
        </w:rPr>
        <w:t>נבחרת</w:t>
      </w:r>
      <w:r w:rsidRPr="00A565C2">
        <w:rPr>
          <w:sz w:val="24"/>
          <w:rtl/>
        </w:rPr>
        <w:t>, יהיו בתוקף למשך 10 שנים לפחות ממועד הצטרפות</w:t>
      </w:r>
      <w:r w:rsidRPr="00A565C2">
        <w:rPr>
          <w:rFonts w:hint="eastAsia"/>
          <w:sz w:val="24"/>
          <w:rtl/>
        </w:rPr>
        <w:t>ו</w:t>
      </w:r>
      <w:r w:rsidRPr="00A565C2">
        <w:rPr>
          <w:sz w:val="24"/>
          <w:rtl/>
        </w:rPr>
        <w:t xml:space="preserve"> לק</w:t>
      </w:r>
      <w:r w:rsidRPr="00A565C2">
        <w:rPr>
          <w:rFonts w:hint="eastAsia"/>
          <w:sz w:val="24"/>
          <w:rtl/>
        </w:rPr>
        <w:t>רן</w:t>
      </w:r>
      <w:r>
        <w:rPr>
          <w:rFonts w:hint="cs"/>
          <w:sz w:val="24"/>
          <w:rtl/>
        </w:rPr>
        <w:t xml:space="preserve">, למעט עמית שצורף </w:t>
      </w:r>
      <w:r w:rsidRPr="003E6408">
        <w:rPr>
          <w:rFonts w:hint="cs"/>
          <w:rtl/>
        </w:rPr>
        <w:t>אליה</w:t>
      </w:r>
      <w:r w:rsidRPr="003E6408">
        <w:rPr>
          <w:rtl/>
        </w:rPr>
        <w:t xml:space="preserve"> </w:t>
      </w:r>
      <w:r w:rsidRPr="003E6408">
        <w:rPr>
          <w:rFonts w:hint="cs"/>
          <w:rtl/>
        </w:rPr>
        <w:t>לפי</w:t>
      </w:r>
      <w:r w:rsidRPr="003E6408">
        <w:rPr>
          <w:rtl/>
        </w:rPr>
        <w:t xml:space="preserve"> </w:t>
      </w:r>
      <w:r w:rsidRPr="003E6408">
        <w:rPr>
          <w:rFonts w:hint="cs"/>
          <w:rtl/>
        </w:rPr>
        <w:t>הסכם</w:t>
      </w:r>
      <w:r w:rsidRPr="003E6408">
        <w:rPr>
          <w:rtl/>
        </w:rPr>
        <w:t xml:space="preserve"> </w:t>
      </w:r>
      <w:r w:rsidRPr="003E6408">
        <w:rPr>
          <w:rFonts w:hint="cs"/>
          <w:rtl/>
        </w:rPr>
        <w:t>קופת</w:t>
      </w:r>
      <w:r w:rsidRPr="003E6408">
        <w:rPr>
          <w:rtl/>
        </w:rPr>
        <w:t xml:space="preserve"> </w:t>
      </w:r>
      <w:r w:rsidRPr="003E6408">
        <w:rPr>
          <w:rFonts w:hint="cs"/>
          <w:rtl/>
        </w:rPr>
        <w:t>ברירת</w:t>
      </w:r>
      <w:r w:rsidRPr="003E6408">
        <w:rPr>
          <w:rtl/>
        </w:rPr>
        <w:t xml:space="preserve"> </w:t>
      </w:r>
      <w:r w:rsidRPr="003E6408">
        <w:rPr>
          <w:rFonts w:hint="cs"/>
          <w:rtl/>
        </w:rPr>
        <w:t>מחדל</w:t>
      </w:r>
      <w:r w:rsidRPr="003E6408">
        <w:rPr>
          <w:rtl/>
        </w:rPr>
        <w:t xml:space="preserve"> </w:t>
      </w:r>
      <w:r w:rsidRPr="003E6408">
        <w:rPr>
          <w:rFonts w:hint="cs"/>
          <w:rtl/>
        </w:rPr>
        <w:t>שנבחרה בהתאם להוראות סעיף</w:t>
      </w:r>
      <w:r w:rsidRPr="003E6408">
        <w:rPr>
          <w:rtl/>
        </w:rPr>
        <w:t xml:space="preserve"> 7 </w:t>
      </w:r>
      <w:r w:rsidRPr="003E6408">
        <w:rPr>
          <w:rFonts w:hint="cs"/>
          <w:rtl/>
        </w:rPr>
        <w:t>לחוזר</w:t>
      </w:r>
      <w:r w:rsidRPr="00A565C2">
        <w:rPr>
          <w:sz w:val="24"/>
          <w:rtl/>
        </w:rPr>
        <w:t>.</w:t>
      </w:r>
    </w:p>
    <w:p w:rsidR="007768ED" w:rsidRDefault="007768ED" w:rsidP="007768ED">
      <w:pPr>
        <w:rPr>
          <w:rtl/>
        </w:rPr>
      </w:pPr>
    </w:p>
    <w:p w:rsidR="007768ED" w:rsidRPr="00117C27" w:rsidRDefault="007768ED" w:rsidP="007768ED">
      <w:pPr>
        <w:spacing w:line="360" w:lineRule="auto"/>
        <w:rPr>
          <w:sz w:val="24"/>
          <w:rtl/>
        </w:rPr>
      </w:pPr>
      <w:r w:rsidRPr="00117C27">
        <w:rPr>
          <w:rFonts w:hint="cs"/>
          <w:sz w:val="24"/>
          <w:rtl/>
        </w:rPr>
        <w:lastRenderedPageBreak/>
        <w:t>בנוסף, דמי הניהול שתגבה חברה מנהלת של קרן נבחרת בשל מקבלי קצבת זקנה חדשים, לרבות עמיתים קיימים בקרן</w:t>
      </w:r>
      <w:r w:rsidR="00D209DB">
        <w:rPr>
          <w:rFonts w:hint="cs"/>
          <w:sz w:val="24"/>
          <w:rtl/>
        </w:rPr>
        <w:t>,</w:t>
      </w:r>
      <w:r w:rsidRPr="00117C27">
        <w:rPr>
          <w:rFonts w:hint="cs"/>
          <w:sz w:val="24"/>
          <w:rtl/>
        </w:rPr>
        <w:t xml:space="preserve"> שיפרשו בקרן במהלך התקופה שבה היא נקבעה כקרן נבחרת, לא יעלו על שיעור של 0.3%</w:t>
      </w:r>
      <w:r>
        <w:rPr>
          <w:rFonts w:hint="cs"/>
          <w:sz w:val="24"/>
          <w:rtl/>
        </w:rPr>
        <w:t xml:space="preserve"> לכל אורך תקופת קבלת הקצבה</w:t>
      </w:r>
      <w:r w:rsidRPr="00117C27">
        <w:rPr>
          <w:rFonts w:hint="cs"/>
          <w:sz w:val="24"/>
          <w:rtl/>
        </w:rPr>
        <w:t xml:space="preserve">. </w:t>
      </w:r>
    </w:p>
    <w:p w:rsidR="007768ED" w:rsidRDefault="007768ED" w:rsidP="007768ED">
      <w:pPr>
        <w:rPr>
          <w:rtl/>
        </w:rPr>
      </w:pPr>
    </w:p>
    <w:p w:rsidR="007768ED" w:rsidRDefault="007768ED" w:rsidP="007768ED">
      <w:pPr>
        <w:rPr>
          <w:rtl/>
        </w:rPr>
      </w:pPr>
    </w:p>
    <w:p w:rsidR="007768ED" w:rsidRDefault="007768ED" w:rsidP="007768ED">
      <w:pPr>
        <w:rPr>
          <w:rtl/>
        </w:rPr>
      </w:pPr>
    </w:p>
    <w:p w:rsidR="007768ED" w:rsidRDefault="007768ED" w:rsidP="007768ED">
      <w:pPr>
        <w:rPr>
          <w:rtl/>
        </w:rPr>
      </w:pPr>
    </w:p>
    <w:p w:rsidR="007768ED" w:rsidRDefault="007768ED" w:rsidP="007768ED">
      <w:pPr>
        <w:rPr>
          <w:rtl/>
        </w:rPr>
      </w:pPr>
    </w:p>
    <w:p w:rsidR="007768ED" w:rsidRDefault="007768ED" w:rsidP="007768ED">
      <w:pPr>
        <w:spacing w:line="25" w:lineRule="atLeast"/>
        <w:rPr>
          <w:szCs w:val="20"/>
          <w:rtl/>
        </w:rPr>
      </w:pPr>
    </w:p>
    <w:p w:rsidR="007768ED" w:rsidRDefault="007768ED" w:rsidP="007768ED">
      <w:pPr>
        <w:spacing w:line="25" w:lineRule="atLeast"/>
        <w:rPr>
          <w:szCs w:val="20"/>
          <w:rtl/>
        </w:rPr>
      </w:pPr>
    </w:p>
    <w:p w:rsidR="007768ED" w:rsidRDefault="007768ED" w:rsidP="007768ED">
      <w:pPr>
        <w:spacing w:line="25" w:lineRule="atLeast"/>
        <w:rPr>
          <w:szCs w:val="20"/>
          <w:rtl/>
        </w:rPr>
      </w:pPr>
    </w:p>
    <w:p w:rsidR="007768ED" w:rsidRPr="0007311F" w:rsidRDefault="007768ED" w:rsidP="007768ED">
      <w:pPr>
        <w:spacing w:line="25" w:lineRule="atLeast"/>
        <w:rPr>
          <w:szCs w:val="20"/>
          <w:rtl/>
        </w:rPr>
      </w:pPr>
    </w:p>
    <w:p w:rsidR="00D7045A" w:rsidRDefault="00D7045A" w:rsidP="007768ED">
      <w:pPr>
        <w:spacing w:line="360" w:lineRule="auto"/>
        <w:ind w:left="33"/>
        <w:rPr>
          <w:szCs w:val="20"/>
          <w:rtl/>
        </w:rPr>
      </w:pPr>
    </w:p>
    <w:sectPr w:rsidR="00D7045A" w:rsidSect="00184BC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418" w:left="1134" w:header="142" w:footer="235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126" w:rsidRDefault="00C61126">
      <w:r>
        <w:separator/>
      </w:r>
    </w:p>
  </w:endnote>
  <w:endnote w:type="continuationSeparator" w:id="0">
    <w:p w:rsidR="00C61126" w:rsidRDefault="00C6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BCF" w:rsidRPr="00060494" w:rsidRDefault="00184BCF" w:rsidP="00184BCF">
    <w:pPr>
      <w:pStyle w:val="aa"/>
      <w:pBdr>
        <w:top w:val="single" w:sz="4" w:space="1" w:color="auto"/>
      </w:pBdr>
      <w:tabs>
        <w:tab w:val="center" w:pos="4780"/>
        <w:tab w:val="right" w:pos="9666"/>
      </w:tabs>
      <w:spacing w:line="480" w:lineRule="auto"/>
      <w:rPr>
        <w:rFonts w:cs="Times New Roman"/>
        <w:b w:val="0"/>
        <w:bCs w:val="0"/>
        <w:sz w:val="24"/>
        <w:u w:val="single"/>
        <w:rtl/>
      </w:rPr>
    </w:pPr>
    <w:r w:rsidRPr="00060494">
      <w:rPr>
        <w:rFonts w:hint="cs"/>
        <w:rtl/>
      </w:rPr>
      <w:t xml:space="preserve">רח' עם ועולמו 4 ירושלים </w:t>
    </w:r>
    <w:r w:rsidRPr="00060494">
      <w:rPr>
        <w:rtl/>
      </w:rPr>
      <w:t>9546304</w:t>
    </w:r>
    <w:r w:rsidRPr="00060494">
      <w:rPr>
        <w:rFonts w:hint="cs"/>
        <w:rtl/>
      </w:rPr>
      <w:t xml:space="preserve"> טל': 02-5317248 פקס': 02-5695342 </w:t>
    </w:r>
    <w:r w:rsidRPr="00060494">
      <w:rPr>
        <w:rtl/>
      </w:rPr>
      <w:br/>
    </w:r>
    <w:r>
      <w:rPr>
        <w:b w:val="0"/>
        <w:bCs w:val="0"/>
      </w:rPr>
      <w:tab/>
    </w:r>
    <w:hyperlink r:id="rId1" w:history="1">
      <w:r w:rsidRPr="00435323">
        <w:rPr>
          <w:rStyle w:val="Hyperlink"/>
        </w:rPr>
        <w:t>www.mof.gov.il/hon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BCF" w:rsidRPr="00060494" w:rsidRDefault="00184BCF" w:rsidP="00184BCF">
    <w:pPr>
      <w:pStyle w:val="aa"/>
      <w:pBdr>
        <w:top w:val="single" w:sz="4" w:space="1" w:color="auto"/>
      </w:pBdr>
      <w:tabs>
        <w:tab w:val="center" w:pos="4780"/>
        <w:tab w:val="right" w:pos="9666"/>
      </w:tabs>
      <w:spacing w:line="480" w:lineRule="auto"/>
      <w:rPr>
        <w:rFonts w:cs="Times New Roman"/>
        <w:b w:val="0"/>
        <w:bCs w:val="0"/>
        <w:sz w:val="24"/>
        <w:u w:val="single"/>
        <w:rtl/>
      </w:rPr>
    </w:pPr>
    <w:r w:rsidRPr="00060494">
      <w:rPr>
        <w:rFonts w:hint="cs"/>
        <w:rtl/>
      </w:rPr>
      <w:t xml:space="preserve">רח' עם ועולמו 4 ירושלים </w:t>
    </w:r>
    <w:r w:rsidRPr="00060494">
      <w:rPr>
        <w:rtl/>
      </w:rPr>
      <w:t>9546304</w:t>
    </w:r>
    <w:r w:rsidRPr="00060494">
      <w:rPr>
        <w:rFonts w:hint="cs"/>
        <w:rtl/>
      </w:rPr>
      <w:t xml:space="preserve"> טל': 02-5317248 פקס': 02-5695342 </w:t>
    </w:r>
    <w:r w:rsidRPr="00060494">
      <w:rPr>
        <w:rtl/>
      </w:rPr>
      <w:br/>
    </w:r>
    <w:r>
      <w:rPr>
        <w:b w:val="0"/>
        <w:bCs w:val="0"/>
      </w:rPr>
      <w:tab/>
    </w:r>
    <w:hyperlink r:id="rId1" w:history="1">
      <w:r w:rsidRPr="00435323">
        <w:rPr>
          <w:rStyle w:val="Hyperlink"/>
        </w:rPr>
        <w:t>www.mof.gov.il/hon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126" w:rsidRDefault="00C61126">
      <w:r>
        <w:separator/>
      </w:r>
    </w:p>
  </w:footnote>
  <w:footnote w:type="continuationSeparator" w:id="0">
    <w:p w:rsidR="00C61126" w:rsidRDefault="00C61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FFD" w:rsidRDefault="00C3464B">
    <w:pPr>
      <w:pStyle w:val="a8"/>
      <w:framePr w:wrap="around" w:vAnchor="text" w:hAnchor="margin" w:xAlign="center" w:y="1"/>
      <w:rPr>
        <w:rStyle w:val="ac"/>
        <w:rtl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:rsidR="00624FFD" w:rsidRDefault="00C61126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760516531"/>
      <w:docPartObj>
        <w:docPartGallery w:val="Page Numbers (Top of Page)"/>
        <w:docPartUnique/>
      </w:docPartObj>
    </w:sdtPr>
    <w:sdtEndPr>
      <w:rPr>
        <w:cs/>
      </w:rPr>
    </w:sdtEndPr>
    <w:sdtContent>
      <w:p w:rsidR="004C64D8" w:rsidRDefault="00C3464B">
        <w:pPr>
          <w:pStyle w:val="a8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2F1C2F" w:rsidRPr="002F1C2F">
          <w:rPr>
            <w:noProof/>
            <w:rtl/>
            <w:lang w:val="he-IL"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BCF" w:rsidRDefault="00184BCF" w:rsidP="00184BCF">
    <w:pPr>
      <w:pStyle w:val="a8"/>
      <w:jc w:val="center"/>
      <w:rPr>
        <w:b w:val="0"/>
        <w:bCs w:val="0"/>
        <w:szCs w:val="36"/>
        <w:rtl/>
      </w:rPr>
    </w:pPr>
    <w:r>
      <w:rPr>
        <w:rFonts w:hint="cs"/>
        <w:b w:val="0"/>
        <w:bCs w:val="0"/>
        <w:noProof/>
        <w:szCs w:val="36"/>
        <w:lang w:eastAsia="en-US"/>
      </w:rPr>
      <w:drawing>
        <wp:inline distT="0" distB="0" distL="0" distR="0" wp14:anchorId="2AC1AC00" wp14:editId="62F03B8A">
          <wp:extent cx="563056" cy="446228"/>
          <wp:effectExtent l="0" t="0" r="0" b="0"/>
          <wp:docPr id="10" name="תמונה 10" descr="C:\Users\Shabed\Desktop\לוגו-ללא-טקסט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abed\Desktop\לוגו-ללא-טקסט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54" t="23133" r="15750" b="20365"/>
                  <a:stretch/>
                </pic:blipFill>
                <pic:spPr bwMode="auto">
                  <a:xfrm>
                    <a:off x="0" y="0"/>
                    <a:ext cx="564078" cy="4470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F5FA4" w:rsidRDefault="00DF5FA4" w:rsidP="00184BCF">
    <w:pPr>
      <w:pStyle w:val="a8"/>
      <w:pBdr>
        <w:bottom w:val="single" w:sz="12" w:space="1" w:color="auto"/>
      </w:pBdr>
      <w:jc w:val="center"/>
      <w:rPr>
        <w:szCs w:val="32"/>
        <w:rtl/>
      </w:rPr>
    </w:pPr>
    <w:r>
      <w:rPr>
        <w:rFonts w:hint="cs"/>
        <w:szCs w:val="32"/>
        <w:rtl/>
      </w:rPr>
      <w:t>מדינת ישראל</w:t>
    </w:r>
  </w:p>
  <w:p w:rsidR="00184BCF" w:rsidRDefault="00184BCF" w:rsidP="00184BCF">
    <w:pPr>
      <w:pStyle w:val="a8"/>
      <w:pBdr>
        <w:bottom w:val="single" w:sz="12" w:space="1" w:color="auto"/>
      </w:pBdr>
      <w:jc w:val="center"/>
      <w:rPr>
        <w:b w:val="0"/>
        <w:bCs w:val="0"/>
        <w:szCs w:val="32"/>
        <w:rtl/>
      </w:rPr>
    </w:pPr>
    <w:r>
      <w:rPr>
        <w:rFonts w:hint="cs"/>
        <w:szCs w:val="32"/>
        <w:rtl/>
      </w:rPr>
      <w:t>רשות</w:t>
    </w:r>
    <w:r>
      <w:rPr>
        <w:szCs w:val="32"/>
        <w:rtl/>
      </w:rPr>
      <w:t xml:space="preserve"> שוק ההון, ביטוח וחיסכון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82797"/>
    <w:multiLevelType w:val="multilevel"/>
    <w:tmpl w:val="CB2CFB36"/>
    <w:numStyleLink w:val="-"/>
  </w:abstractNum>
  <w:abstractNum w:abstractNumId="1" w15:restartNumberingAfterBreak="0">
    <w:nsid w:val="11B87F5A"/>
    <w:multiLevelType w:val="multilevel"/>
    <w:tmpl w:val="2C7611E6"/>
    <w:styleLink w:val="-0"/>
    <w:lvl w:ilvl="0">
      <w:start w:val="1"/>
      <w:numFmt w:val="decimal"/>
      <w:lvlRestart w:val="0"/>
      <w:lvlText w:val="%1 ."/>
      <w:lvlJc w:val="left"/>
      <w:pPr>
        <w:tabs>
          <w:tab w:val="num" w:pos="397"/>
        </w:tabs>
        <w:ind w:left="397" w:hanging="397"/>
      </w:pPr>
    </w:lvl>
    <w:lvl w:ilvl="1">
      <w:start w:val="1"/>
      <w:numFmt w:val="hebrew1"/>
      <w:lvlText w:val="%2."/>
      <w:lvlJc w:val="left"/>
      <w:pPr>
        <w:tabs>
          <w:tab w:val="num" w:pos="794"/>
        </w:tabs>
        <w:ind w:left="794" w:hanging="397"/>
      </w:p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453"/>
      </w:pPr>
    </w:lvl>
    <w:lvl w:ilvl="3">
      <w:start w:val="1"/>
      <w:numFmt w:val="hebrew1"/>
      <w:lvlText w:val="%4)"/>
      <w:lvlJc w:val="left"/>
      <w:pPr>
        <w:tabs>
          <w:tab w:val="num" w:pos="1701"/>
        </w:tabs>
        <w:ind w:left="1701" w:hanging="454"/>
      </w:pPr>
    </w:lvl>
    <w:lvl w:ilvl="4">
      <w:start w:val="1"/>
      <w:numFmt w:val="decimal"/>
      <w:lvlText w:val="(%5)"/>
      <w:lvlJc w:val="left"/>
      <w:pPr>
        <w:tabs>
          <w:tab w:val="num" w:pos="2211"/>
        </w:tabs>
        <w:ind w:left="2211" w:hanging="510"/>
      </w:pPr>
    </w:lvl>
    <w:lvl w:ilvl="5">
      <w:start w:val="1"/>
      <w:numFmt w:val="hebrew1"/>
      <w:lvlText w:val="(%6)"/>
      <w:lvlJc w:val="left"/>
      <w:pPr>
        <w:tabs>
          <w:tab w:val="num" w:pos="2721"/>
        </w:tabs>
        <w:ind w:left="2721" w:hanging="510"/>
      </w:pPr>
    </w:lvl>
    <w:lvl w:ilvl="6">
      <w:start w:val="1"/>
      <w:numFmt w:val="upperLetter"/>
      <w:lvlText w:val="%7."/>
      <w:lvlJc w:val="left"/>
      <w:pPr>
        <w:tabs>
          <w:tab w:val="num" w:pos="3118"/>
        </w:tabs>
        <w:ind w:left="3118" w:hanging="397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3685" w:hanging="567"/>
      </w:pPr>
    </w:lvl>
    <w:lvl w:ilvl="8">
      <w:start w:val="1"/>
      <w:numFmt w:val="lowerRoman"/>
      <w:lvlText w:val="%9."/>
      <w:lvlJc w:val="left"/>
      <w:pPr>
        <w:tabs>
          <w:tab w:val="num" w:pos="4252"/>
        </w:tabs>
        <w:ind w:left="4252" w:hanging="567"/>
      </w:pPr>
    </w:lvl>
  </w:abstractNum>
  <w:abstractNum w:abstractNumId="2" w15:restartNumberingAfterBreak="0">
    <w:nsid w:val="16240D29"/>
    <w:multiLevelType w:val="hybridMultilevel"/>
    <w:tmpl w:val="39723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F7812"/>
    <w:multiLevelType w:val="hybridMultilevel"/>
    <w:tmpl w:val="2648F9D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47FA4"/>
    <w:multiLevelType w:val="hybridMultilevel"/>
    <w:tmpl w:val="2648F9D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90D37"/>
    <w:multiLevelType w:val="multilevel"/>
    <w:tmpl w:val="2C7611E6"/>
    <w:numStyleLink w:val="-0"/>
  </w:abstractNum>
  <w:abstractNum w:abstractNumId="6" w15:restartNumberingAfterBreak="0">
    <w:nsid w:val="2A3572C1"/>
    <w:multiLevelType w:val="hybridMultilevel"/>
    <w:tmpl w:val="2648F9D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D4CEE"/>
    <w:multiLevelType w:val="multilevel"/>
    <w:tmpl w:val="2C7611E6"/>
    <w:numStyleLink w:val="-0"/>
  </w:abstractNum>
  <w:abstractNum w:abstractNumId="8" w15:restartNumberingAfterBreak="0">
    <w:nsid w:val="50BD33E0"/>
    <w:multiLevelType w:val="hybridMultilevel"/>
    <w:tmpl w:val="2648F9D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63965"/>
    <w:multiLevelType w:val="multilevel"/>
    <w:tmpl w:val="CB2CFB36"/>
    <w:numStyleLink w:val="-"/>
  </w:abstractNum>
  <w:abstractNum w:abstractNumId="10" w15:restartNumberingAfterBreak="0">
    <w:nsid w:val="574A6D78"/>
    <w:multiLevelType w:val="hybridMultilevel"/>
    <w:tmpl w:val="2648F9D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D00DD"/>
    <w:multiLevelType w:val="multilevel"/>
    <w:tmpl w:val="CB2CFB36"/>
    <w:styleLink w:val="-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9"/>
  </w:num>
  <w:num w:numId="8">
    <w:abstractNumId w:val="3"/>
  </w:num>
  <w:num w:numId="9">
    <w:abstractNumId w:val="4"/>
  </w:num>
  <w:num w:numId="10">
    <w:abstractNumId w:val="8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64B"/>
    <w:rsid w:val="00006E49"/>
    <w:rsid w:val="00014182"/>
    <w:rsid w:val="00041727"/>
    <w:rsid w:val="00047C97"/>
    <w:rsid w:val="000520B7"/>
    <w:rsid w:val="000568CE"/>
    <w:rsid w:val="00066383"/>
    <w:rsid w:val="00093B9D"/>
    <w:rsid w:val="000A7EC6"/>
    <w:rsid w:val="000B569B"/>
    <w:rsid w:val="000C04AE"/>
    <w:rsid w:val="000C1905"/>
    <w:rsid w:val="000E6098"/>
    <w:rsid w:val="000E632C"/>
    <w:rsid w:val="0010326C"/>
    <w:rsid w:val="001113FD"/>
    <w:rsid w:val="00112069"/>
    <w:rsid w:val="0011305E"/>
    <w:rsid w:val="001611C6"/>
    <w:rsid w:val="00164B30"/>
    <w:rsid w:val="00164F15"/>
    <w:rsid w:val="0018292D"/>
    <w:rsid w:val="00184BCF"/>
    <w:rsid w:val="001A7C42"/>
    <w:rsid w:val="001C4F6D"/>
    <w:rsid w:val="001D55DD"/>
    <w:rsid w:val="001E548A"/>
    <w:rsid w:val="001E5E03"/>
    <w:rsid w:val="00213284"/>
    <w:rsid w:val="00275887"/>
    <w:rsid w:val="002A54A3"/>
    <w:rsid w:val="002A7FEA"/>
    <w:rsid w:val="002E38F4"/>
    <w:rsid w:val="002F0F5C"/>
    <w:rsid w:val="002F197C"/>
    <w:rsid w:val="002F1C2F"/>
    <w:rsid w:val="00302D89"/>
    <w:rsid w:val="003205CD"/>
    <w:rsid w:val="00325E01"/>
    <w:rsid w:val="00327BAD"/>
    <w:rsid w:val="00344163"/>
    <w:rsid w:val="003577DD"/>
    <w:rsid w:val="00361114"/>
    <w:rsid w:val="003748B4"/>
    <w:rsid w:val="003840FE"/>
    <w:rsid w:val="00393C6A"/>
    <w:rsid w:val="0039777B"/>
    <w:rsid w:val="003A1D7A"/>
    <w:rsid w:val="003C3A5C"/>
    <w:rsid w:val="003E6762"/>
    <w:rsid w:val="003E6CFF"/>
    <w:rsid w:val="003F1396"/>
    <w:rsid w:val="0040055E"/>
    <w:rsid w:val="00422A0D"/>
    <w:rsid w:val="00423D6A"/>
    <w:rsid w:val="00426E0E"/>
    <w:rsid w:val="004323EF"/>
    <w:rsid w:val="004410DE"/>
    <w:rsid w:val="0044663B"/>
    <w:rsid w:val="00451F2E"/>
    <w:rsid w:val="004523EB"/>
    <w:rsid w:val="00452D7A"/>
    <w:rsid w:val="004C127D"/>
    <w:rsid w:val="004C5538"/>
    <w:rsid w:val="004C7DCD"/>
    <w:rsid w:val="004D65A1"/>
    <w:rsid w:val="004E479D"/>
    <w:rsid w:val="004F3773"/>
    <w:rsid w:val="005028F9"/>
    <w:rsid w:val="00505D36"/>
    <w:rsid w:val="00515321"/>
    <w:rsid w:val="00515E5C"/>
    <w:rsid w:val="00534452"/>
    <w:rsid w:val="005371D8"/>
    <w:rsid w:val="00555180"/>
    <w:rsid w:val="00556BE2"/>
    <w:rsid w:val="00581621"/>
    <w:rsid w:val="0059318B"/>
    <w:rsid w:val="005A59C8"/>
    <w:rsid w:val="005D42E4"/>
    <w:rsid w:val="00600BFA"/>
    <w:rsid w:val="00600F1F"/>
    <w:rsid w:val="00602DAD"/>
    <w:rsid w:val="006309B0"/>
    <w:rsid w:val="006370C8"/>
    <w:rsid w:val="0066664E"/>
    <w:rsid w:val="00677E4D"/>
    <w:rsid w:val="00691A17"/>
    <w:rsid w:val="00692C69"/>
    <w:rsid w:val="006952CA"/>
    <w:rsid w:val="006A13C9"/>
    <w:rsid w:val="006A2503"/>
    <w:rsid w:val="006A5446"/>
    <w:rsid w:val="006B352E"/>
    <w:rsid w:val="006C55AF"/>
    <w:rsid w:val="006D0744"/>
    <w:rsid w:val="006D1C07"/>
    <w:rsid w:val="006D686D"/>
    <w:rsid w:val="006E5942"/>
    <w:rsid w:val="006F2DA7"/>
    <w:rsid w:val="00706164"/>
    <w:rsid w:val="00715AFF"/>
    <w:rsid w:val="00735D55"/>
    <w:rsid w:val="00743847"/>
    <w:rsid w:val="00751B50"/>
    <w:rsid w:val="00757313"/>
    <w:rsid w:val="00757879"/>
    <w:rsid w:val="007611DA"/>
    <w:rsid w:val="00772A33"/>
    <w:rsid w:val="007768ED"/>
    <w:rsid w:val="00793E5C"/>
    <w:rsid w:val="007A373A"/>
    <w:rsid w:val="007C022F"/>
    <w:rsid w:val="007D4118"/>
    <w:rsid w:val="007E2692"/>
    <w:rsid w:val="0080160A"/>
    <w:rsid w:val="0082739B"/>
    <w:rsid w:val="00850D03"/>
    <w:rsid w:val="00864DB3"/>
    <w:rsid w:val="00867AE5"/>
    <w:rsid w:val="00870D8A"/>
    <w:rsid w:val="008B39D7"/>
    <w:rsid w:val="008E77BE"/>
    <w:rsid w:val="00910BC9"/>
    <w:rsid w:val="00915C9A"/>
    <w:rsid w:val="00935E81"/>
    <w:rsid w:val="009820B7"/>
    <w:rsid w:val="00986444"/>
    <w:rsid w:val="00990A24"/>
    <w:rsid w:val="009B234E"/>
    <w:rsid w:val="009B4BF1"/>
    <w:rsid w:val="009B64FE"/>
    <w:rsid w:val="009E52B5"/>
    <w:rsid w:val="009F7F7A"/>
    <w:rsid w:val="00A15876"/>
    <w:rsid w:val="00A15D5D"/>
    <w:rsid w:val="00A30921"/>
    <w:rsid w:val="00A5751E"/>
    <w:rsid w:val="00A67A4F"/>
    <w:rsid w:val="00A7396A"/>
    <w:rsid w:val="00A73972"/>
    <w:rsid w:val="00A84333"/>
    <w:rsid w:val="00A84658"/>
    <w:rsid w:val="00AA4752"/>
    <w:rsid w:val="00AD0167"/>
    <w:rsid w:val="00AF1C47"/>
    <w:rsid w:val="00B03E2B"/>
    <w:rsid w:val="00B041F7"/>
    <w:rsid w:val="00B311D4"/>
    <w:rsid w:val="00B429D7"/>
    <w:rsid w:val="00B60EE6"/>
    <w:rsid w:val="00B67385"/>
    <w:rsid w:val="00B7104C"/>
    <w:rsid w:val="00B93390"/>
    <w:rsid w:val="00B93A25"/>
    <w:rsid w:val="00BB393A"/>
    <w:rsid w:val="00BD67E7"/>
    <w:rsid w:val="00C01906"/>
    <w:rsid w:val="00C171DC"/>
    <w:rsid w:val="00C27AC8"/>
    <w:rsid w:val="00C3464B"/>
    <w:rsid w:val="00C37F33"/>
    <w:rsid w:val="00C61126"/>
    <w:rsid w:val="00C83BBE"/>
    <w:rsid w:val="00C84ABA"/>
    <w:rsid w:val="00C9542C"/>
    <w:rsid w:val="00CA61AF"/>
    <w:rsid w:val="00CB40A4"/>
    <w:rsid w:val="00CC1188"/>
    <w:rsid w:val="00CC356E"/>
    <w:rsid w:val="00CD6DB8"/>
    <w:rsid w:val="00CE0517"/>
    <w:rsid w:val="00CE42FE"/>
    <w:rsid w:val="00CF44BB"/>
    <w:rsid w:val="00CF6C2C"/>
    <w:rsid w:val="00D209DB"/>
    <w:rsid w:val="00D33979"/>
    <w:rsid w:val="00D46B55"/>
    <w:rsid w:val="00D66453"/>
    <w:rsid w:val="00D7045A"/>
    <w:rsid w:val="00D731DA"/>
    <w:rsid w:val="00D969C1"/>
    <w:rsid w:val="00DD5320"/>
    <w:rsid w:val="00DE069A"/>
    <w:rsid w:val="00DE7CC8"/>
    <w:rsid w:val="00DF5FA4"/>
    <w:rsid w:val="00DF73FF"/>
    <w:rsid w:val="00E41B31"/>
    <w:rsid w:val="00E56588"/>
    <w:rsid w:val="00E95EEF"/>
    <w:rsid w:val="00EA6729"/>
    <w:rsid w:val="00EC303E"/>
    <w:rsid w:val="00EF71D7"/>
    <w:rsid w:val="00F00D41"/>
    <w:rsid w:val="00F0592A"/>
    <w:rsid w:val="00F25ABF"/>
    <w:rsid w:val="00F509E4"/>
    <w:rsid w:val="00F74EF7"/>
    <w:rsid w:val="00F80DA7"/>
    <w:rsid w:val="00F9168F"/>
    <w:rsid w:val="00F959D9"/>
    <w:rsid w:val="00F975CB"/>
    <w:rsid w:val="00FE3193"/>
    <w:rsid w:val="00FE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D9C76C"/>
  <w15:docId w15:val="{F9DEADAB-CFFA-4FFD-A4E4-A1AE4010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64B"/>
    <w:pPr>
      <w:bidi/>
      <w:spacing w:before="0" w:after="0" w:line="240" w:lineRule="auto"/>
      <w:jc w:val="both"/>
    </w:pPr>
    <w:rPr>
      <w:rFonts w:ascii="Arial Narrow" w:eastAsia="Times New Roman" w:hAnsi="Arial Narrow" w:cs="David"/>
      <w:sz w:val="26"/>
      <w:szCs w:val="24"/>
      <w:lang w:eastAsia="he-IL"/>
    </w:rPr>
  </w:style>
  <w:style w:type="paragraph" w:styleId="1">
    <w:name w:val="heading 1"/>
    <w:basedOn w:val="a"/>
    <w:next w:val="a"/>
    <w:link w:val="10"/>
    <w:uiPriority w:val="9"/>
    <w:qFormat/>
    <w:rsid w:val="003A1D7A"/>
    <w:pPr>
      <w:widowControl w:val="0"/>
      <w:spacing w:before="120" w:line="360" w:lineRule="auto"/>
      <w:outlineLvl w:val="0"/>
    </w:pPr>
    <w:rPr>
      <w:rFonts w:ascii="Times New Roman" w:eastAsiaTheme="minorHAnsi" w:hAnsi="Times New Roman"/>
      <w:b/>
      <w:bCs/>
      <w:caps/>
      <w:spacing w:val="15"/>
      <w:sz w:val="36"/>
      <w:szCs w:val="36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A1D7A"/>
    <w:pPr>
      <w:widowControl w:val="0"/>
      <w:spacing w:before="120" w:line="360" w:lineRule="auto"/>
      <w:outlineLvl w:val="1"/>
    </w:pPr>
    <w:rPr>
      <w:rFonts w:ascii="Times New Roman" w:eastAsiaTheme="minorHAnsi" w:hAnsi="Times New Roman"/>
      <w:b/>
      <w:bCs/>
      <w:caps/>
      <w:spacing w:val="15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611C6"/>
    <w:pPr>
      <w:widowControl w:val="0"/>
      <w:bidi w:val="0"/>
      <w:spacing w:before="300" w:line="360" w:lineRule="auto"/>
      <w:outlineLvl w:val="2"/>
    </w:pPr>
    <w:rPr>
      <w:rFonts w:ascii="Times New Roman" w:eastAsiaTheme="minorHAnsi" w:hAnsi="Times New Roman"/>
      <w:bCs/>
      <w:caps/>
      <w:spacing w:val="15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A1D7A"/>
    <w:pPr>
      <w:bidi w:val="0"/>
      <w:spacing w:before="300" w:line="360" w:lineRule="auto"/>
      <w:outlineLvl w:val="3"/>
    </w:pPr>
    <w:rPr>
      <w:rFonts w:ascii="Times New Roman" w:eastAsiaTheme="minorHAnsi" w:hAnsi="Times New Roman"/>
      <w:b/>
      <w:bCs/>
      <w:caps/>
      <w:spacing w:val="10"/>
      <w:sz w:val="24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3A1D7A"/>
    <w:pPr>
      <w:widowControl w:val="0"/>
      <w:bidi w:val="0"/>
      <w:spacing w:before="300" w:line="360" w:lineRule="auto"/>
      <w:outlineLvl w:val="4"/>
    </w:pPr>
    <w:rPr>
      <w:rFonts w:ascii="Times New Roman" w:eastAsiaTheme="minorHAnsi" w:hAnsi="Times New Roman"/>
      <w:b/>
      <w:bCs/>
      <w:caps/>
      <w:spacing w:val="10"/>
      <w:sz w:val="24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066383"/>
    <w:pPr>
      <w:widowControl w:val="0"/>
      <w:bidi w:val="0"/>
      <w:spacing w:before="300" w:line="360" w:lineRule="auto"/>
      <w:outlineLvl w:val="5"/>
    </w:pPr>
    <w:rPr>
      <w:rFonts w:ascii="Times New Roman" w:eastAsiaTheme="minorHAnsi" w:hAnsi="Times New Roman"/>
      <w:b/>
      <w:bCs/>
      <w:caps/>
      <w:spacing w:val="10"/>
      <w:sz w:val="24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3A1D7A"/>
    <w:pPr>
      <w:widowControl w:val="0"/>
      <w:bidi w:val="0"/>
      <w:spacing w:before="300" w:line="360" w:lineRule="auto"/>
      <w:outlineLvl w:val="6"/>
    </w:pPr>
    <w:rPr>
      <w:rFonts w:ascii="Times New Roman" w:eastAsiaTheme="minorHAnsi" w:hAnsi="Times New Roman"/>
      <w:b/>
      <w:bCs/>
      <w:caps/>
      <w:spacing w:val="10"/>
      <w:sz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182"/>
    <w:pPr>
      <w:bidi w:val="0"/>
      <w:spacing w:before="300" w:line="360" w:lineRule="auto"/>
      <w:outlineLvl w:val="7"/>
    </w:pPr>
    <w:rPr>
      <w:rFonts w:ascii="Times New Roman" w:eastAsiaTheme="minorHAnsi" w:hAnsi="Times New Roman"/>
      <w:caps/>
      <w:spacing w:val="10"/>
      <w:sz w:val="18"/>
      <w:szCs w:val="1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182"/>
    <w:pPr>
      <w:bidi w:val="0"/>
      <w:spacing w:before="300" w:line="360" w:lineRule="auto"/>
      <w:outlineLvl w:val="8"/>
    </w:pPr>
    <w:rPr>
      <w:rFonts w:ascii="Times New Roman" w:eastAsiaTheme="minorHAnsi" w:hAnsi="Times New Roman"/>
      <w:i/>
      <w:caps/>
      <w:spacing w:val="10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A1D7A"/>
    <w:rPr>
      <w:rFonts w:ascii="Times New Roman" w:hAnsi="Times New Roman" w:cs="David"/>
      <w:b/>
      <w:bCs/>
      <w:caps/>
      <w:spacing w:val="15"/>
      <w:sz w:val="36"/>
      <w:szCs w:val="36"/>
    </w:rPr>
  </w:style>
  <w:style w:type="paragraph" w:styleId="a3">
    <w:name w:val="Quote"/>
    <w:basedOn w:val="a"/>
    <w:next w:val="a"/>
    <w:link w:val="a4"/>
    <w:uiPriority w:val="29"/>
    <w:qFormat/>
    <w:rsid w:val="003A1D7A"/>
    <w:pPr>
      <w:widowControl w:val="0"/>
      <w:spacing w:before="120" w:after="120" w:line="360" w:lineRule="auto"/>
      <w:ind w:left="567" w:right="567"/>
    </w:pPr>
    <w:rPr>
      <w:rFonts w:ascii="Times New Roman" w:eastAsiaTheme="minorHAnsi" w:hAnsi="Times New Roman"/>
      <w:i/>
      <w:iCs/>
      <w:sz w:val="24"/>
      <w:lang w:eastAsia="en-US"/>
    </w:rPr>
  </w:style>
  <w:style w:type="character" w:customStyle="1" w:styleId="a4">
    <w:name w:val="ציטוט תו"/>
    <w:basedOn w:val="a0"/>
    <w:link w:val="a3"/>
    <w:uiPriority w:val="29"/>
    <w:rsid w:val="003A1D7A"/>
    <w:rPr>
      <w:rFonts w:ascii="Times New Roman" w:hAnsi="Times New Roman" w:cs="David"/>
      <w:i/>
      <w:iCs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3A1D7A"/>
    <w:rPr>
      <w:rFonts w:ascii="Times New Roman" w:hAnsi="Times New Roman" w:cs="David"/>
      <w:b/>
      <w:bCs/>
      <w:caps/>
      <w:spacing w:val="15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1611C6"/>
    <w:rPr>
      <w:rFonts w:ascii="Times New Roman" w:hAnsi="Times New Roman" w:cs="David"/>
      <w:bCs/>
      <w:caps/>
      <w:spacing w:val="15"/>
      <w:sz w:val="28"/>
      <w:szCs w:val="28"/>
    </w:rPr>
  </w:style>
  <w:style w:type="character" w:customStyle="1" w:styleId="40">
    <w:name w:val="כותרת 4 תו"/>
    <w:basedOn w:val="a0"/>
    <w:link w:val="4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60">
    <w:name w:val="כותרת 6 תו"/>
    <w:basedOn w:val="a0"/>
    <w:link w:val="6"/>
    <w:uiPriority w:val="9"/>
    <w:rsid w:val="00066383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70">
    <w:name w:val="כותרת 7 תו"/>
    <w:basedOn w:val="a0"/>
    <w:link w:val="7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80">
    <w:name w:val="כותרת 8 תו"/>
    <w:basedOn w:val="a0"/>
    <w:link w:val="8"/>
    <w:uiPriority w:val="9"/>
    <w:semiHidden/>
    <w:rsid w:val="00014182"/>
    <w:rPr>
      <w:caps/>
      <w:spacing w:val="10"/>
      <w:sz w:val="18"/>
      <w:szCs w:val="18"/>
    </w:rPr>
  </w:style>
  <w:style w:type="character" w:customStyle="1" w:styleId="90">
    <w:name w:val="כותרת 9 תו"/>
    <w:basedOn w:val="a0"/>
    <w:link w:val="9"/>
    <w:uiPriority w:val="9"/>
    <w:semiHidden/>
    <w:rsid w:val="00014182"/>
    <w:rPr>
      <w:i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014182"/>
    <w:pPr>
      <w:bidi w:val="0"/>
      <w:spacing w:before="120" w:after="120" w:line="360" w:lineRule="auto"/>
    </w:pPr>
    <w:rPr>
      <w:rFonts w:ascii="Times New Roman" w:eastAsiaTheme="minorHAnsi" w:hAnsi="Times New Roman"/>
      <w:b/>
      <w:bCs/>
      <w:color w:val="365F91" w:themeColor="accent1" w:themeShade="BF"/>
      <w:sz w:val="16"/>
      <w:szCs w:val="16"/>
      <w:lang w:eastAsia="en-US"/>
    </w:rPr>
  </w:style>
  <w:style w:type="paragraph" w:styleId="a6">
    <w:name w:val="TOC Heading"/>
    <w:basedOn w:val="1"/>
    <w:next w:val="a"/>
    <w:uiPriority w:val="39"/>
    <w:semiHidden/>
    <w:unhideWhenUsed/>
    <w:qFormat/>
    <w:rsid w:val="00014182"/>
    <w:pPr>
      <w:bidi w:val="0"/>
      <w:outlineLvl w:val="9"/>
    </w:pPr>
    <w:rPr>
      <w:lang w:bidi="en-US"/>
    </w:rPr>
  </w:style>
  <w:style w:type="paragraph" w:styleId="TOC3">
    <w:name w:val="toc 3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ind w:left="482"/>
    </w:pPr>
    <w:rPr>
      <w:rFonts w:ascii="Times New Roman" w:eastAsiaTheme="minorHAnsi" w:hAnsi="Times New Roman"/>
      <w:sz w:val="24"/>
      <w:lang w:eastAsia="en-US"/>
    </w:rPr>
  </w:style>
  <w:style w:type="paragraph" w:styleId="TOC1">
    <w:name w:val="toc 1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</w:pPr>
    <w:rPr>
      <w:rFonts w:ascii="Times New Roman" w:eastAsiaTheme="minorHAnsi" w:hAnsi="Times New Roman"/>
      <w:sz w:val="24"/>
      <w:lang w:eastAsia="en-US"/>
    </w:rPr>
  </w:style>
  <w:style w:type="paragraph" w:styleId="TOC2">
    <w:name w:val="toc 2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ind w:left="238"/>
    </w:pPr>
    <w:rPr>
      <w:rFonts w:ascii="Times New Roman" w:eastAsiaTheme="minorHAnsi" w:hAnsi="Times New Roman"/>
      <w:sz w:val="24"/>
      <w:lang w:eastAsia="en-US"/>
    </w:rPr>
  </w:style>
  <w:style w:type="paragraph" w:styleId="TOC7">
    <w:name w:val="toc 7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ind w:left="1440"/>
    </w:pPr>
    <w:rPr>
      <w:rFonts w:ascii="Times New Roman" w:eastAsiaTheme="minorHAnsi" w:hAnsi="Times New Roman"/>
      <w:sz w:val="24"/>
      <w:lang w:eastAsia="en-US"/>
    </w:rPr>
  </w:style>
  <w:style w:type="paragraph" w:styleId="TOC6">
    <w:name w:val="toc 6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ind w:left="1202"/>
      <w:contextualSpacing/>
    </w:pPr>
    <w:rPr>
      <w:rFonts w:ascii="Times New Roman" w:eastAsiaTheme="minorHAnsi" w:hAnsi="Times New Roman"/>
      <w:sz w:val="24"/>
      <w:lang w:eastAsia="en-US"/>
    </w:rPr>
  </w:style>
  <w:style w:type="paragraph" w:styleId="TOC5">
    <w:name w:val="toc 5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ind w:left="958"/>
    </w:pPr>
    <w:rPr>
      <w:rFonts w:ascii="Times New Roman" w:eastAsiaTheme="minorHAnsi" w:hAnsi="Times New Roman"/>
      <w:sz w:val="24"/>
      <w:lang w:eastAsia="en-US"/>
    </w:rPr>
  </w:style>
  <w:style w:type="paragraph" w:styleId="TOC4">
    <w:name w:val="toc 4"/>
    <w:basedOn w:val="a"/>
    <w:next w:val="a"/>
    <w:autoRedefine/>
    <w:uiPriority w:val="39"/>
    <w:unhideWhenUsed/>
    <w:rsid w:val="00600BFA"/>
    <w:pPr>
      <w:widowControl w:val="0"/>
      <w:spacing w:before="100" w:after="100"/>
      <w:ind w:left="720"/>
    </w:pPr>
    <w:rPr>
      <w:rFonts w:ascii="Times New Roman" w:eastAsiaTheme="minorHAnsi" w:hAnsi="Times New Roman"/>
      <w:sz w:val="24"/>
      <w:lang w:eastAsia="en-US"/>
    </w:rPr>
  </w:style>
  <w:style w:type="paragraph" w:styleId="a7">
    <w:name w:val="List Paragraph"/>
    <w:basedOn w:val="a"/>
    <w:uiPriority w:val="34"/>
    <w:qFormat/>
    <w:rsid w:val="00FE3193"/>
    <w:pPr>
      <w:spacing w:before="120" w:after="120" w:line="36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numbering" w:customStyle="1" w:styleId="-">
    <w:name w:val="משרד האוצר - מדורג"/>
    <w:uiPriority w:val="99"/>
    <w:rsid w:val="00FE3193"/>
    <w:pPr>
      <w:numPr>
        <w:numId w:val="2"/>
      </w:numPr>
    </w:pPr>
  </w:style>
  <w:style w:type="numbering" w:customStyle="1" w:styleId="-0">
    <w:name w:val="משרד האוצר - מדורג קצר"/>
    <w:uiPriority w:val="99"/>
    <w:rsid w:val="00FE3193"/>
    <w:pPr>
      <w:numPr>
        <w:numId w:val="3"/>
      </w:numPr>
    </w:pPr>
  </w:style>
  <w:style w:type="paragraph" w:styleId="a8">
    <w:name w:val="header"/>
    <w:basedOn w:val="a"/>
    <w:link w:val="a9"/>
    <w:uiPriority w:val="99"/>
    <w:rsid w:val="00C3464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b/>
      <w:bCs/>
      <w:sz w:val="22"/>
    </w:rPr>
  </w:style>
  <w:style w:type="character" w:customStyle="1" w:styleId="a9">
    <w:name w:val="כותרת עליונה תו"/>
    <w:basedOn w:val="a0"/>
    <w:link w:val="a8"/>
    <w:uiPriority w:val="99"/>
    <w:rsid w:val="00C3464B"/>
    <w:rPr>
      <w:rFonts w:ascii="Times New Roman" w:eastAsia="Times New Roman" w:hAnsi="Times New Roman" w:cs="David"/>
      <w:b/>
      <w:bCs/>
      <w:szCs w:val="24"/>
      <w:lang w:eastAsia="he-IL"/>
    </w:rPr>
  </w:style>
  <w:style w:type="paragraph" w:styleId="aa">
    <w:name w:val="footer"/>
    <w:basedOn w:val="a"/>
    <w:link w:val="ab"/>
    <w:rsid w:val="00C3464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b/>
      <w:bCs/>
      <w:sz w:val="22"/>
    </w:rPr>
  </w:style>
  <w:style w:type="character" w:customStyle="1" w:styleId="ab">
    <w:name w:val="כותרת תחתונה תו"/>
    <w:basedOn w:val="a0"/>
    <w:link w:val="aa"/>
    <w:rsid w:val="00C3464B"/>
    <w:rPr>
      <w:rFonts w:ascii="Times New Roman" w:eastAsia="Times New Roman" w:hAnsi="Times New Roman" w:cs="David"/>
      <w:b/>
      <w:bCs/>
      <w:szCs w:val="24"/>
      <w:lang w:eastAsia="he-IL"/>
    </w:rPr>
  </w:style>
  <w:style w:type="character" w:styleId="ac">
    <w:name w:val="page number"/>
    <w:basedOn w:val="a0"/>
    <w:rsid w:val="00C3464B"/>
  </w:style>
  <w:style w:type="character" w:styleId="Hyperlink">
    <w:name w:val="Hyperlink"/>
    <w:rsid w:val="00C3464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3464B"/>
    <w:rPr>
      <w:rFonts w:ascii="Tahoma" w:hAnsi="Tahoma" w:cs="Tahoma"/>
      <w:sz w:val="16"/>
      <w:szCs w:val="16"/>
    </w:rPr>
  </w:style>
  <w:style w:type="character" w:customStyle="1" w:styleId="ae">
    <w:name w:val="טקסט בלונים תו"/>
    <w:basedOn w:val="a0"/>
    <w:link w:val="ad"/>
    <w:uiPriority w:val="99"/>
    <w:semiHidden/>
    <w:rsid w:val="00C3464B"/>
    <w:rPr>
      <w:rFonts w:ascii="Tahoma" w:eastAsia="Times New Roman" w:hAnsi="Tahoma" w:cs="Tahoma"/>
      <w:sz w:val="16"/>
      <w:szCs w:val="16"/>
      <w:lang w:eastAsia="he-IL"/>
    </w:rPr>
  </w:style>
  <w:style w:type="table" w:styleId="af">
    <w:name w:val="Table Grid"/>
    <w:basedOn w:val="a1"/>
    <w:uiPriority w:val="59"/>
    <w:rsid w:val="00D7045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f.gov.il/ho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f.gov.il/hon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381DF-5AB3-42D4-8413-51271D42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MOF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יצחק זרביב</dc:creator>
  <cp:lastModifiedBy>מיכל היימן</cp:lastModifiedBy>
  <cp:revision>2</cp:revision>
  <dcterms:created xsi:type="dcterms:W3CDTF">2021-09-14T06:38:00Z</dcterms:created>
  <dcterms:modified xsi:type="dcterms:W3CDTF">2021-09-14T06:38:00Z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orID">
    <vt:lpwstr>notes://MAOR2/Doc/Shuk_hon/hondocNew4.nsf/0/5196CC0155C72219C22586FD003A7F5F/?OpenDocument</vt:lpwstr>
  </property>
  <property fmtid="{D5CDD505-2E9C-101B-9397-08002B2CF9AE}" pid="3" name="MaorRecipients0">
    <vt:lpwstr/>
  </property>
</Properties>
</file>