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FC1" w:rsidRDefault="00735FC1" w:rsidP="006071AD">
      <w:pPr>
        <w:ind w:left="6943"/>
        <w:jc w:val="left"/>
        <w:rPr>
          <w:rFonts w:cs="David"/>
          <w:sz w:val="22"/>
          <w:szCs w:val="22"/>
          <w:rtl/>
        </w:rPr>
      </w:pPr>
      <w:bookmarkStart w:id="0" w:name="Date"/>
      <w:bookmarkEnd w:id="0"/>
      <w:r>
        <w:rPr>
          <w:rFonts w:cs="David" w:hint="eastAsia"/>
          <w:sz w:val="22"/>
          <w:szCs w:val="22"/>
          <w:rtl/>
        </w:rPr>
        <w:t>י</w:t>
      </w:r>
      <w:r>
        <w:rPr>
          <w:rFonts w:cs="David"/>
          <w:sz w:val="22"/>
          <w:szCs w:val="22"/>
          <w:rtl/>
        </w:rPr>
        <w:t xml:space="preserve">"א בסיון </w:t>
      </w:r>
      <w:proofErr w:type="spellStart"/>
      <w:r>
        <w:rPr>
          <w:rFonts w:cs="David"/>
          <w:sz w:val="22"/>
          <w:szCs w:val="22"/>
          <w:rtl/>
        </w:rPr>
        <w:t>התשע"ד</w:t>
      </w:r>
      <w:proofErr w:type="spellEnd"/>
      <w:r>
        <w:rPr>
          <w:rFonts w:cs="David"/>
          <w:sz w:val="22"/>
          <w:szCs w:val="22"/>
          <w:rtl/>
        </w:rPr>
        <w:br/>
        <w:t>9 ביוני 2014</w:t>
      </w:r>
    </w:p>
    <w:p w:rsidR="00735FC1" w:rsidRDefault="00735FC1" w:rsidP="006071AD">
      <w:pPr>
        <w:ind w:left="6943"/>
        <w:jc w:val="left"/>
        <w:rPr>
          <w:rFonts w:cs="David"/>
          <w:sz w:val="22"/>
          <w:szCs w:val="22"/>
          <w:rtl/>
        </w:rPr>
      </w:pPr>
      <w:bookmarkStart w:id="1" w:name="DocNum"/>
      <w:bookmarkEnd w:id="1"/>
      <w:r>
        <w:rPr>
          <w:rFonts w:cs="David"/>
          <w:sz w:val="22"/>
          <w:szCs w:val="22"/>
          <w:rtl/>
        </w:rPr>
        <w:t>דב. 2014-701</w:t>
      </w:r>
    </w:p>
    <w:p w:rsidR="00157EDD" w:rsidRPr="002644E2" w:rsidRDefault="00157EDD" w:rsidP="00A22924">
      <w:pPr>
        <w:pStyle w:val="1"/>
        <w:jc w:val="center"/>
        <w:rPr>
          <w:b w:val="0"/>
          <w:bCs w:val="0"/>
          <w:sz w:val="26"/>
          <w:szCs w:val="26"/>
          <w:rtl/>
        </w:rPr>
      </w:pPr>
      <w:r w:rsidRPr="002644E2">
        <w:rPr>
          <w:b w:val="0"/>
          <w:bCs w:val="0"/>
          <w:sz w:val="26"/>
          <w:szCs w:val="26"/>
          <w:rtl/>
        </w:rPr>
        <w:t>הודעה  לע</w:t>
      </w:r>
      <w:r w:rsidRPr="002644E2">
        <w:rPr>
          <w:rFonts w:hint="cs"/>
          <w:b w:val="0"/>
          <w:bCs w:val="0"/>
          <w:sz w:val="26"/>
          <w:szCs w:val="26"/>
          <w:rtl/>
        </w:rPr>
        <w:t>י</w:t>
      </w:r>
      <w:r w:rsidRPr="002644E2">
        <w:rPr>
          <w:b w:val="0"/>
          <w:bCs w:val="0"/>
          <w:sz w:val="26"/>
          <w:szCs w:val="26"/>
          <w:rtl/>
        </w:rPr>
        <w:t>תונות</w:t>
      </w:r>
    </w:p>
    <w:p w:rsidR="00157EDD" w:rsidRPr="00157EDD" w:rsidRDefault="00157EDD" w:rsidP="00A22924">
      <w:pPr>
        <w:spacing w:line="25" w:lineRule="atLeast"/>
        <w:rPr>
          <w:rFonts w:cs="David"/>
          <w:szCs w:val="24"/>
          <w:rtl/>
        </w:rPr>
      </w:pPr>
    </w:p>
    <w:p w:rsidR="002644E2" w:rsidRPr="002644E2" w:rsidRDefault="002644E2" w:rsidP="002644E2">
      <w:pPr>
        <w:spacing w:line="276" w:lineRule="auto"/>
        <w:jc w:val="center"/>
        <w:rPr>
          <w:rFonts w:cs="David"/>
          <w:b/>
          <w:bCs/>
          <w:sz w:val="36"/>
          <w:szCs w:val="36"/>
          <w:rtl/>
        </w:rPr>
      </w:pPr>
      <w:r w:rsidRPr="002644E2">
        <w:rPr>
          <w:rFonts w:cs="David"/>
          <w:b/>
          <w:bCs/>
          <w:sz w:val="36"/>
          <w:szCs w:val="36"/>
          <w:rtl/>
        </w:rPr>
        <w:t>שר האוצר מחייב את הדירקטורים החיצוניים לאשר את מדיניות התגמול של נושאי משרה בכירים במגזר הפיננסי</w:t>
      </w:r>
    </w:p>
    <w:p w:rsidR="002644E2" w:rsidRPr="002644E2" w:rsidRDefault="002644E2" w:rsidP="002644E2">
      <w:pPr>
        <w:spacing w:line="276" w:lineRule="auto"/>
        <w:rPr>
          <w:rFonts w:cs="David"/>
          <w:szCs w:val="24"/>
          <w:rtl/>
        </w:rPr>
      </w:pPr>
    </w:p>
    <w:p w:rsidR="002644E2" w:rsidRPr="002644E2" w:rsidRDefault="002644E2" w:rsidP="002644E2">
      <w:pPr>
        <w:spacing w:line="276" w:lineRule="auto"/>
        <w:rPr>
          <w:rFonts w:cs="David"/>
          <w:szCs w:val="24"/>
          <w:rtl/>
        </w:rPr>
      </w:pPr>
    </w:p>
    <w:p w:rsidR="00821B08" w:rsidRPr="00542D70" w:rsidRDefault="00542D70" w:rsidP="00821B08">
      <w:pPr>
        <w:spacing w:line="360" w:lineRule="auto"/>
        <w:rPr>
          <w:rFonts w:cs="David"/>
          <w:szCs w:val="24"/>
          <w:rtl/>
        </w:rPr>
      </w:pPr>
      <w:bookmarkStart w:id="2" w:name="_GoBack"/>
      <w:r w:rsidRPr="00542D70">
        <w:rPr>
          <w:rFonts w:cs="David"/>
          <w:szCs w:val="24"/>
          <w:rtl/>
        </w:rPr>
        <w:t>שר האוצר</w:t>
      </w:r>
      <w:r>
        <w:rPr>
          <w:rFonts w:cs="David" w:hint="cs"/>
          <w:szCs w:val="24"/>
          <w:rtl/>
        </w:rPr>
        <w:t>,</w:t>
      </w:r>
      <w:r w:rsidRPr="00542D70">
        <w:rPr>
          <w:rFonts w:cs="David"/>
          <w:szCs w:val="24"/>
          <w:rtl/>
        </w:rPr>
        <w:t xml:space="preserve"> </w:t>
      </w:r>
      <w:r w:rsidRPr="00821B08">
        <w:rPr>
          <w:rFonts w:cs="David"/>
          <w:b/>
          <w:bCs/>
          <w:szCs w:val="24"/>
          <w:rtl/>
        </w:rPr>
        <w:t>יאיר לפיד</w:t>
      </w:r>
      <w:r w:rsidRPr="00542D70">
        <w:rPr>
          <w:rFonts w:cs="David"/>
          <w:szCs w:val="24"/>
          <w:rtl/>
        </w:rPr>
        <w:t xml:space="preserve"> חתם היום על תקנות שמסדירות את אופן הצבע</w:t>
      </w:r>
      <w:r w:rsidR="00821B08">
        <w:rPr>
          <w:rFonts w:cs="David" w:hint="cs"/>
          <w:szCs w:val="24"/>
          <w:rtl/>
        </w:rPr>
        <w:t>תם</w:t>
      </w:r>
      <w:r w:rsidRPr="00542D70">
        <w:rPr>
          <w:rFonts w:cs="David"/>
          <w:szCs w:val="24"/>
          <w:rtl/>
        </w:rPr>
        <w:t xml:space="preserve"> של </w:t>
      </w:r>
      <w:r w:rsidR="00821B08">
        <w:rPr>
          <w:rFonts w:cs="David" w:hint="cs"/>
          <w:szCs w:val="24"/>
          <w:rtl/>
        </w:rPr>
        <w:t>ה</w:t>
      </w:r>
      <w:r w:rsidRPr="00542D70">
        <w:rPr>
          <w:rFonts w:cs="David"/>
          <w:szCs w:val="24"/>
          <w:rtl/>
        </w:rPr>
        <w:t xml:space="preserve">גופים </w:t>
      </w:r>
      <w:r w:rsidR="00821B08">
        <w:rPr>
          <w:rFonts w:cs="David" w:hint="cs"/>
          <w:szCs w:val="24"/>
          <w:rtl/>
        </w:rPr>
        <w:t>ה</w:t>
      </w:r>
      <w:r w:rsidRPr="00542D70">
        <w:rPr>
          <w:rFonts w:cs="David"/>
          <w:szCs w:val="24"/>
          <w:rtl/>
        </w:rPr>
        <w:t xml:space="preserve">מוסדיים </w:t>
      </w:r>
      <w:proofErr w:type="spellStart"/>
      <w:r w:rsidRPr="00542D70">
        <w:rPr>
          <w:rFonts w:cs="David"/>
          <w:szCs w:val="24"/>
          <w:rtl/>
        </w:rPr>
        <w:t>באסיפות</w:t>
      </w:r>
      <w:proofErr w:type="spellEnd"/>
      <w:r w:rsidRPr="00542D70">
        <w:rPr>
          <w:rFonts w:cs="David"/>
          <w:szCs w:val="24"/>
          <w:rtl/>
        </w:rPr>
        <w:t xml:space="preserve"> כלליות</w:t>
      </w:r>
      <w:r>
        <w:rPr>
          <w:rFonts w:cs="David" w:hint="cs"/>
          <w:szCs w:val="24"/>
          <w:rtl/>
        </w:rPr>
        <w:t>.</w:t>
      </w:r>
      <w:r w:rsidR="00821B08" w:rsidRPr="00821B08">
        <w:rPr>
          <w:rFonts w:cs="David"/>
          <w:szCs w:val="24"/>
          <w:rtl/>
        </w:rPr>
        <w:t xml:space="preserve"> </w:t>
      </w:r>
      <w:r w:rsidR="00821B08">
        <w:rPr>
          <w:rFonts w:cs="David" w:hint="cs"/>
          <w:szCs w:val="24"/>
          <w:rtl/>
        </w:rPr>
        <w:t xml:space="preserve">מטרת התקנות היא לייעל </w:t>
      </w:r>
      <w:r w:rsidR="00821B08" w:rsidRPr="00542D70">
        <w:rPr>
          <w:rFonts w:cs="David"/>
          <w:szCs w:val="24"/>
          <w:rtl/>
        </w:rPr>
        <w:t xml:space="preserve">את פעילות הגופים המוסדיים </w:t>
      </w:r>
      <w:proofErr w:type="spellStart"/>
      <w:r w:rsidR="00821B08" w:rsidRPr="00542D70">
        <w:rPr>
          <w:rFonts w:cs="David"/>
          <w:szCs w:val="24"/>
          <w:rtl/>
        </w:rPr>
        <w:t>באסיפות</w:t>
      </w:r>
      <w:proofErr w:type="spellEnd"/>
      <w:r w:rsidR="00821B08" w:rsidRPr="00542D70">
        <w:rPr>
          <w:rFonts w:cs="David"/>
          <w:szCs w:val="24"/>
          <w:rtl/>
        </w:rPr>
        <w:t xml:space="preserve"> כלליות, ו</w:t>
      </w:r>
      <w:r w:rsidR="00821B08">
        <w:rPr>
          <w:rFonts w:cs="David" w:hint="cs"/>
          <w:szCs w:val="24"/>
          <w:rtl/>
        </w:rPr>
        <w:t>ל</w:t>
      </w:r>
      <w:r w:rsidR="00821B08" w:rsidRPr="00542D70">
        <w:rPr>
          <w:rFonts w:cs="David"/>
          <w:szCs w:val="24"/>
          <w:rtl/>
        </w:rPr>
        <w:t>וודא כי השתתפות</w:t>
      </w:r>
      <w:r w:rsidR="00821B08">
        <w:rPr>
          <w:rFonts w:cs="David" w:hint="cs"/>
          <w:szCs w:val="24"/>
          <w:rtl/>
        </w:rPr>
        <w:t xml:space="preserve">ם </w:t>
      </w:r>
      <w:r w:rsidR="00821B08" w:rsidRPr="00542D70">
        <w:rPr>
          <w:rFonts w:cs="David"/>
          <w:szCs w:val="24"/>
          <w:rtl/>
        </w:rPr>
        <w:t>היא בעלת ערך ושומרת על האינטרס הציבורי ועל זכויות החוסכים.</w:t>
      </w:r>
    </w:p>
    <w:bookmarkEnd w:id="2"/>
    <w:p w:rsidR="00542D70" w:rsidRPr="00542D70" w:rsidRDefault="00542D70" w:rsidP="00542D70">
      <w:pPr>
        <w:spacing w:line="360" w:lineRule="auto"/>
        <w:rPr>
          <w:rFonts w:cs="David"/>
          <w:szCs w:val="24"/>
          <w:rtl/>
        </w:rPr>
      </w:pPr>
    </w:p>
    <w:p w:rsidR="00542D70" w:rsidRPr="00542D70" w:rsidRDefault="00542D70" w:rsidP="00821B08">
      <w:pPr>
        <w:spacing w:line="360" w:lineRule="auto"/>
        <w:rPr>
          <w:rFonts w:cs="David"/>
          <w:szCs w:val="24"/>
          <w:rtl/>
        </w:rPr>
      </w:pPr>
      <w:r w:rsidRPr="00542D70">
        <w:rPr>
          <w:rFonts w:cs="David"/>
          <w:szCs w:val="24"/>
          <w:rtl/>
        </w:rPr>
        <w:t xml:space="preserve">התקנות מתייחסות לרגישות הרבה ולפוטנציאל ניגודי העניינים </w:t>
      </w:r>
      <w:r w:rsidR="00821B08">
        <w:rPr>
          <w:rFonts w:cs="David" w:hint="cs"/>
          <w:szCs w:val="24"/>
          <w:rtl/>
        </w:rPr>
        <w:t xml:space="preserve">כאשר </w:t>
      </w:r>
      <w:r w:rsidRPr="00542D70">
        <w:rPr>
          <w:rFonts w:cs="David"/>
          <w:szCs w:val="24"/>
          <w:rtl/>
        </w:rPr>
        <w:t>גוף מוסדי אחד מצביע עבור מדיניות תגמול ומשכורות של גוף מוסדי אחר, לרבות בנק. ה</w:t>
      </w:r>
      <w:r>
        <w:rPr>
          <w:rFonts w:cs="David" w:hint="cs"/>
          <w:szCs w:val="24"/>
          <w:rtl/>
        </w:rPr>
        <w:t xml:space="preserve">תקנות </w:t>
      </w:r>
      <w:r w:rsidRPr="00542D70">
        <w:rPr>
          <w:rFonts w:cs="David"/>
          <w:szCs w:val="24"/>
          <w:rtl/>
        </w:rPr>
        <w:t>קובעות כי ההחלטה לגבי אופן ההצבעה במקרים אלה תתקבל רק על ידי הדירקטורים החיצוניים שחברים בוועדת ההשקעות</w:t>
      </w:r>
      <w:r>
        <w:rPr>
          <w:rFonts w:cs="David" w:hint="cs"/>
          <w:szCs w:val="24"/>
          <w:rtl/>
        </w:rPr>
        <w:t>.</w:t>
      </w:r>
      <w:r w:rsidRPr="00542D70">
        <w:rPr>
          <w:rFonts w:cs="David"/>
          <w:szCs w:val="24"/>
          <w:rtl/>
        </w:rPr>
        <w:t xml:space="preserve"> בכך </w:t>
      </w:r>
      <w:r>
        <w:rPr>
          <w:rFonts w:cs="David" w:hint="cs"/>
          <w:szCs w:val="24"/>
          <w:rtl/>
        </w:rPr>
        <w:t xml:space="preserve">התקנות </w:t>
      </w:r>
      <w:r w:rsidRPr="00542D70">
        <w:rPr>
          <w:rFonts w:cs="David"/>
          <w:szCs w:val="24"/>
          <w:rtl/>
        </w:rPr>
        <w:t>מקנות השפעה רבה להצבעת הדירקטורים החיצוניים על פני המלצת חברה מייעצת.</w:t>
      </w:r>
    </w:p>
    <w:p w:rsidR="00542D70" w:rsidRPr="00542D70" w:rsidRDefault="00542D70" w:rsidP="00542D70">
      <w:pPr>
        <w:spacing w:line="360" w:lineRule="auto"/>
        <w:rPr>
          <w:rFonts w:cs="David"/>
          <w:szCs w:val="24"/>
          <w:rtl/>
        </w:rPr>
      </w:pPr>
    </w:p>
    <w:p w:rsidR="00542D70" w:rsidRPr="00542D70" w:rsidRDefault="00542D70" w:rsidP="00821B08">
      <w:pPr>
        <w:spacing w:line="360" w:lineRule="auto"/>
        <w:rPr>
          <w:rFonts w:cs="David"/>
          <w:szCs w:val="24"/>
          <w:rtl/>
        </w:rPr>
      </w:pPr>
      <w:r w:rsidRPr="00542D70">
        <w:rPr>
          <w:rFonts w:cs="David"/>
          <w:szCs w:val="24"/>
          <w:rtl/>
        </w:rPr>
        <w:t xml:space="preserve">כמו כן, התקנות מפחיתות את מספר </w:t>
      </w:r>
      <w:proofErr w:type="spellStart"/>
      <w:r w:rsidRPr="00542D70">
        <w:rPr>
          <w:rFonts w:cs="David"/>
          <w:szCs w:val="24"/>
          <w:rtl/>
        </w:rPr>
        <w:t>האסיפות</w:t>
      </w:r>
      <w:proofErr w:type="spellEnd"/>
      <w:r w:rsidRPr="00542D70">
        <w:rPr>
          <w:rFonts w:cs="David"/>
          <w:szCs w:val="24"/>
          <w:rtl/>
        </w:rPr>
        <w:t xml:space="preserve"> בהם יחויבו הגופים להשתתף</w:t>
      </w:r>
      <w:r>
        <w:rPr>
          <w:rFonts w:cs="David" w:hint="cs"/>
          <w:szCs w:val="24"/>
          <w:rtl/>
        </w:rPr>
        <w:t>.</w:t>
      </w:r>
      <w:r w:rsidRPr="00542D70">
        <w:rPr>
          <w:rFonts w:cs="David"/>
          <w:szCs w:val="24"/>
          <w:rtl/>
        </w:rPr>
        <w:t xml:space="preserve"> בכך ה</w:t>
      </w:r>
      <w:r>
        <w:rPr>
          <w:rFonts w:cs="David" w:hint="cs"/>
          <w:szCs w:val="24"/>
          <w:rtl/>
        </w:rPr>
        <w:t>תקנות</w:t>
      </w:r>
      <w:r w:rsidRPr="00542D70">
        <w:rPr>
          <w:rFonts w:cs="David"/>
          <w:szCs w:val="24"/>
          <w:rtl/>
        </w:rPr>
        <w:t xml:space="preserve"> מאזנות בין הצורך להקטין את מספר </w:t>
      </w:r>
      <w:proofErr w:type="spellStart"/>
      <w:r w:rsidRPr="00542D70">
        <w:rPr>
          <w:rFonts w:cs="David"/>
          <w:szCs w:val="24"/>
          <w:rtl/>
        </w:rPr>
        <w:t>האסיפות</w:t>
      </w:r>
      <w:proofErr w:type="spellEnd"/>
      <w:r w:rsidRPr="00542D70">
        <w:rPr>
          <w:rFonts w:cs="David"/>
          <w:szCs w:val="24"/>
          <w:rtl/>
        </w:rPr>
        <w:t xml:space="preserve"> שהגופים משתתפים בהן, במיוחד בנושאים בהם הם אינם יכולים להשפיע</w:t>
      </w:r>
      <w:r>
        <w:rPr>
          <w:rFonts w:cs="David" w:hint="cs"/>
          <w:szCs w:val="24"/>
          <w:rtl/>
        </w:rPr>
        <w:t>,</w:t>
      </w:r>
      <w:r w:rsidRPr="00542D70">
        <w:rPr>
          <w:rFonts w:cs="David"/>
          <w:szCs w:val="24"/>
          <w:rtl/>
        </w:rPr>
        <w:t xml:space="preserve"> לבין הצורך והמחויבות להצביע בנושאים בהם בעל השליטה אינו זכאי להצביע</w:t>
      </w:r>
      <w:r>
        <w:rPr>
          <w:rFonts w:cs="David" w:hint="cs"/>
          <w:szCs w:val="24"/>
          <w:rtl/>
        </w:rPr>
        <w:t>,</w:t>
      </w:r>
      <w:r w:rsidRPr="00542D70">
        <w:rPr>
          <w:rFonts w:cs="David"/>
          <w:szCs w:val="24"/>
          <w:rtl/>
        </w:rPr>
        <w:t xml:space="preserve"> כך שיכולת ההחלטה בהצבעות </w:t>
      </w:r>
      <w:r>
        <w:rPr>
          <w:rFonts w:cs="David" w:hint="cs"/>
          <w:szCs w:val="24"/>
          <w:rtl/>
        </w:rPr>
        <w:t xml:space="preserve">נתונה </w:t>
      </w:r>
      <w:r w:rsidRPr="00542D70">
        <w:rPr>
          <w:rFonts w:cs="David"/>
          <w:szCs w:val="24"/>
          <w:rtl/>
        </w:rPr>
        <w:t xml:space="preserve">בידיהם. מדובר למשל </w:t>
      </w:r>
      <w:r w:rsidR="00821B08">
        <w:rPr>
          <w:rFonts w:cs="David" w:hint="cs"/>
          <w:szCs w:val="24"/>
          <w:rtl/>
        </w:rPr>
        <w:t>ב</w:t>
      </w:r>
      <w:r w:rsidRPr="00542D70">
        <w:rPr>
          <w:rFonts w:cs="David"/>
          <w:szCs w:val="24"/>
          <w:rtl/>
        </w:rPr>
        <w:t xml:space="preserve">עסקאות בעלי עניין, תגמול בכירים ומינוי דירקטורים חיצוניים. </w:t>
      </w:r>
    </w:p>
    <w:p w:rsidR="00542D70" w:rsidRPr="00542D70" w:rsidRDefault="00542D70" w:rsidP="00542D70">
      <w:pPr>
        <w:spacing w:line="360" w:lineRule="auto"/>
        <w:rPr>
          <w:rFonts w:cs="David"/>
          <w:szCs w:val="24"/>
          <w:rtl/>
        </w:rPr>
      </w:pPr>
    </w:p>
    <w:p w:rsidR="00542D70" w:rsidRPr="00542D70" w:rsidRDefault="00542D70" w:rsidP="00542D70">
      <w:pPr>
        <w:spacing w:line="360" w:lineRule="auto"/>
        <w:rPr>
          <w:rFonts w:cs="David"/>
          <w:szCs w:val="24"/>
          <w:rtl/>
        </w:rPr>
      </w:pPr>
      <w:r w:rsidRPr="00542D70">
        <w:rPr>
          <w:rFonts w:cs="David"/>
          <w:szCs w:val="24"/>
          <w:rtl/>
        </w:rPr>
        <w:t>בנוסף, נקבעו הוראות שונות ביחס להתקשרות של גוף מוסדי עם חברה מייעצת. הוראות אלה מוודאות כי חברות מייעצות פועלות בסטנדרטים ונורמות ראויות, כפי שמקובל בשווקים מפותחים.</w:t>
      </w:r>
    </w:p>
    <w:p w:rsidR="00542D70" w:rsidRPr="00542D70" w:rsidRDefault="00542D70" w:rsidP="00542D70">
      <w:pPr>
        <w:spacing w:line="360" w:lineRule="auto"/>
        <w:rPr>
          <w:rFonts w:cs="David"/>
          <w:szCs w:val="24"/>
          <w:rtl/>
        </w:rPr>
      </w:pPr>
    </w:p>
    <w:p w:rsidR="009C4E45" w:rsidRDefault="009C4E45" w:rsidP="00542D70">
      <w:pPr>
        <w:spacing w:line="360" w:lineRule="auto"/>
        <w:rPr>
          <w:rFonts w:cs="David"/>
          <w:szCs w:val="24"/>
          <w:rtl/>
        </w:rPr>
      </w:pPr>
      <w:r>
        <w:rPr>
          <w:rFonts w:cs="David" w:hint="cs"/>
          <w:szCs w:val="24"/>
          <w:rtl/>
        </w:rPr>
        <w:t xml:space="preserve">שר האוצר, </w:t>
      </w:r>
      <w:r w:rsidRPr="00735FC1">
        <w:rPr>
          <w:rFonts w:cs="David" w:hint="cs"/>
          <w:b/>
          <w:bCs/>
          <w:szCs w:val="24"/>
          <w:rtl/>
        </w:rPr>
        <w:t>יאיר לפיד</w:t>
      </w:r>
      <w:r>
        <w:rPr>
          <w:rFonts w:cs="David" w:hint="cs"/>
          <w:szCs w:val="24"/>
          <w:rtl/>
        </w:rPr>
        <w:t xml:space="preserve">: "מטרת התקנות היא להסדיר באופן ברור את מדיניות התגמול </w:t>
      </w:r>
      <w:proofErr w:type="spellStart"/>
      <w:r>
        <w:rPr>
          <w:rFonts w:cs="David" w:hint="cs"/>
          <w:szCs w:val="24"/>
          <w:rtl/>
        </w:rPr>
        <w:t>באסיפות</w:t>
      </w:r>
      <w:proofErr w:type="spellEnd"/>
      <w:r>
        <w:rPr>
          <w:rFonts w:cs="David" w:hint="cs"/>
          <w:szCs w:val="24"/>
          <w:rtl/>
        </w:rPr>
        <w:t xml:space="preserve"> הכלליות כדי למנוע את המשך השתוללות שכר הבכירים. נמשיך לוודא שפעילות התגמול לא פוגעת באינטרסים ציבוריים ובזכויות החוסכים".</w:t>
      </w:r>
    </w:p>
    <w:p w:rsidR="009C4E45" w:rsidRDefault="009C4E45" w:rsidP="00542D70">
      <w:pPr>
        <w:spacing w:line="360" w:lineRule="auto"/>
        <w:rPr>
          <w:rFonts w:cs="David"/>
          <w:szCs w:val="24"/>
          <w:rtl/>
        </w:rPr>
      </w:pPr>
    </w:p>
    <w:p w:rsidR="00542D70" w:rsidRDefault="00542D70" w:rsidP="00542D70">
      <w:pPr>
        <w:spacing w:line="360" w:lineRule="auto"/>
        <w:rPr>
          <w:rFonts w:cs="David"/>
          <w:szCs w:val="24"/>
          <w:rtl/>
        </w:rPr>
      </w:pPr>
      <w:r w:rsidRPr="00542D70">
        <w:rPr>
          <w:rFonts w:cs="David"/>
          <w:szCs w:val="24"/>
          <w:rtl/>
        </w:rPr>
        <w:t xml:space="preserve">הממונה על שוק ההון, ביטוח וחיסכון, </w:t>
      </w:r>
      <w:r w:rsidRPr="00821B08">
        <w:rPr>
          <w:rFonts w:cs="David"/>
          <w:b/>
          <w:bCs/>
          <w:szCs w:val="24"/>
          <w:rtl/>
        </w:rPr>
        <w:t xml:space="preserve">דורית </w:t>
      </w:r>
      <w:proofErr w:type="spellStart"/>
      <w:r w:rsidRPr="00821B08">
        <w:rPr>
          <w:rFonts w:cs="David"/>
          <w:b/>
          <w:bCs/>
          <w:szCs w:val="24"/>
          <w:rtl/>
        </w:rPr>
        <w:t>סלינגר</w:t>
      </w:r>
      <w:proofErr w:type="spellEnd"/>
      <w:r w:rsidRPr="00542D70">
        <w:rPr>
          <w:rFonts w:cs="David"/>
          <w:szCs w:val="24"/>
          <w:rtl/>
        </w:rPr>
        <w:t>: "ההסדרה מהווה צעד נוסף בהגברת האחריות של גופים מוסדיים על ההתנהלות בשוק ההון הישראלי. התקנות מטילות על הגופים אחריות כבדה במקום בו הם יכולים להשפיע באופן מהותי על תוצאות ההצבעה, ומעצימות את תפקידם של דירקטורים כשומרי הסף ושמירת אינטרס הציבור".</w:t>
      </w:r>
    </w:p>
    <w:p w:rsidR="009C4E45" w:rsidRPr="00542D70" w:rsidRDefault="009C4E45" w:rsidP="00542D70">
      <w:pPr>
        <w:spacing w:line="360" w:lineRule="auto"/>
        <w:rPr>
          <w:rFonts w:cs="David"/>
          <w:szCs w:val="24"/>
          <w:rtl/>
        </w:rPr>
      </w:pPr>
    </w:p>
    <w:p w:rsidR="00157EDD" w:rsidRDefault="00157EDD" w:rsidP="00542D70">
      <w:pPr>
        <w:spacing w:line="360" w:lineRule="auto"/>
        <w:rPr>
          <w:rFonts w:cs="David"/>
          <w:szCs w:val="24"/>
          <w:rtl/>
        </w:rPr>
      </w:pPr>
    </w:p>
    <w:sectPr w:rsidR="00157EDD" w:rsidSect="00CD4D8F">
      <w:footerReference w:type="default" r:id="rId9"/>
      <w:headerReference w:type="first" r:id="rId10"/>
      <w:footerReference w:type="first" r:id="rId11"/>
      <w:pgSz w:w="11906" w:h="16838"/>
      <w:pgMar w:top="1780" w:right="1418" w:bottom="1134" w:left="1418" w:header="142" w:footer="34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9DC" w:rsidRDefault="00FA09DC" w:rsidP="00157EDD">
      <w:r>
        <w:separator/>
      </w:r>
    </w:p>
  </w:endnote>
  <w:endnote w:type="continuationSeparator" w:id="0">
    <w:p w:rsidR="00FA09DC" w:rsidRDefault="00FA09DC" w:rsidP="0015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EDD" w:rsidRPr="002D5772" w:rsidRDefault="00157EDD" w:rsidP="00157EDD">
    <w:pPr>
      <w:pStyle w:val="aa"/>
      <w:pBdr>
        <w:top w:val="single" w:sz="6" w:space="1" w:color="auto"/>
      </w:pBdr>
      <w:rPr>
        <w:sz w:val="4"/>
        <w:szCs w:val="4"/>
        <w:rtl/>
      </w:rPr>
    </w:pPr>
    <w:r w:rsidRPr="002D5772">
      <w:rPr>
        <w:b/>
        <w:bCs/>
        <w:sz w:val="22"/>
        <w:szCs w:val="22"/>
        <w:rtl/>
      </w:rPr>
      <w:t>רח' קפלן 1, הקריה ירושלים 91</w:t>
    </w:r>
    <w:r w:rsidRPr="002D5772">
      <w:rPr>
        <w:rFonts w:hint="cs"/>
        <w:b/>
        <w:bCs/>
        <w:sz w:val="22"/>
        <w:szCs w:val="22"/>
        <w:rtl/>
      </w:rPr>
      <w:t>030</w:t>
    </w:r>
    <w:r w:rsidRPr="002D5772">
      <w:rPr>
        <w:b/>
        <w:bCs/>
        <w:sz w:val="22"/>
        <w:szCs w:val="22"/>
        <w:rtl/>
      </w:rPr>
      <w:t xml:space="preserve"> טל':</w:t>
    </w:r>
    <w:r w:rsidRPr="002D5772">
      <w:rPr>
        <w:rFonts w:hAnsi="Narkisim"/>
        <w:b/>
        <w:bCs/>
        <w:sz w:val="22"/>
        <w:szCs w:val="22"/>
      </w:rPr>
      <w:t>02-5317201</w:t>
    </w:r>
    <w:r w:rsidRPr="002D5772">
      <w:rPr>
        <w:b/>
        <w:bCs/>
        <w:sz w:val="22"/>
        <w:szCs w:val="22"/>
        <w:rtl/>
      </w:rPr>
      <w:t xml:space="preserve"> פקס':</w:t>
    </w:r>
    <w:r w:rsidRPr="002D5772">
      <w:rPr>
        <w:rFonts w:hAnsi="Narkisim"/>
        <w:b/>
        <w:bCs/>
        <w:sz w:val="22"/>
        <w:szCs w:val="22"/>
      </w:rPr>
      <w:t>02-56</w:t>
    </w:r>
    <w:r w:rsidRPr="002D5772">
      <w:rPr>
        <w:b/>
        <w:bCs/>
        <w:sz w:val="22"/>
        <w:szCs w:val="22"/>
      </w:rPr>
      <w:t>95355</w:t>
    </w:r>
    <w:r w:rsidRPr="002D5772">
      <w:rPr>
        <w:b/>
        <w:bCs/>
        <w:sz w:val="22"/>
        <w:szCs w:val="22"/>
        <w:rtl/>
      </w:rPr>
      <w:t xml:space="preserve"> </w:t>
    </w:r>
    <w:r w:rsidRPr="002D5772">
      <w:rPr>
        <w:b/>
        <w:bCs/>
        <w:sz w:val="22"/>
        <w:szCs w:val="22"/>
        <w:rtl/>
      </w:rPr>
      <w:br/>
    </w:r>
  </w:p>
  <w:p w:rsidR="00157EDD" w:rsidRPr="00157EDD" w:rsidRDefault="00157EDD" w:rsidP="00157EDD">
    <w:pPr>
      <w:pStyle w:val="aa"/>
      <w:pBdr>
        <w:top w:val="single" w:sz="6" w:space="1" w:color="auto"/>
      </w:pBdr>
      <w:tabs>
        <w:tab w:val="clear" w:pos="4153"/>
        <w:tab w:val="clear" w:pos="8306"/>
        <w:tab w:val="center" w:pos="4556"/>
        <w:tab w:val="right" w:pos="9638"/>
      </w:tabs>
      <w:rPr>
        <w:color w:val="0000FF"/>
        <w:sz w:val="22"/>
        <w:szCs w:val="22"/>
        <w:rtl/>
      </w:rPr>
    </w:pPr>
    <w:r w:rsidRPr="00157EDD">
      <w:rPr>
        <w:rFonts w:hint="cs"/>
        <w:sz w:val="22"/>
        <w:szCs w:val="22"/>
        <w:rtl/>
      </w:rPr>
      <w:t xml:space="preserve">דוא"ל: </w:t>
    </w:r>
    <w:hyperlink r:id="rId1" w:history="1">
      <w:r w:rsidRPr="00157EDD">
        <w:rPr>
          <w:rStyle w:val="Hyperlink"/>
          <w:sz w:val="22"/>
          <w:szCs w:val="22"/>
          <w:u w:val="none"/>
        </w:rPr>
        <w:t>dover@mof.gov.il</w:t>
      </w:r>
    </w:hyperlink>
    <w:r w:rsidRPr="00157EDD">
      <w:rPr>
        <w:sz w:val="22"/>
        <w:szCs w:val="22"/>
      </w:rPr>
      <w:t xml:space="preserve">  </w:t>
    </w:r>
    <w:r w:rsidRPr="00157EDD">
      <w:rPr>
        <w:rStyle w:val="Hyperlink"/>
        <w:rFonts w:hint="cs"/>
        <w:sz w:val="22"/>
        <w:szCs w:val="22"/>
        <w:u w:val="none"/>
        <w:rtl/>
      </w:rPr>
      <w:t xml:space="preserve">           </w:t>
    </w:r>
    <w:r>
      <w:rPr>
        <w:rStyle w:val="Hyperlink"/>
        <w:rFonts w:hint="cs"/>
        <w:sz w:val="22"/>
        <w:szCs w:val="22"/>
        <w:u w:val="none"/>
        <w:rtl/>
      </w:rPr>
      <w:t xml:space="preserve">                  </w:t>
    </w:r>
    <w:r w:rsidRPr="00157EDD">
      <w:rPr>
        <w:rStyle w:val="Hyperlink"/>
        <w:rFonts w:hint="cs"/>
        <w:sz w:val="22"/>
        <w:szCs w:val="22"/>
        <w:u w:val="none"/>
        <w:rtl/>
      </w:rPr>
      <w:t xml:space="preserve">       </w:t>
    </w:r>
    <w:r w:rsidRPr="00157EDD">
      <w:rPr>
        <w:rFonts w:hint="cs"/>
        <w:noProof/>
        <w:sz w:val="22"/>
        <w:szCs w:val="22"/>
        <w:lang w:eastAsia="en-US"/>
      </w:rPr>
      <w:drawing>
        <wp:inline distT="0" distB="0" distL="0" distR="0" wp14:anchorId="3B7E1FEE" wp14:editId="709BB850">
          <wp:extent cx="286385" cy="182880"/>
          <wp:effectExtent l="0" t="0" r="0" b="7620"/>
          <wp:docPr id="10" name="תמונה 10" descr="מוקטן2">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6385" cy="182880"/>
                  </a:xfrm>
                  <a:prstGeom prst="rect">
                    <a:avLst/>
                  </a:prstGeom>
                  <a:noFill/>
                  <a:ln>
                    <a:noFill/>
                  </a:ln>
                </pic:spPr>
              </pic:pic>
            </a:graphicData>
          </a:graphic>
        </wp:inline>
      </w:drawing>
    </w:r>
    <w:r w:rsidRPr="00157EDD">
      <w:rPr>
        <w:rStyle w:val="Hyperlink"/>
        <w:rFonts w:hint="cs"/>
        <w:sz w:val="22"/>
        <w:szCs w:val="22"/>
        <w:u w:val="none"/>
        <w:rtl/>
      </w:rPr>
      <w:t xml:space="preserve">   </w:t>
    </w:r>
    <w:r w:rsidRPr="00157EDD">
      <w:rPr>
        <w:rFonts w:hint="cs"/>
        <w:noProof/>
        <w:sz w:val="22"/>
        <w:szCs w:val="22"/>
        <w:lang w:eastAsia="en-US"/>
      </w:rPr>
      <w:drawing>
        <wp:inline distT="0" distB="0" distL="0" distR="0" wp14:anchorId="20FAC083" wp14:editId="4EB82733">
          <wp:extent cx="167005" cy="174625"/>
          <wp:effectExtent l="0" t="0" r="4445" b="0"/>
          <wp:docPr id="11" name="תמונה 1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05" cy="174625"/>
                  </a:xfrm>
                  <a:prstGeom prst="rect">
                    <a:avLst/>
                  </a:prstGeom>
                  <a:noFill/>
                  <a:ln>
                    <a:noFill/>
                  </a:ln>
                </pic:spPr>
              </pic:pic>
            </a:graphicData>
          </a:graphic>
        </wp:inline>
      </w:drawing>
    </w:r>
    <w:r w:rsidRPr="00157EDD">
      <w:rPr>
        <w:rStyle w:val="Hyperlink"/>
        <w:rFonts w:hint="cs"/>
        <w:sz w:val="22"/>
        <w:szCs w:val="22"/>
        <w:u w:val="none"/>
        <w:rtl/>
      </w:rPr>
      <w:t xml:space="preserve">   </w:t>
    </w:r>
    <w:r w:rsidRPr="00157EDD">
      <w:rPr>
        <w:rFonts w:hint="cs"/>
        <w:noProof/>
        <w:sz w:val="22"/>
        <w:szCs w:val="22"/>
        <w:lang w:eastAsia="en-US"/>
      </w:rPr>
      <w:drawing>
        <wp:inline distT="0" distB="0" distL="0" distR="0" wp14:anchorId="09C49F8E" wp14:editId="5729BDC3">
          <wp:extent cx="198755" cy="182880"/>
          <wp:effectExtent l="0" t="0" r="0" b="7620"/>
          <wp:docPr id="12" name="תמונה 1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 cy="182880"/>
                  </a:xfrm>
                  <a:prstGeom prst="rect">
                    <a:avLst/>
                  </a:prstGeom>
                  <a:noFill/>
                  <a:ln>
                    <a:noFill/>
                  </a:ln>
                </pic:spPr>
              </pic:pic>
            </a:graphicData>
          </a:graphic>
        </wp:inline>
      </w:drawing>
    </w:r>
    <w:r w:rsidRPr="00157EDD">
      <w:rPr>
        <w:rStyle w:val="Hyperlink"/>
        <w:rFonts w:hint="cs"/>
        <w:sz w:val="22"/>
        <w:szCs w:val="22"/>
        <w:u w:val="none"/>
        <w:rtl/>
      </w:rPr>
      <w:t xml:space="preserve">  </w:t>
    </w:r>
    <w:r w:rsidRPr="00157EDD">
      <w:rPr>
        <w:rFonts w:hint="cs"/>
        <w:noProof/>
        <w:sz w:val="22"/>
        <w:szCs w:val="22"/>
        <w:lang w:eastAsia="en-US"/>
      </w:rPr>
      <w:drawing>
        <wp:inline distT="0" distB="0" distL="0" distR="0" wp14:anchorId="7761BE00" wp14:editId="7BC2EFDF">
          <wp:extent cx="191135" cy="174625"/>
          <wp:effectExtent l="0" t="0" r="0" b="0"/>
          <wp:docPr id="13" name="תמונה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174625"/>
                  </a:xfrm>
                  <a:prstGeom prst="rect">
                    <a:avLst/>
                  </a:prstGeom>
                  <a:noFill/>
                  <a:ln>
                    <a:noFill/>
                  </a:ln>
                </pic:spPr>
              </pic:pic>
            </a:graphicData>
          </a:graphic>
        </wp:inline>
      </w:drawing>
    </w:r>
    <w:r w:rsidRPr="00157EDD">
      <w:rPr>
        <w:rStyle w:val="Hyperlink"/>
        <w:rFonts w:hint="cs"/>
        <w:sz w:val="22"/>
        <w:szCs w:val="22"/>
        <w:u w:val="none"/>
        <w:rtl/>
      </w:rPr>
      <w:tab/>
      <w:t xml:space="preserve">      פורטל האוצר:</w:t>
    </w:r>
    <w:r w:rsidRPr="00157EDD">
      <w:rPr>
        <w:rStyle w:val="Hyperlink"/>
        <w:sz w:val="22"/>
        <w:szCs w:val="22"/>
        <w:u w:val="none"/>
      </w:rPr>
      <w:t>www.mof.gov.il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155" w:rsidRPr="002D5772" w:rsidRDefault="00157EDD" w:rsidP="001B3155">
    <w:pPr>
      <w:pStyle w:val="aa"/>
      <w:pBdr>
        <w:top w:val="single" w:sz="6" w:space="1" w:color="auto"/>
      </w:pBdr>
      <w:rPr>
        <w:sz w:val="4"/>
        <w:szCs w:val="4"/>
        <w:rtl/>
      </w:rPr>
    </w:pPr>
    <w:r w:rsidRPr="002D5772">
      <w:rPr>
        <w:b/>
        <w:bCs/>
        <w:sz w:val="22"/>
        <w:szCs w:val="22"/>
        <w:rtl/>
      </w:rPr>
      <w:t>רח' קפלן 1, הקריה ירושלים 91</w:t>
    </w:r>
    <w:r w:rsidRPr="002D5772">
      <w:rPr>
        <w:rFonts w:hint="cs"/>
        <w:b/>
        <w:bCs/>
        <w:sz w:val="22"/>
        <w:szCs w:val="22"/>
        <w:rtl/>
      </w:rPr>
      <w:t>030</w:t>
    </w:r>
    <w:r w:rsidRPr="002D5772">
      <w:rPr>
        <w:b/>
        <w:bCs/>
        <w:sz w:val="22"/>
        <w:szCs w:val="22"/>
        <w:rtl/>
      </w:rPr>
      <w:t xml:space="preserve"> טל':</w:t>
    </w:r>
    <w:r w:rsidRPr="002D5772">
      <w:rPr>
        <w:rFonts w:hAnsi="Narkisim"/>
        <w:b/>
        <w:bCs/>
        <w:sz w:val="22"/>
        <w:szCs w:val="22"/>
      </w:rPr>
      <w:t>02-5317201</w:t>
    </w:r>
    <w:r w:rsidRPr="002D5772">
      <w:rPr>
        <w:b/>
        <w:bCs/>
        <w:sz w:val="22"/>
        <w:szCs w:val="22"/>
        <w:rtl/>
      </w:rPr>
      <w:t xml:space="preserve"> פקס':</w:t>
    </w:r>
    <w:r w:rsidRPr="002D5772">
      <w:rPr>
        <w:rFonts w:hAnsi="Narkisim"/>
        <w:b/>
        <w:bCs/>
        <w:sz w:val="22"/>
        <w:szCs w:val="22"/>
      </w:rPr>
      <w:t>02-56</w:t>
    </w:r>
    <w:r w:rsidRPr="002D5772">
      <w:rPr>
        <w:b/>
        <w:bCs/>
        <w:sz w:val="22"/>
        <w:szCs w:val="22"/>
      </w:rPr>
      <w:t>95355</w:t>
    </w:r>
    <w:r w:rsidRPr="002D5772">
      <w:rPr>
        <w:b/>
        <w:bCs/>
        <w:sz w:val="22"/>
        <w:szCs w:val="22"/>
        <w:rtl/>
      </w:rPr>
      <w:t xml:space="preserve"> </w:t>
    </w:r>
    <w:r w:rsidRPr="002D5772">
      <w:rPr>
        <w:b/>
        <w:bCs/>
        <w:sz w:val="22"/>
        <w:szCs w:val="22"/>
        <w:rtl/>
      </w:rPr>
      <w:br/>
    </w:r>
  </w:p>
  <w:p w:rsidR="001B3155" w:rsidRPr="00157EDD" w:rsidRDefault="00157EDD" w:rsidP="00157EDD">
    <w:pPr>
      <w:pStyle w:val="aa"/>
      <w:pBdr>
        <w:top w:val="single" w:sz="6" w:space="1" w:color="auto"/>
      </w:pBdr>
      <w:tabs>
        <w:tab w:val="clear" w:pos="4153"/>
        <w:tab w:val="clear" w:pos="8306"/>
        <w:tab w:val="center" w:pos="4556"/>
        <w:tab w:val="right" w:pos="9638"/>
      </w:tabs>
      <w:rPr>
        <w:color w:val="0000FF"/>
        <w:sz w:val="22"/>
        <w:szCs w:val="22"/>
        <w:rtl/>
      </w:rPr>
    </w:pPr>
    <w:r w:rsidRPr="00157EDD">
      <w:rPr>
        <w:rFonts w:hint="cs"/>
        <w:sz w:val="22"/>
        <w:szCs w:val="22"/>
        <w:rtl/>
      </w:rPr>
      <w:t xml:space="preserve">דוא"ל: </w:t>
    </w:r>
    <w:hyperlink r:id="rId1" w:history="1">
      <w:r w:rsidRPr="00157EDD">
        <w:rPr>
          <w:rStyle w:val="Hyperlink"/>
          <w:sz w:val="22"/>
          <w:szCs w:val="22"/>
          <w:u w:val="none"/>
        </w:rPr>
        <w:t>dover@mof.gov.il</w:t>
      </w:r>
    </w:hyperlink>
    <w:r w:rsidRPr="00157EDD">
      <w:rPr>
        <w:sz w:val="22"/>
        <w:szCs w:val="22"/>
      </w:rPr>
      <w:t xml:space="preserve">  </w:t>
    </w:r>
    <w:r w:rsidRPr="00157EDD">
      <w:rPr>
        <w:rStyle w:val="Hyperlink"/>
        <w:rFonts w:hint="cs"/>
        <w:sz w:val="22"/>
        <w:szCs w:val="22"/>
        <w:u w:val="none"/>
        <w:rtl/>
      </w:rPr>
      <w:t xml:space="preserve">           </w:t>
    </w:r>
    <w:r>
      <w:rPr>
        <w:rStyle w:val="Hyperlink"/>
        <w:rFonts w:hint="cs"/>
        <w:sz w:val="22"/>
        <w:szCs w:val="22"/>
        <w:u w:val="none"/>
        <w:rtl/>
      </w:rPr>
      <w:t xml:space="preserve">                  </w:t>
    </w:r>
    <w:r w:rsidRPr="00157EDD">
      <w:rPr>
        <w:rStyle w:val="Hyperlink"/>
        <w:rFonts w:hint="cs"/>
        <w:sz w:val="22"/>
        <w:szCs w:val="22"/>
        <w:u w:val="none"/>
        <w:rtl/>
      </w:rPr>
      <w:t xml:space="preserve">       </w:t>
    </w:r>
    <w:r w:rsidRPr="00157EDD">
      <w:rPr>
        <w:rFonts w:hint="cs"/>
        <w:noProof/>
        <w:sz w:val="22"/>
        <w:szCs w:val="22"/>
        <w:lang w:eastAsia="en-US"/>
      </w:rPr>
      <w:drawing>
        <wp:inline distT="0" distB="0" distL="0" distR="0" wp14:anchorId="4224E7F4" wp14:editId="1CE35CC0">
          <wp:extent cx="286385" cy="182880"/>
          <wp:effectExtent l="0" t="0" r="0" b="7620"/>
          <wp:docPr id="4" name="תמונה 4" descr="מוקטן2">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6385" cy="182880"/>
                  </a:xfrm>
                  <a:prstGeom prst="rect">
                    <a:avLst/>
                  </a:prstGeom>
                  <a:noFill/>
                  <a:ln>
                    <a:noFill/>
                  </a:ln>
                </pic:spPr>
              </pic:pic>
            </a:graphicData>
          </a:graphic>
        </wp:inline>
      </w:drawing>
    </w:r>
    <w:r w:rsidRPr="00157EDD">
      <w:rPr>
        <w:rStyle w:val="Hyperlink"/>
        <w:rFonts w:hint="cs"/>
        <w:sz w:val="22"/>
        <w:szCs w:val="22"/>
        <w:u w:val="none"/>
        <w:rtl/>
      </w:rPr>
      <w:t xml:space="preserve">   </w:t>
    </w:r>
    <w:r w:rsidRPr="00157EDD">
      <w:rPr>
        <w:rFonts w:hint="cs"/>
        <w:noProof/>
        <w:sz w:val="22"/>
        <w:szCs w:val="22"/>
        <w:lang w:eastAsia="en-US"/>
      </w:rPr>
      <w:drawing>
        <wp:inline distT="0" distB="0" distL="0" distR="0" wp14:anchorId="5969F4CF" wp14:editId="50E198D7">
          <wp:extent cx="167005" cy="174625"/>
          <wp:effectExtent l="0" t="0" r="4445" b="0"/>
          <wp:docPr id="3" name="תמונה 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005" cy="174625"/>
                  </a:xfrm>
                  <a:prstGeom prst="rect">
                    <a:avLst/>
                  </a:prstGeom>
                  <a:noFill/>
                  <a:ln>
                    <a:noFill/>
                  </a:ln>
                </pic:spPr>
              </pic:pic>
            </a:graphicData>
          </a:graphic>
        </wp:inline>
      </w:drawing>
    </w:r>
    <w:r w:rsidRPr="00157EDD">
      <w:rPr>
        <w:rStyle w:val="Hyperlink"/>
        <w:rFonts w:hint="cs"/>
        <w:sz w:val="22"/>
        <w:szCs w:val="22"/>
        <w:u w:val="none"/>
        <w:rtl/>
      </w:rPr>
      <w:t xml:space="preserve">   </w:t>
    </w:r>
    <w:r w:rsidRPr="00157EDD">
      <w:rPr>
        <w:rFonts w:hint="cs"/>
        <w:noProof/>
        <w:sz w:val="22"/>
        <w:szCs w:val="22"/>
        <w:lang w:eastAsia="en-US"/>
      </w:rPr>
      <w:drawing>
        <wp:inline distT="0" distB="0" distL="0" distR="0" wp14:anchorId="79B162AB" wp14:editId="25232FE9">
          <wp:extent cx="198755" cy="182880"/>
          <wp:effectExtent l="0" t="0" r="0" b="7620"/>
          <wp:docPr id="2" name="תמונה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755" cy="182880"/>
                  </a:xfrm>
                  <a:prstGeom prst="rect">
                    <a:avLst/>
                  </a:prstGeom>
                  <a:noFill/>
                  <a:ln>
                    <a:noFill/>
                  </a:ln>
                </pic:spPr>
              </pic:pic>
            </a:graphicData>
          </a:graphic>
        </wp:inline>
      </w:drawing>
    </w:r>
    <w:r w:rsidRPr="00157EDD">
      <w:rPr>
        <w:rStyle w:val="Hyperlink"/>
        <w:rFonts w:hint="cs"/>
        <w:sz w:val="22"/>
        <w:szCs w:val="22"/>
        <w:u w:val="none"/>
        <w:rtl/>
      </w:rPr>
      <w:t xml:space="preserve">  </w:t>
    </w:r>
    <w:r w:rsidRPr="00157EDD">
      <w:rPr>
        <w:rFonts w:hint="cs"/>
        <w:noProof/>
        <w:sz w:val="22"/>
        <w:szCs w:val="22"/>
        <w:lang w:eastAsia="en-US"/>
      </w:rPr>
      <w:drawing>
        <wp:inline distT="0" distB="0" distL="0" distR="0" wp14:anchorId="51F1C5CD" wp14:editId="433E203D">
          <wp:extent cx="191135" cy="174625"/>
          <wp:effectExtent l="0" t="0" r="0" b="0"/>
          <wp:docPr id="1" name="תמונה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135" cy="174625"/>
                  </a:xfrm>
                  <a:prstGeom prst="rect">
                    <a:avLst/>
                  </a:prstGeom>
                  <a:noFill/>
                  <a:ln>
                    <a:noFill/>
                  </a:ln>
                </pic:spPr>
              </pic:pic>
            </a:graphicData>
          </a:graphic>
        </wp:inline>
      </w:drawing>
    </w:r>
    <w:r w:rsidRPr="00157EDD">
      <w:rPr>
        <w:rStyle w:val="Hyperlink"/>
        <w:rFonts w:hint="cs"/>
        <w:sz w:val="22"/>
        <w:szCs w:val="22"/>
        <w:u w:val="none"/>
        <w:rtl/>
      </w:rPr>
      <w:tab/>
      <w:t xml:space="preserve">      פורטל האוצר:</w:t>
    </w:r>
    <w:r w:rsidRPr="00157EDD">
      <w:rPr>
        <w:rStyle w:val="Hyperlink"/>
        <w:sz w:val="22"/>
        <w:szCs w:val="22"/>
        <w:u w:val="none"/>
      </w:rPr>
      <w:t>www.mof.gov.il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9DC" w:rsidRDefault="00FA09DC" w:rsidP="00157EDD">
      <w:r>
        <w:separator/>
      </w:r>
    </w:p>
  </w:footnote>
  <w:footnote w:type="continuationSeparator" w:id="0">
    <w:p w:rsidR="00FA09DC" w:rsidRDefault="00FA09DC" w:rsidP="00157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D8F" w:rsidRDefault="00CD4D8F" w:rsidP="00A22924">
    <w:pPr>
      <w:pStyle w:val="a8"/>
      <w:tabs>
        <w:tab w:val="left" w:pos="4061"/>
        <w:tab w:val="center" w:pos="4590"/>
      </w:tabs>
      <w:jc w:val="left"/>
      <w:rPr>
        <w:b/>
        <w:bCs/>
        <w:szCs w:val="40"/>
        <w:rtl/>
      </w:rPr>
    </w:pPr>
  </w:p>
  <w:p w:rsidR="00E614F7" w:rsidRDefault="00A22924" w:rsidP="00A22924">
    <w:pPr>
      <w:pStyle w:val="a8"/>
      <w:tabs>
        <w:tab w:val="left" w:pos="4061"/>
        <w:tab w:val="center" w:pos="4590"/>
      </w:tabs>
      <w:jc w:val="left"/>
      <w:rPr>
        <w:b/>
        <w:bCs/>
        <w:szCs w:val="40"/>
        <w:rtl/>
      </w:rPr>
    </w:pPr>
    <w:r>
      <w:rPr>
        <w:b/>
        <w:bCs/>
        <w:szCs w:val="40"/>
        <w:rtl/>
      </w:rPr>
      <w:tab/>
    </w:r>
    <w:r>
      <w:rPr>
        <w:rFonts w:hint="cs"/>
        <w:b/>
        <w:bCs/>
        <w:szCs w:val="40"/>
        <w:rtl/>
      </w:rPr>
      <w:t xml:space="preserve"> </w:t>
    </w:r>
    <w:r>
      <w:rPr>
        <w:b/>
        <w:bCs/>
        <w:szCs w:val="40"/>
        <w:rtl/>
      </w:rPr>
      <w:tab/>
    </w:r>
    <w:r w:rsidR="00157EDD">
      <w:rPr>
        <w:b/>
        <w:bCs/>
        <w:noProof/>
        <w:szCs w:val="40"/>
        <w:rtl/>
        <w:lang w:eastAsia="en-US"/>
      </w:rPr>
      <w:drawing>
        <wp:inline distT="0" distB="0" distL="0" distR="0" wp14:anchorId="0079312E" wp14:editId="44606C3B">
          <wp:extent cx="540385" cy="69151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691515"/>
                  </a:xfrm>
                  <a:prstGeom prst="rect">
                    <a:avLst/>
                  </a:prstGeom>
                  <a:noFill/>
                  <a:ln>
                    <a:noFill/>
                  </a:ln>
                </pic:spPr>
              </pic:pic>
            </a:graphicData>
          </a:graphic>
        </wp:inline>
      </w:drawing>
    </w:r>
  </w:p>
  <w:p w:rsidR="00E614F7" w:rsidRPr="00185B47" w:rsidRDefault="00157EDD" w:rsidP="00DD2AC9">
    <w:pPr>
      <w:pStyle w:val="a8"/>
      <w:jc w:val="center"/>
      <w:rPr>
        <w:rFonts w:cs="David"/>
        <w:szCs w:val="34"/>
        <w:rtl/>
      </w:rPr>
    </w:pPr>
    <w:r w:rsidRPr="00185B47">
      <w:rPr>
        <w:rFonts w:cs="David"/>
        <w:szCs w:val="34"/>
        <w:rtl/>
      </w:rPr>
      <w:t>משרד האוצר</w:t>
    </w:r>
  </w:p>
  <w:p w:rsidR="00E614F7" w:rsidRPr="00185B47" w:rsidRDefault="00157EDD" w:rsidP="00DD2AC9">
    <w:pPr>
      <w:pStyle w:val="a8"/>
      <w:jc w:val="center"/>
      <w:rPr>
        <w:rFonts w:cs="David"/>
        <w:b/>
        <w:bCs/>
        <w:szCs w:val="28"/>
        <w:rtl/>
      </w:rPr>
    </w:pPr>
    <w:r w:rsidRPr="00185B47">
      <w:rPr>
        <w:rFonts w:cs="David"/>
        <w:b/>
        <w:bCs/>
        <w:szCs w:val="28"/>
        <w:rtl/>
      </w:rPr>
      <w:t>דוברות והסברה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EDD"/>
    <w:rsid w:val="00014182"/>
    <w:rsid w:val="00047C97"/>
    <w:rsid w:val="000520B7"/>
    <w:rsid w:val="000568CE"/>
    <w:rsid w:val="00066383"/>
    <w:rsid w:val="00093B9D"/>
    <w:rsid w:val="000C04AE"/>
    <w:rsid w:val="000E6098"/>
    <w:rsid w:val="000E632C"/>
    <w:rsid w:val="0010326C"/>
    <w:rsid w:val="00157EDD"/>
    <w:rsid w:val="001611C6"/>
    <w:rsid w:val="00164B30"/>
    <w:rsid w:val="0018292D"/>
    <w:rsid w:val="001A7C42"/>
    <w:rsid w:val="001C4F6D"/>
    <w:rsid w:val="001D55DD"/>
    <w:rsid w:val="001E548A"/>
    <w:rsid w:val="00220FCD"/>
    <w:rsid w:val="002644E2"/>
    <w:rsid w:val="00275887"/>
    <w:rsid w:val="002A54A3"/>
    <w:rsid w:val="002A7FEA"/>
    <w:rsid w:val="002E38F4"/>
    <w:rsid w:val="002F197C"/>
    <w:rsid w:val="00325E01"/>
    <w:rsid w:val="00361114"/>
    <w:rsid w:val="003840FE"/>
    <w:rsid w:val="00393C6A"/>
    <w:rsid w:val="003A1D7A"/>
    <w:rsid w:val="003C3A5C"/>
    <w:rsid w:val="003F1396"/>
    <w:rsid w:val="0040055E"/>
    <w:rsid w:val="00423D6A"/>
    <w:rsid w:val="00426E0E"/>
    <w:rsid w:val="004323EF"/>
    <w:rsid w:val="004410DE"/>
    <w:rsid w:val="00445C4C"/>
    <w:rsid w:val="0044663B"/>
    <w:rsid w:val="00451F2E"/>
    <w:rsid w:val="004523EB"/>
    <w:rsid w:val="00452D7A"/>
    <w:rsid w:val="004C127D"/>
    <w:rsid w:val="004C5538"/>
    <w:rsid w:val="004D5F18"/>
    <w:rsid w:val="004D65A1"/>
    <w:rsid w:val="004E479D"/>
    <w:rsid w:val="004F3773"/>
    <w:rsid w:val="005016AD"/>
    <w:rsid w:val="005028F9"/>
    <w:rsid w:val="00505D36"/>
    <w:rsid w:val="00515321"/>
    <w:rsid w:val="00515E5C"/>
    <w:rsid w:val="00534452"/>
    <w:rsid w:val="005371D8"/>
    <w:rsid w:val="00542D70"/>
    <w:rsid w:val="00556BE2"/>
    <w:rsid w:val="005D42E4"/>
    <w:rsid w:val="00600BFA"/>
    <w:rsid w:val="00600F1F"/>
    <w:rsid w:val="00602DAD"/>
    <w:rsid w:val="006071AD"/>
    <w:rsid w:val="006309B0"/>
    <w:rsid w:val="0066664E"/>
    <w:rsid w:val="00674118"/>
    <w:rsid w:val="00692C69"/>
    <w:rsid w:val="006952CA"/>
    <w:rsid w:val="006A13C9"/>
    <w:rsid w:val="006A2503"/>
    <w:rsid w:val="006A5446"/>
    <w:rsid w:val="006B352E"/>
    <w:rsid w:val="006C55AF"/>
    <w:rsid w:val="006D0744"/>
    <w:rsid w:val="006D686D"/>
    <w:rsid w:val="006E5942"/>
    <w:rsid w:val="00705C8F"/>
    <w:rsid w:val="00706164"/>
    <w:rsid w:val="00727C36"/>
    <w:rsid w:val="00735D55"/>
    <w:rsid w:val="00735FC1"/>
    <w:rsid w:val="00743847"/>
    <w:rsid w:val="00751B50"/>
    <w:rsid w:val="00757313"/>
    <w:rsid w:val="00757879"/>
    <w:rsid w:val="007611DA"/>
    <w:rsid w:val="00793E5C"/>
    <w:rsid w:val="007A373A"/>
    <w:rsid w:val="007B5461"/>
    <w:rsid w:val="007D4118"/>
    <w:rsid w:val="007E2692"/>
    <w:rsid w:val="0080160A"/>
    <w:rsid w:val="0081532B"/>
    <w:rsid w:val="00821B08"/>
    <w:rsid w:val="0082739B"/>
    <w:rsid w:val="00864DB3"/>
    <w:rsid w:val="00867AE5"/>
    <w:rsid w:val="00870D8A"/>
    <w:rsid w:val="008B39D7"/>
    <w:rsid w:val="008E77BE"/>
    <w:rsid w:val="00910BC9"/>
    <w:rsid w:val="009119D9"/>
    <w:rsid w:val="00915C9A"/>
    <w:rsid w:val="00935E81"/>
    <w:rsid w:val="0096202F"/>
    <w:rsid w:val="00986444"/>
    <w:rsid w:val="00990A24"/>
    <w:rsid w:val="009B64FE"/>
    <w:rsid w:val="009C4E45"/>
    <w:rsid w:val="009D6B8D"/>
    <w:rsid w:val="009E52B5"/>
    <w:rsid w:val="009F7F7A"/>
    <w:rsid w:val="00A15876"/>
    <w:rsid w:val="00A15D5D"/>
    <w:rsid w:val="00A22924"/>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84ABA"/>
    <w:rsid w:val="00CA61AF"/>
    <w:rsid w:val="00CB40A4"/>
    <w:rsid w:val="00CC356E"/>
    <w:rsid w:val="00CD4D8F"/>
    <w:rsid w:val="00CD6DB8"/>
    <w:rsid w:val="00CE0517"/>
    <w:rsid w:val="00CF44BB"/>
    <w:rsid w:val="00D33979"/>
    <w:rsid w:val="00D66453"/>
    <w:rsid w:val="00D731DA"/>
    <w:rsid w:val="00D87CFE"/>
    <w:rsid w:val="00D969C1"/>
    <w:rsid w:val="00DD5320"/>
    <w:rsid w:val="00DE069A"/>
    <w:rsid w:val="00DE7CC8"/>
    <w:rsid w:val="00DF73FF"/>
    <w:rsid w:val="00E41B31"/>
    <w:rsid w:val="00E56588"/>
    <w:rsid w:val="00E95EEF"/>
    <w:rsid w:val="00EA6729"/>
    <w:rsid w:val="00EB7198"/>
    <w:rsid w:val="00EC303E"/>
    <w:rsid w:val="00EF71D7"/>
    <w:rsid w:val="00F00D41"/>
    <w:rsid w:val="00F0592A"/>
    <w:rsid w:val="00F25ABF"/>
    <w:rsid w:val="00F509E4"/>
    <w:rsid w:val="00F74EF7"/>
    <w:rsid w:val="00F80DA7"/>
    <w:rsid w:val="00F975CB"/>
    <w:rsid w:val="00FA09DC"/>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57EDD"/>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57EDD"/>
    <w:pPr>
      <w:tabs>
        <w:tab w:val="center" w:pos="4153"/>
        <w:tab w:val="right" w:pos="8306"/>
      </w:tabs>
    </w:pPr>
  </w:style>
  <w:style w:type="character" w:customStyle="1" w:styleId="a9">
    <w:name w:val="כותרת עליונה תו"/>
    <w:basedOn w:val="a0"/>
    <w:link w:val="a8"/>
    <w:rsid w:val="00157EDD"/>
    <w:rPr>
      <w:rFonts w:ascii="Times New Roman" w:eastAsia="Times New Roman" w:hAnsi="Times New Roman" w:cs="FrankRuehl"/>
      <w:sz w:val="24"/>
      <w:szCs w:val="26"/>
      <w:lang w:eastAsia="he-IL"/>
    </w:rPr>
  </w:style>
  <w:style w:type="paragraph" w:styleId="aa">
    <w:name w:val="footer"/>
    <w:basedOn w:val="a"/>
    <w:link w:val="ab"/>
    <w:rsid w:val="00157EDD"/>
    <w:pPr>
      <w:widowControl w:val="0"/>
      <w:tabs>
        <w:tab w:val="center" w:pos="4153"/>
        <w:tab w:val="right" w:pos="8306"/>
      </w:tabs>
    </w:pPr>
    <w:rPr>
      <w:rFonts w:cs="David"/>
    </w:rPr>
  </w:style>
  <w:style w:type="character" w:customStyle="1" w:styleId="ab">
    <w:name w:val="כותרת תחתונה תו"/>
    <w:basedOn w:val="a0"/>
    <w:link w:val="aa"/>
    <w:rsid w:val="00157EDD"/>
    <w:rPr>
      <w:rFonts w:ascii="Times New Roman" w:eastAsia="Times New Roman" w:hAnsi="Times New Roman" w:cs="David"/>
      <w:sz w:val="24"/>
      <w:szCs w:val="26"/>
      <w:lang w:eastAsia="he-IL"/>
    </w:rPr>
  </w:style>
  <w:style w:type="character" w:styleId="Hyperlink">
    <w:name w:val="Hyperlink"/>
    <w:rsid w:val="00157EDD"/>
    <w:rPr>
      <w:color w:val="0000FF"/>
      <w:u w:val="single"/>
    </w:rPr>
  </w:style>
  <w:style w:type="paragraph" w:styleId="ac">
    <w:name w:val="Balloon Text"/>
    <w:basedOn w:val="a"/>
    <w:link w:val="ad"/>
    <w:uiPriority w:val="99"/>
    <w:semiHidden/>
    <w:unhideWhenUsed/>
    <w:rsid w:val="00157EDD"/>
    <w:rPr>
      <w:rFonts w:ascii="Tahoma" w:hAnsi="Tahoma" w:cs="Tahoma"/>
      <w:sz w:val="16"/>
      <w:szCs w:val="16"/>
    </w:rPr>
  </w:style>
  <w:style w:type="character" w:customStyle="1" w:styleId="ad">
    <w:name w:val="טקסט בלונים תו"/>
    <w:basedOn w:val="a0"/>
    <w:link w:val="ac"/>
    <w:uiPriority w:val="99"/>
    <w:semiHidden/>
    <w:rsid w:val="00157EDD"/>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157EDD"/>
    <w:pPr>
      <w:bidi/>
      <w:spacing w:before="0" w:after="0" w:line="240" w:lineRule="auto"/>
      <w:jc w:val="both"/>
    </w:pPr>
    <w:rPr>
      <w:rFonts w:ascii="Times New Roman" w:eastAsia="Times New Roman" w:hAnsi="Times New Roman" w:cs="FrankRuehl"/>
      <w:sz w:val="24"/>
      <w:szCs w:val="26"/>
      <w:lang w:eastAsia="he-IL"/>
    </w:rPr>
  </w:style>
  <w:style w:type="paragraph" w:styleId="1">
    <w:name w:val="heading 1"/>
    <w:basedOn w:val="a"/>
    <w:next w:val="a"/>
    <w:link w:val="10"/>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Cs w:val="24"/>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David"/>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157EDD"/>
    <w:pPr>
      <w:tabs>
        <w:tab w:val="center" w:pos="4153"/>
        <w:tab w:val="right" w:pos="8306"/>
      </w:tabs>
    </w:pPr>
  </w:style>
  <w:style w:type="character" w:customStyle="1" w:styleId="a9">
    <w:name w:val="כותרת עליונה תו"/>
    <w:basedOn w:val="a0"/>
    <w:link w:val="a8"/>
    <w:rsid w:val="00157EDD"/>
    <w:rPr>
      <w:rFonts w:ascii="Times New Roman" w:eastAsia="Times New Roman" w:hAnsi="Times New Roman" w:cs="FrankRuehl"/>
      <w:sz w:val="24"/>
      <w:szCs w:val="26"/>
      <w:lang w:eastAsia="he-IL"/>
    </w:rPr>
  </w:style>
  <w:style w:type="paragraph" w:styleId="aa">
    <w:name w:val="footer"/>
    <w:basedOn w:val="a"/>
    <w:link w:val="ab"/>
    <w:rsid w:val="00157EDD"/>
    <w:pPr>
      <w:widowControl w:val="0"/>
      <w:tabs>
        <w:tab w:val="center" w:pos="4153"/>
        <w:tab w:val="right" w:pos="8306"/>
      </w:tabs>
    </w:pPr>
    <w:rPr>
      <w:rFonts w:cs="David"/>
    </w:rPr>
  </w:style>
  <w:style w:type="character" w:customStyle="1" w:styleId="ab">
    <w:name w:val="כותרת תחתונה תו"/>
    <w:basedOn w:val="a0"/>
    <w:link w:val="aa"/>
    <w:rsid w:val="00157EDD"/>
    <w:rPr>
      <w:rFonts w:ascii="Times New Roman" w:eastAsia="Times New Roman" w:hAnsi="Times New Roman" w:cs="David"/>
      <w:sz w:val="24"/>
      <w:szCs w:val="26"/>
      <w:lang w:eastAsia="he-IL"/>
    </w:rPr>
  </w:style>
  <w:style w:type="character" w:styleId="Hyperlink">
    <w:name w:val="Hyperlink"/>
    <w:rsid w:val="00157EDD"/>
    <w:rPr>
      <w:color w:val="0000FF"/>
      <w:u w:val="single"/>
    </w:rPr>
  </w:style>
  <w:style w:type="paragraph" w:styleId="ac">
    <w:name w:val="Balloon Text"/>
    <w:basedOn w:val="a"/>
    <w:link w:val="ad"/>
    <w:uiPriority w:val="99"/>
    <w:semiHidden/>
    <w:unhideWhenUsed/>
    <w:rsid w:val="00157EDD"/>
    <w:rPr>
      <w:rFonts w:ascii="Tahoma" w:hAnsi="Tahoma" w:cs="Tahoma"/>
      <w:sz w:val="16"/>
      <w:szCs w:val="16"/>
    </w:rPr>
  </w:style>
  <w:style w:type="character" w:customStyle="1" w:styleId="ad">
    <w:name w:val="טקסט בלונים תו"/>
    <w:basedOn w:val="a0"/>
    <w:link w:val="ac"/>
    <w:uiPriority w:val="99"/>
    <w:semiHidden/>
    <w:rsid w:val="00157EDD"/>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8" Type="http://schemas.openxmlformats.org/officeDocument/2006/relationships/hyperlink" Target="http://www.youtube.com/israelimof" TargetMode="External"/><Relationship Id="rId3" Type="http://schemas.openxmlformats.org/officeDocument/2006/relationships/image" Target="media/image1.jpeg"/><Relationship Id="rId7" Type="http://schemas.openxmlformats.org/officeDocument/2006/relationships/image" Target="media/image3.png"/><Relationship Id="rId2" Type="http://schemas.openxmlformats.org/officeDocument/2006/relationships/hyperlink" Target="http://www.gov.il/" TargetMode="External"/><Relationship Id="rId1" Type="http://schemas.openxmlformats.org/officeDocument/2006/relationships/hyperlink" Target="mailto:dover@mof.gov.il" TargetMode="External"/><Relationship Id="rId6" Type="http://schemas.openxmlformats.org/officeDocument/2006/relationships/hyperlink" Target="http://twitter.com/israel_mof" TargetMode="External"/><Relationship Id="rId5" Type="http://schemas.openxmlformats.org/officeDocument/2006/relationships/image" Target="media/image2.png"/><Relationship Id="rId4" Type="http://schemas.openxmlformats.org/officeDocument/2006/relationships/hyperlink" Target="http://www.facebook.com/Israeli.Ministry.of.Finance" TargetMode="External"/><Relationship Id="rId9" Type="http://schemas.openxmlformats.org/officeDocument/2006/relationships/image" Target="media/image4.png"/></Relationships>
</file>

<file path=word/_rels/footer2.xml.rels><?xml version="1.0" encoding="UTF-8" standalone="yes"?>
<Relationships xmlns="http://schemas.openxmlformats.org/package/2006/relationships"><Relationship Id="rId8" Type="http://schemas.openxmlformats.org/officeDocument/2006/relationships/hyperlink" Target="http://www.youtube.com/israelimof" TargetMode="External"/><Relationship Id="rId3" Type="http://schemas.openxmlformats.org/officeDocument/2006/relationships/image" Target="media/image1.jpeg"/><Relationship Id="rId7" Type="http://schemas.openxmlformats.org/officeDocument/2006/relationships/image" Target="media/image3.png"/><Relationship Id="rId2" Type="http://schemas.openxmlformats.org/officeDocument/2006/relationships/hyperlink" Target="http://www.gov.il/" TargetMode="External"/><Relationship Id="rId1" Type="http://schemas.openxmlformats.org/officeDocument/2006/relationships/hyperlink" Target="mailto:dover@mof.gov.il" TargetMode="External"/><Relationship Id="rId6" Type="http://schemas.openxmlformats.org/officeDocument/2006/relationships/hyperlink" Target="http://twitter.com/israel_mof" TargetMode="External"/><Relationship Id="rId5" Type="http://schemas.openxmlformats.org/officeDocument/2006/relationships/image" Target="media/image2.png"/><Relationship Id="rId4" Type="http://schemas.openxmlformats.org/officeDocument/2006/relationships/hyperlink" Target="http://www.facebook.com/Israeli.Ministry.of.Finance" TargetMode="External"/><Relationship Id="rId9"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8A95BC7612502D4C97BA8F43D20B102D" ma:contentTypeVersion="1" ma:contentTypeDescription="צור מסמך חדש." ma:contentTypeScope="" ma:versionID="6a70dd8b98722653d797d86f7015c16b">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327fbfcef95ca043e5c502caa597797c" ns1:_="" ns2:_="">
    <xsd:import namespace="http://schemas.microsoft.com/sharepoint/v3"/>
    <xsd:import namespace="a46656d4-8850-49b3-aebd-68bd05f7f43d"/>
    <xsd:element name="properties">
      <xsd:complexType>
        <xsd:sequence>
          <xsd:element name="documentManagement">
            <xsd:complexType>
              <xsd:all>
                <xsd:element ref="ns1:PublishingStartDate" minOccurs="0"/>
                <xsd:element ref="ns1:PublishingExpirationDate" minOccurs="0"/>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10"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11"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4"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6"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8"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20"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2"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4"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6"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8"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30"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2"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25D9DB8-7CB6-484E-A030-BB1010B67A16}"/>
</file>

<file path=customXml/itemProps2.xml><?xml version="1.0" encoding="utf-8"?>
<ds:datastoreItem xmlns:ds="http://schemas.openxmlformats.org/officeDocument/2006/customXml" ds:itemID="{12716DB8-2D84-4EA7-BADE-5454C7FCC80D}"/>
</file>

<file path=customXml/itemProps3.xml><?xml version="1.0" encoding="utf-8"?>
<ds:datastoreItem xmlns:ds="http://schemas.openxmlformats.org/officeDocument/2006/customXml" ds:itemID="{488BA9C2-74FF-4C1D-BE6D-917464D821DA}"/>
</file>

<file path=customXml/itemProps4.xml><?xml version="1.0" encoding="utf-8"?>
<ds:datastoreItem xmlns:ds="http://schemas.openxmlformats.org/officeDocument/2006/customXml" ds:itemID="{16D951F1-1207-46E3-BF58-79D15B8D6734}"/>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1465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שר האוצר מחייב את הדירקטורים החיצוניים לאשר את מדיניות התגמול של נושאי משרה בכירים במגזר הפיננסי  </dc:title>
  <dc:creator>זאב תמיר</dc:creator>
  <cp:lastModifiedBy>איה פרידלנדר</cp:lastModifiedBy>
  <cp:revision>2</cp:revision>
  <cp:lastPrinted>2014-06-09T10:54:00Z</cp:lastPrinted>
  <dcterms:created xsi:type="dcterms:W3CDTF">2014-06-10T05:20:00Z</dcterms:created>
  <dcterms:modified xsi:type="dcterms:W3CDTF">2014-06-10T05:20:00Z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0x0101008A95BC7612502D4C97BA8F43D20B102D</vt:lpwstr>
  </property>
  <property fmtid="{D5CDD505-2E9C-101B-9397-08002B2CF9AE}" pid="3" name="MMDUnitsName">
    <vt:lpwstr/>
  </property>
  <property fmtid="{D5CDD505-2E9C-101B-9397-08002B2CF9AE}" pid="4" name="MMDResponsibleUnit">
    <vt:lpwstr/>
  </property>
  <property fmtid="{D5CDD505-2E9C-101B-9397-08002B2CF9AE}" pid="5" name="MMDServiceLang">
    <vt:lpwstr/>
  </property>
  <property fmtid="{D5CDD505-2E9C-101B-9397-08002B2CF9AE}" pid="6" name="MMDJobDescription">
    <vt:lpwstr/>
  </property>
  <property fmtid="{D5CDD505-2E9C-101B-9397-08002B2CF9AE}" pid="7" name="MMDKeywords">
    <vt:lpwstr/>
  </property>
  <property fmtid="{D5CDD505-2E9C-101B-9397-08002B2CF9AE}" pid="8" name="MMDStatus">
    <vt:lpwstr/>
  </property>
  <property fmtid="{D5CDD505-2E9C-101B-9397-08002B2CF9AE}" pid="9" name="MMDAudience">
    <vt:lpwstr/>
  </property>
  <property fmtid="{D5CDD505-2E9C-101B-9397-08002B2CF9AE}" pid="10" name="MMDLiveEvent">
    <vt:lpwstr/>
  </property>
  <property fmtid="{D5CDD505-2E9C-101B-9397-08002B2CF9AE}" pid="11" name="MMDSubjects">
    <vt:lpwstr/>
  </property>
  <property fmtid="{D5CDD505-2E9C-101B-9397-08002B2CF9AE}" pid="12" name="MMDTypes">
    <vt:lpwstr/>
  </property>
  <property fmtid="{D5CDD505-2E9C-101B-9397-08002B2CF9AE}" pid="13" name="MMDResponsibleOffice">
    <vt:lpwstr/>
  </property>
</Properties>
</file>