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DDB2" w14:textId="77777777" w:rsidR="004A34FD" w:rsidRDefault="004A34FD" w:rsidP="005F0271">
      <w:pPr>
        <w:jc w:val="center"/>
        <w:rPr>
          <w:b/>
          <w:bCs/>
          <w:sz w:val="26"/>
          <w:szCs w:val="26"/>
          <w:rtl/>
        </w:rPr>
      </w:pPr>
      <w:r>
        <w:rPr>
          <w:noProof/>
        </w:rPr>
        <w:drawing>
          <wp:inline distT="0" distB="0" distL="0" distR="0" wp14:anchorId="0C02A3AC" wp14:editId="5C4DC198">
            <wp:extent cx="509905" cy="624205"/>
            <wp:effectExtent l="0" t="0" r="4445" b="4445"/>
            <wp:docPr id="1" name="תמונה 1" descr="סמל המדינה"/>
            <wp:cNvGraphicFramePr/>
            <a:graphic xmlns:a="http://schemas.openxmlformats.org/drawingml/2006/main">
              <a:graphicData uri="http://schemas.openxmlformats.org/drawingml/2006/picture">
                <pic:pic xmlns:pic="http://schemas.openxmlformats.org/drawingml/2006/picture">
                  <pic:nvPicPr>
                    <pic:cNvPr id="1" name="תמונה 1" descr="סמל המדינה"/>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6924FB30" w14:textId="77777777" w:rsidR="004A34FD" w:rsidRDefault="004A34FD" w:rsidP="005F0271">
      <w:pPr>
        <w:rPr>
          <w:b/>
          <w:bCs/>
          <w:sz w:val="26"/>
          <w:szCs w:val="26"/>
          <w:rtl/>
        </w:rPr>
      </w:pPr>
      <w:r w:rsidRPr="00CB5068">
        <w:rPr>
          <w:b/>
          <w:bCs/>
          <w:sz w:val="26"/>
          <w:szCs w:val="26"/>
          <w:rtl/>
        </w:rPr>
        <w:t>תוכן עניינים</w:t>
      </w:r>
    </w:p>
    <w:p w14:paraId="680092D8" w14:textId="72CA20E7" w:rsidR="00186252" w:rsidRDefault="004A34FD">
      <w:pPr>
        <w:pStyle w:val="TOC1"/>
        <w:rPr>
          <w:rFonts w:asciiTheme="minorHAnsi" w:eastAsiaTheme="minorEastAsia" w:hAnsiTheme="minorHAnsi" w:cstheme="minorBidi"/>
          <w:bCs w:val="0"/>
          <w:noProof/>
          <w:sz w:val="22"/>
          <w:rtl/>
        </w:rPr>
      </w:pPr>
      <w:r>
        <w:rPr>
          <w:rtl/>
        </w:rPr>
        <w:fldChar w:fldCharType="begin"/>
      </w:r>
      <w:r>
        <w:rPr>
          <w:rtl/>
        </w:rPr>
        <w:instrText xml:space="preserve"> </w:instrText>
      </w:r>
      <w:r>
        <w:instrText>TOC</w:instrText>
      </w:r>
      <w:r>
        <w:rPr>
          <w:rtl/>
        </w:rPr>
        <w:instrText xml:space="preserve"> \</w:instrText>
      </w:r>
      <w:r>
        <w:instrText>o "1-9" \h \z \t "Table SideHeading,3,Table Head,2,Head HatzaotHok,1,Head DivreiHesber,2,Head HatzaotHok4Futer,1</w:instrText>
      </w:r>
      <w:r>
        <w:rPr>
          <w:rtl/>
        </w:rPr>
        <w:instrText xml:space="preserve">" </w:instrText>
      </w:r>
      <w:r>
        <w:rPr>
          <w:rtl/>
        </w:rPr>
        <w:fldChar w:fldCharType="separate"/>
      </w:r>
      <w:hyperlink w:anchor="_Toc209361044" w:history="1">
        <w:r w:rsidR="00186252" w:rsidRPr="00E341A0">
          <w:rPr>
            <w:rStyle w:val="Hyperlink"/>
            <w:noProof/>
            <w:rtl/>
          </w:rPr>
          <w:t>טיוטת תקנות</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Toc209361044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2</w:t>
        </w:r>
        <w:r w:rsidR="00186252">
          <w:rPr>
            <w:rStyle w:val="Hyperlink"/>
            <w:noProof/>
            <w:rtl/>
          </w:rPr>
          <w:fldChar w:fldCharType="end"/>
        </w:r>
      </w:hyperlink>
    </w:p>
    <w:p w14:paraId="790E5FFA" w14:textId="68F2A9C1" w:rsidR="00186252" w:rsidRDefault="008E5A5D">
      <w:pPr>
        <w:pStyle w:val="TOC4"/>
        <w:rPr>
          <w:rFonts w:cstheme="minorBidi"/>
          <w:rtl/>
        </w:rPr>
      </w:pPr>
      <w:hyperlink w:anchor="_Toc209361045" w:history="1">
        <w:r w:rsidR="00186252" w:rsidRPr="00E341A0">
          <w:rPr>
            <w:rStyle w:val="Hyperlink"/>
            <w:rtl/>
          </w:rPr>
          <w:t>א. שם התקנות המוצעות</w:t>
        </w:r>
        <w:r w:rsidR="00186252">
          <w:rPr>
            <w:webHidden/>
            <w:rtl/>
          </w:rPr>
          <w:tab/>
        </w:r>
        <w:r w:rsidR="00186252">
          <w:rPr>
            <w:rStyle w:val="Hyperlink"/>
            <w:rtl/>
          </w:rPr>
          <w:fldChar w:fldCharType="begin"/>
        </w:r>
        <w:r w:rsidR="00186252">
          <w:rPr>
            <w:webHidden/>
            <w:rtl/>
          </w:rPr>
          <w:instrText xml:space="preserve"> </w:instrText>
        </w:r>
        <w:r w:rsidR="00186252">
          <w:rPr>
            <w:webHidden/>
          </w:rPr>
          <w:instrText>PAGEREF</w:instrText>
        </w:r>
        <w:r w:rsidR="00186252">
          <w:rPr>
            <w:webHidden/>
            <w:rtl/>
          </w:rPr>
          <w:instrText xml:space="preserve"> _</w:instrText>
        </w:r>
        <w:r w:rsidR="00186252">
          <w:rPr>
            <w:webHidden/>
          </w:rPr>
          <w:instrText>Toc209361045 \h</w:instrText>
        </w:r>
        <w:r w:rsidR="00186252">
          <w:rPr>
            <w:webHidden/>
            <w:rtl/>
          </w:rPr>
          <w:instrText xml:space="preserve"> </w:instrText>
        </w:r>
        <w:r w:rsidR="00186252">
          <w:rPr>
            <w:rStyle w:val="Hyperlink"/>
            <w:rtl/>
          </w:rPr>
        </w:r>
        <w:r w:rsidR="00186252">
          <w:rPr>
            <w:rStyle w:val="Hyperlink"/>
            <w:rtl/>
          </w:rPr>
          <w:fldChar w:fldCharType="separate"/>
        </w:r>
        <w:r w:rsidR="00186252">
          <w:rPr>
            <w:webHidden/>
            <w:rtl/>
          </w:rPr>
          <w:t>2</w:t>
        </w:r>
        <w:r w:rsidR="00186252">
          <w:rPr>
            <w:rStyle w:val="Hyperlink"/>
            <w:rtl/>
          </w:rPr>
          <w:fldChar w:fldCharType="end"/>
        </w:r>
      </w:hyperlink>
    </w:p>
    <w:p w14:paraId="3784EF29" w14:textId="3B3167C1" w:rsidR="00186252" w:rsidRDefault="008E5A5D">
      <w:pPr>
        <w:pStyle w:val="TOC4"/>
        <w:rPr>
          <w:rFonts w:cstheme="minorBidi"/>
          <w:rtl/>
        </w:rPr>
      </w:pPr>
      <w:hyperlink w:anchor="_Toc209361046" w:history="1">
        <w:r w:rsidR="00186252" w:rsidRPr="00E341A0">
          <w:rPr>
            <w:rStyle w:val="Hyperlink"/>
            <w:rtl/>
          </w:rPr>
          <w:t>ב. מטרת התקנות המוצעות והצורך בהן:</w:t>
        </w:r>
        <w:r w:rsidR="00186252">
          <w:rPr>
            <w:webHidden/>
            <w:rtl/>
          </w:rPr>
          <w:tab/>
        </w:r>
        <w:r w:rsidR="00186252">
          <w:rPr>
            <w:rStyle w:val="Hyperlink"/>
            <w:rtl/>
          </w:rPr>
          <w:fldChar w:fldCharType="begin"/>
        </w:r>
        <w:r w:rsidR="00186252">
          <w:rPr>
            <w:webHidden/>
            <w:rtl/>
          </w:rPr>
          <w:instrText xml:space="preserve"> </w:instrText>
        </w:r>
        <w:r w:rsidR="00186252">
          <w:rPr>
            <w:webHidden/>
          </w:rPr>
          <w:instrText>PAGEREF</w:instrText>
        </w:r>
        <w:r w:rsidR="00186252">
          <w:rPr>
            <w:webHidden/>
            <w:rtl/>
          </w:rPr>
          <w:instrText xml:space="preserve"> _</w:instrText>
        </w:r>
        <w:r w:rsidR="00186252">
          <w:rPr>
            <w:webHidden/>
          </w:rPr>
          <w:instrText>Toc209361046 \h</w:instrText>
        </w:r>
        <w:r w:rsidR="00186252">
          <w:rPr>
            <w:webHidden/>
            <w:rtl/>
          </w:rPr>
          <w:instrText xml:space="preserve"> </w:instrText>
        </w:r>
        <w:r w:rsidR="00186252">
          <w:rPr>
            <w:rStyle w:val="Hyperlink"/>
            <w:rtl/>
          </w:rPr>
        </w:r>
        <w:r w:rsidR="00186252">
          <w:rPr>
            <w:rStyle w:val="Hyperlink"/>
            <w:rtl/>
          </w:rPr>
          <w:fldChar w:fldCharType="separate"/>
        </w:r>
        <w:r w:rsidR="00186252">
          <w:rPr>
            <w:webHidden/>
            <w:rtl/>
          </w:rPr>
          <w:t>2</w:t>
        </w:r>
        <w:r w:rsidR="00186252">
          <w:rPr>
            <w:rStyle w:val="Hyperlink"/>
            <w:rtl/>
          </w:rPr>
          <w:fldChar w:fldCharType="end"/>
        </w:r>
      </w:hyperlink>
    </w:p>
    <w:p w14:paraId="01D7BCC2" w14:textId="4965FC2E" w:rsidR="00186252" w:rsidRDefault="008E5A5D">
      <w:pPr>
        <w:pStyle w:val="TOC4"/>
        <w:rPr>
          <w:rFonts w:cstheme="minorBidi"/>
          <w:rtl/>
        </w:rPr>
      </w:pPr>
      <w:hyperlink w:anchor="_Toc209361047" w:history="1">
        <w:r w:rsidR="00186252" w:rsidRPr="00E341A0">
          <w:rPr>
            <w:rStyle w:val="Hyperlink"/>
            <w:rtl/>
          </w:rPr>
          <w:t>ג. להלן נוסח טיוטת התקנות המוצעות:</w:t>
        </w:r>
        <w:r w:rsidR="00186252">
          <w:rPr>
            <w:webHidden/>
            <w:rtl/>
          </w:rPr>
          <w:tab/>
        </w:r>
        <w:r w:rsidR="00186252">
          <w:rPr>
            <w:rStyle w:val="Hyperlink"/>
            <w:rtl/>
          </w:rPr>
          <w:fldChar w:fldCharType="begin"/>
        </w:r>
        <w:r w:rsidR="00186252">
          <w:rPr>
            <w:webHidden/>
            <w:rtl/>
          </w:rPr>
          <w:instrText xml:space="preserve"> </w:instrText>
        </w:r>
        <w:r w:rsidR="00186252">
          <w:rPr>
            <w:webHidden/>
          </w:rPr>
          <w:instrText>PAGEREF</w:instrText>
        </w:r>
        <w:r w:rsidR="00186252">
          <w:rPr>
            <w:webHidden/>
            <w:rtl/>
          </w:rPr>
          <w:instrText xml:space="preserve"> _</w:instrText>
        </w:r>
        <w:r w:rsidR="00186252">
          <w:rPr>
            <w:webHidden/>
          </w:rPr>
          <w:instrText>Toc209361047 \h</w:instrText>
        </w:r>
        <w:r w:rsidR="00186252">
          <w:rPr>
            <w:webHidden/>
            <w:rtl/>
          </w:rPr>
          <w:instrText xml:space="preserve"> </w:instrText>
        </w:r>
        <w:r w:rsidR="00186252">
          <w:rPr>
            <w:rStyle w:val="Hyperlink"/>
            <w:rtl/>
          </w:rPr>
        </w:r>
        <w:r w:rsidR="00186252">
          <w:rPr>
            <w:rStyle w:val="Hyperlink"/>
            <w:rtl/>
          </w:rPr>
          <w:fldChar w:fldCharType="separate"/>
        </w:r>
        <w:r w:rsidR="00186252">
          <w:rPr>
            <w:webHidden/>
            <w:rtl/>
          </w:rPr>
          <w:t>4</w:t>
        </w:r>
        <w:r w:rsidR="00186252">
          <w:rPr>
            <w:rStyle w:val="Hyperlink"/>
            <w:rtl/>
          </w:rPr>
          <w:fldChar w:fldCharType="end"/>
        </w:r>
      </w:hyperlink>
    </w:p>
    <w:p w14:paraId="4C710F2E" w14:textId="1B5B0C71" w:rsidR="00186252" w:rsidRDefault="008E5A5D">
      <w:pPr>
        <w:pStyle w:val="TOC1"/>
        <w:rPr>
          <w:rFonts w:asciiTheme="minorHAnsi" w:eastAsiaTheme="minorEastAsia" w:hAnsiTheme="minorHAnsi" w:cstheme="minorBidi"/>
          <w:bCs w:val="0"/>
          <w:noProof/>
          <w:sz w:val="22"/>
          <w:rtl/>
        </w:rPr>
      </w:pPr>
      <w:hyperlink w:anchor="_Toc209361048" w:history="1">
        <w:r w:rsidR="00186252" w:rsidRPr="00E341A0">
          <w:rPr>
            <w:rStyle w:val="Hyperlink"/>
            <w:noProof/>
            <w:rtl/>
          </w:rPr>
          <w:t>טיוטת תקנות מטעם משרד האוצר:</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Toc209361048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4</w:t>
        </w:r>
        <w:r w:rsidR="00186252">
          <w:rPr>
            <w:rStyle w:val="Hyperlink"/>
            <w:noProof/>
            <w:rtl/>
          </w:rPr>
          <w:fldChar w:fldCharType="end"/>
        </w:r>
      </w:hyperlink>
    </w:p>
    <w:p w14:paraId="2860341A" w14:textId="798F1BE2" w:rsidR="00186252" w:rsidRDefault="008E5A5D">
      <w:pPr>
        <w:pStyle w:val="TOC1"/>
        <w:rPr>
          <w:rFonts w:asciiTheme="minorHAnsi" w:eastAsiaTheme="minorEastAsia" w:hAnsiTheme="minorHAnsi" w:cstheme="minorBidi"/>
          <w:bCs w:val="0"/>
          <w:noProof/>
          <w:sz w:val="22"/>
          <w:rtl/>
        </w:rPr>
      </w:pPr>
      <w:hyperlink w:anchor="_Toc209361049" w:history="1">
        <w:r w:rsidR="00186252" w:rsidRPr="00E341A0">
          <w:rPr>
            <w:rStyle w:val="Hyperlink"/>
            <w:noProof/>
            <w:rtl/>
          </w:rPr>
          <w:t>טיוטת תקנות הפיקוח על שירותים פיננסיים (קופות גמל) (זקיפת תשואה בקרן פנסיה חדשה מקיפה) (תיקון), התשפ"ה – 2025</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Toc209361049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4</w:t>
        </w:r>
        <w:r w:rsidR="00186252">
          <w:rPr>
            <w:rStyle w:val="Hyperlink"/>
            <w:noProof/>
            <w:rtl/>
          </w:rPr>
          <w:fldChar w:fldCharType="end"/>
        </w:r>
      </w:hyperlink>
    </w:p>
    <w:p w14:paraId="0DBB9281" w14:textId="1CF95649" w:rsidR="00186252" w:rsidRDefault="008E5A5D">
      <w:pPr>
        <w:pStyle w:val="TOC3"/>
        <w:rPr>
          <w:rFonts w:asciiTheme="minorHAnsi" w:eastAsiaTheme="minorEastAsia" w:hAnsiTheme="minorHAnsi" w:cstheme="minorBidi"/>
          <w:noProof/>
          <w:sz w:val="22"/>
          <w:rtl/>
        </w:rPr>
      </w:pPr>
      <w:hyperlink w:anchor="_Toc209361050" w:history="1">
        <w:r w:rsidR="00186252" w:rsidRPr="00E341A0">
          <w:rPr>
            <w:rStyle w:val="Hyperlink"/>
            <w:noProof/>
            <w:rtl/>
          </w:rPr>
          <w:t>תיקון תקנה 1</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Toc209361050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4</w:t>
        </w:r>
        <w:r w:rsidR="00186252">
          <w:rPr>
            <w:rStyle w:val="Hyperlink"/>
            <w:noProof/>
            <w:rtl/>
          </w:rPr>
          <w:fldChar w:fldCharType="end"/>
        </w:r>
      </w:hyperlink>
    </w:p>
    <w:p w14:paraId="6FF01628" w14:textId="209F1C99" w:rsidR="00186252" w:rsidRDefault="008E5A5D">
      <w:pPr>
        <w:pStyle w:val="TOC3"/>
        <w:rPr>
          <w:rFonts w:asciiTheme="minorHAnsi" w:eastAsiaTheme="minorEastAsia" w:hAnsiTheme="minorHAnsi" w:cstheme="minorBidi"/>
          <w:noProof/>
          <w:sz w:val="22"/>
          <w:rtl/>
        </w:rPr>
      </w:pPr>
      <w:hyperlink w:anchor="_Toc209361051" w:history="1">
        <w:r w:rsidR="00186252" w:rsidRPr="00E341A0">
          <w:rPr>
            <w:rStyle w:val="Hyperlink"/>
            <w:noProof/>
            <w:rtl/>
          </w:rPr>
          <w:t>החלפת מונח</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Toc209361051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5</w:t>
        </w:r>
        <w:r w:rsidR="00186252">
          <w:rPr>
            <w:rStyle w:val="Hyperlink"/>
            <w:noProof/>
            <w:rtl/>
          </w:rPr>
          <w:fldChar w:fldCharType="end"/>
        </w:r>
      </w:hyperlink>
    </w:p>
    <w:p w14:paraId="688EFEAE" w14:textId="4DE8C9E9" w:rsidR="00186252" w:rsidRDefault="008E5A5D">
      <w:pPr>
        <w:pStyle w:val="TOC3"/>
        <w:rPr>
          <w:rFonts w:asciiTheme="minorHAnsi" w:eastAsiaTheme="minorEastAsia" w:hAnsiTheme="minorHAnsi" w:cstheme="minorBidi"/>
          <w:noProof/>
          <w:sz w:val="22"/>
          <w:rtl/>
        </w:rPr>
      </w:pPr>
      <w:hyperlink w:anchor="_Toc209361052" w:history="1">
        <w:r w:rsidR="00186252" w:rsidRPr="00E341A0">
          <w:rPr>
            <w:rStyle w:val="Hyperlink"/>
            <w:noProof/>
            <w:rtl/>
          </w:rPr>
          <w:t>תיקון תקנה 4</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Toc209361052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5</w:t>
        </w:r>
        <w:r w:rsidR="00186252">
          <w:rPr>
            <w:rStyle w:val="Hyperlink"/>
            <w:noProof/>
            <w:rtl/>
          </w:rPr>
          <w:fldChar w:fldCharType="end"/>
        </w:r>
      </w:hyperlink>
    </w:p>
    <w:p w14:paraId="50CD46AE" w14:textId="14E3B4A2" w:rsidR="00186252" w:rsidRDefault="008E5A5D">
      <w:pPr>
        <w:pStyle w:val="TOC3"/>
        <w:rPr>
          <w:rFonts w:asciiTheme="minorHAnsi" w:eastAsiaTheme="minorEastAsia" w:hAnsiTheme="minorHAnsi" w:cstheme="minorBidi"/>
          <w:noProof/>
          <w:sz w:val="22"/>
          <w:rtl/>
        </w:rPr>
      </w:pPr>
      <w:hyperlink w:anchor="_Toc209361053" w:history="1">
        <w:r w:rsidR="00186252" w:rsidRPr="00E341A0">
          <w:rPr>
            <w:rStyle w:val="Hyperlink"/>
            <w:noProof/>
            <w:rtl/>
          </w:rPr>
          <w:t>תיקון תקנה 5</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Toc209361053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5</w:t>
        </w:r>
        <w:r w:rsidR="00186252">
          <w:rPr>
            <w:rStyle w:val="Hyperlink"/>
            <w:noProof/>
            <w:rtl/>
          </w:rPr>
          <w:fldChar w:fldCharType="end"/>
        </w:r>
      </w:hyperlink>
    </w:p>
    <w:p w14:paraId="6E1D6982" w14:textId="01F59F5A" w:rsidR="00186252" w:rsidRDefault="008E5A5D">
      <w:pPr>
        <w:pStyle w:val="TOC3"/>
        <w:rPr>
          <w:rFonts w:asciiTheme="minorHAnsi" w:eastAsiaTheme="minorEastAsia" w:hAnsiTheme="minorHAnsi" w:cstheme="minorBidi"/>
          <w:noProof/>
          <w:sz w:val="22"/>
          <w:rtl/>
        </w:rPr>
      </w:pPr>
      <w:hyperlink w:anchor="_Toc209361054" w:history="1">
        <w:r w:rsidR="00186252" w:rsidRPr="00E341A0">
          <w:rPr>
            <w:rStyle w:val="Hyperlink"/>
            <w:noProof/>
            <w:rtl/>
          </w:rPr>
          <w:t>תיקון תקנה 8</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Toc209361054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5</w:t>
        </w:r>
        <w:r w:rsidR="00186252">
          <w:rPr>
            <w:rStyle w:val="Hyperlink"/>
            <w:noProof/>
            <w:rtl/>
          </w:rPr>
          <w:fldChar w:fldCharType="end"/>
        </w:r>
      </w:hyperlink>
    </w:p>
    <w:p w14:paraId="79659A6E" w14:textId="126230CE" w:rsidR="00186252" w:rsidRDefault="008E5A5D">
      <w:pPr>
        <w:pStyle w:val="TOC2"/>
        <w:rPr>
          <w:rFonts w:asciiTheme="minorHAnsi" w:eastAsiaTheme="minorEastAsia" w:hAnsiTheme="minorHAnsi" w:cstheme="minorBidi"/>
          <w:noProof/>
          <w:sz w:val="22"/>
          <w:rtl/>
        </w:rPr>
      </w:pPr>
      <w:hyperlink w:anchor="_Toc209361055" w:history="1">
        <w:r w:rsidR="00186252" w:rsidRPr="00E341A0">
          <w:rPr>
            <w:rStyle w:val="Hyperlink"/>
            <w:noProof/>
            <w:rtl/>
          </w:rPr>
          <w:t>דברי הסבר</w:t>
        </w:r>
        <w:r w:rsidR="00186252">
          <w:rPr>
            <w:noProof/>
            <w:webHidden/>
            <w:rtl/>
          </w:rPr>
          <w:tab/>
        </w:r>
        <w:r w:rsidR="00186252">
          <w:rPr>
            <w:rStyle w:val="Hyperlink"/>
            <w:noProof/>
            <w:rtl/>
          </w:rPr>
          <w:fldChar w:fldCharType="begin"/>
        </w:r>
        <w:r w:rsidR="00186252">
          <w:rPr>
            <w:noProof/>
            <w:webHidden/>
            <w:rtl/>
          </w:rPr>
          <w:instrText xml:space="preserve"> </w:instrText>
        </w:r>
        <w:r w:rsidR="00186252">
          <w:rPr>
            <w:noProof/>
            <w:webHidden/>
          </w:rPr>
          <w:instrText>PAGEREF</w:instrText>
        </w:r>
        <w:r w:rsidR="00186252">
          <w:rPr>
            <w:noProof/>
            <w:webHidden/>
            <w:rtl/>
          </w:rPr>
          <w:instrText xml:space="preserve"> _</w:instrText>
        </w:r>
        <w:r w:rsidR="00186252">
          <w:rPr>
            <w:noProof/>
            <w:webHidden/>
          </w:rPr>
          <w:instrText>Toc209361055 \h</w:instrText>
        </w:r>
        <w:r w:rsidR="00186252">
          <w:rPr>
            <w:noProof/>
            <w:webHidden/>
            <w:rtl/>
          </w:rPr>
          <w:instrText xml:space="preserve"> </w:instrText>
        </w:r>
        <w:r w:rsidR="00186252">
          <w:rPr>
            <w:rStyle w:val="Hyperlink"/>
            <w:noProof/>
            <w:rtl/>
          </w:rPr>
        </w:r>
        <w:r w:rsidR="00186252">
          <w:rPr>
            <w:rStyle w:val="Hyperlink"/>
            <w:noProof/>
            <w:rtl/>
          </w:rPr>
          <w:fldChar w:fldCharType="separate"/>
        </w:r>
        <w:r w:rsidR="00186252">
          <w:rPr>
            <w:noProof/>
            <w:webHidden/>
            <w:rtl/>
          </w:rPr>
          <w:t>6</w:t>
        </w:r>
        <w:r w:rsidR="00186252">
          <w:rPr>
            <w:rStyle w:val="Hyperlink"/>
            <w:noProof/>
            <w:rtl/>
          </w:rPr>
          <w:fldChar w:fldCharType="end"/>
        </w:r>
      </w:hyperlink>
    </w:p>
    <w:p w14:paraId="6104B0E1" w14:textId="49E2780E" w:rsidR="004A34FD" w:rsidRDefault="004A34FD" w:rsidP="004A34FD">
      <w:pPr>
        <w:rPr>
          <w:snapToGrid w:val="0"/>
          <w:rtl/>
        </w:rPr>
      </w:pPr>
      <w:r>
        <w:rPr>
          <w:rtl/>
        </w:rPr>
        <w:fldChar w:fldCharType="end"/>
      </w:r>
      <w:r>
        <w:rPr>
          <w:rtl/>
        </w:rPr>
        <w:br w:type="page"/>
      </w:r>
    </w:p>
    <w:p w14:paraId="04E00A3E" w14:textId="0AAF1CB4" w:rsidR="00C522D7" w:rsidRPr="00223950" w:rsidRDefault="00C522D7" w:rsidP="00C522D7">
      <w:pPr>
        <w:pStyle w:val="1"/>
        <w:keepNext w:val="0"/>
        <w:keepLines w:val="0"/>
      </w:pPr>
      <w:bookmarkStart w:id="0" w:name="_Toc209361044"/>
      <w:r w:rsidRPr="00223950">
        <w:rPr>
          <w:rtl/>
        </w:rPr>
        <w:t>טיוטת תקנות</w:t>
      </w:r>
      <w:bookmarkEnd w:id="0"/>
    </w:p>
    <w:p w14:paraId="21F59DC1" w14:textId="77777777" w:rsidR="00C522D7" w:rsidRPr="00223950" w:rsidRDefault="00C522D7" w:rsidP="00C522D7">
      <w:pPr>
        <w:rPr>
          <w:rtl/>
        </w:rPr>
      </w:pPr>
    </w:p>
    <w:p w14:paraId="66B1B58D" w14:textId="77777777" w:rsidR="00C522D7" w:rsidRPr="00223950" w:rsidRDefault="00C522D7" w:rsidP="00C522D7">
      <w:pPr>
        <w:pStyle w:val="4"/>
        <w:rPr>
          <w:rtl/>
        </w:rPr>
      </w:pPr>
      <w:bookmarkStart w:id="1" w:name="_Toc209361045"/>
      <w:r w:rsidRPr="00223950">
        <w:rPr>
          <w:rFonts w:hint="cs"/>
          <w:rtl/>
        </w:rPr>
        <w:t>שם התקנות המוצעות</w:t>
      </w:r>
      <w:bookmarkEnd w:id="1"/>
    </w:p>
    <w:p w14:paraId="4A8EC427" w14:textId="093B4185" w:rsidR="00C522D7" w:rsidRPr="006A6016" w:rsidRDefault="00C522D7" w:rsidP="006A6016">
      <w:pPr>
        <w:pStyle w:val="P00"/>
        <w:tabs>
          <w:tab w:val="clear" w:pos="6259"/>
        </w:tabs>
        <w:spacing w:before="72" w:line="360" w:lineRule="auto"/>
        <w:ind w:left="0"/>
        <w:rPr>
          <w:rFonts w:ascii="Arial" w:eastAsia="Arial Unicode MS" w:hAnsi="Arial" w:cs="David"/>
          <w:noProof w:val="0"/>
          <w:snapToGrid w:val="0"/>
          <w:rtl/>
          <w:lang w:eastAsia="en-US"/>
        </w:rPr>
      </w:pPr>
      <w:r w:rsidRPr="006A6016">
        <w:rPr>
          <w:rFonts w:ascii="Arial" w:eastAsia="Arial Unicode MS" w:hAnsi="Arial" w:cs="David" w:hint="cs"/>
          <w:noProof w:val="0"/>
          <w:snapToGrid w:val="0"/>
          <w:rtl/>
          <w:lang w:eastAsia="en-US"/>
        </w:rPr>
        <w:t>תקנות ה</w:t>
      </w:r>
      <w:r w:rsidR="002158B8" w:rsidRPr="006A6016">
        <w:rPr>
          <w:rFonts w:ascii="Arial" w:eastAsia="Arial Unicode MS" w:hAnsi="Arial" w:cs="David" w:hint="cs"/>
          <w:noProof w:val="0"/>
          <w:snapToGrid w:val="0"/>
          <w:rtl/>
          <w:lang w:eastAsia="en-US"/>
        </w:rPr>
        <w:t>פיקוח על שירותים פיננסיים (קופות גמל) (זקיפת תשואה בקרן פנסיה חדשה מקיפה)</w:t>
      </w:r>
      <w:r w:rsidRPr="006A6016">
        <w:rPr>
          <w:rFonts w:ascii="Arial" w:eastAsia="Arial Unicode MS" w:hAnsi="Arial" w:cs="David" w:hint="cs"/>
          <w:noProof w:val="0"/>
          <w:snapToGrid w:val="0"/>
          <w:rtl/>
          <w:lang w:eastAsia="en-US"/>
        </w:rPr>
        <w:t xml:space="preserve">, (תיקון), </w:t>
      </w:r>
      <w:proofErr w:type="spellStart"/>
      <w:r w:rsidRPr="006A6016">
        <w:rPr>
          <w:rFonts w:ascii="Arial" w:eastAsia="Arial Unicode MS" w:hAnsi="Arial" w:cs="David" w:hint="cs"/>
          <w:noProof w:val="0"/>
          <w:snapToGrid w:val="0"/>
          <w:rtl/>
          <w:lang w:eastAsia="en-US"/>
        </w:rPr>
        <w:t>התשפ</w:t>
      </w:r>
      <w:r w:rsidR="00BF4A10">
        <w:rPr>
          <w:rFonts w:ascii="Arial" w:eastAsia="Arial Unicode MS" w:hAnsi="Arial" w:cs="David" w:hint="cs"/>
          <w:noProof w:val="0"/>
          <w:snapToGrid w:val="0"/>
          <w:rtl/>
          <w:lang w:eastAsia="en-US"/>
        </w:rPr>
        <w:t>"ה</w:t>
      </w:r>
      <w:proofErr w:type="spellEnd"/>
      <w:r w:rsidRPr="006A6016">
        <w:rPr>
          <w:rFonts w:ascii="Arial" w:eastAsia="Arial Unicode MS" w:hAnsi="Arial" w:cs="David" w:hint="cs"/>
          <w:noProof w:val="0"/>
          <w:snapToGrid w:val="0"/>
          <w:rtl/>
          <w:lang w:eastAsia="en-US"/>
        </w:rPr>
        <w:t xml:space="preserve"> </w:t>
      </w:r>
      <w:r w:rsidR="00591D9B" w:rsidRPr="006A6016">
        <w:rPr>
          <w:rFonts w:ascii="Arial" w:eastAsia="Arial Unicode MS" w:hAnsi="Arial" w:cs="David"/>
          <w:noProof w:val="0"/>
          <w:snapToGrid w:val="0"/>
          <w:rtl/>
          <w:lang w:eastAsia="en-US"/>
        </w:rPr>
        <w:t>–</w:t>
      </w:r>
      <w:r w:rsidRPr="006A6016">
        <w:rPr>
          <w:rFonts w:ascii="Arial" w:eastAsia="Arial Unicode MS" w:hAnsi="Arial" w:cs="David" w:hint="cs"/>
          <w:noProof w:val="0"/>
          <w:snapToGrid w:val="0"/>
          <w:rtl/>
          <w:lang w:eastAsia="en-US"/>
        </w:rPr>
        <w:t xml:space="preserve"> 202</w:t>
      </w:r>
      <w:r w:rsidR="00BF4A10">
        <w:rPr>
          <w:rFonts w:ascii="Arial" w:eastAsia="Arial Unicode MS" w:hAnsi="Arial" w:cs="David" w:hint="cs"/>
          <w:noProof w:val="0"/>
          <w:snapToGrid w:val="0"/>
          <w:rtl/>
          <w:lang w:eastAsia="en-US"/>
        </w:rPr>
        <w:t>5</w:t>
      </w:r>
    </w:p>
    <w:p w14:paraId="6662B1A0" w14:textId="77777777" w:rsidR="00C522D7" w:rsidRPr="00223950" w:rsidRDefault="00C522D7" w:rsidP="00C522D7">
      <w:pPr>
        <w:rPr>
          <w:rtl/>
        </w:rPr>
      </w:pPr>
    </w:p>
    <w:p w14:paraId="73453DCF" w14:textId="77777777" w:rsidR="00C522D7" w:rsidRPr="00223950" w:rsidRDefault="00C522D7" w:rsidP="00C522D7">
      <w:pPr>
        <w:pStyle w:val="4"/>
        <w:rPr>
          <w:rtl/>
        </w:rPr>
      </w:pPr>
      <w:bookmarkStart w:id="2" w:name="_Toc209361046"/>
      <w:r w:rsidRPr="00223950">
        <w:rPr>
          <w:rFonts w:hint="cs"/>
          <w:rtl/>
        </w:rPr>
        <w:t>מטרת התקנות המוצעות והצורך בהן:</w:t>
      </w:r>
      <w:bookmarkEnd w:id="2"/>
      <w:r w:rsidRPr="00223950">
        <w:rPr>
          <w:rFonts w:hint="cs"/>
          <w:rtl/>
        </w:rPr>
        <w:t xml:space="preserve"> </w:t>
      </w:r>
    </w:p>
    <w:p w14:paraId="108F9B86" w14:textId="77777777" w:rsidR="00BF4A10" w:rsidRPr="003927CC" w:rsidRDefault="00BF4A10" w:rsidP="00BF4A10">
      <w:pPr>
        <w:pStyle w:val="P00"/>
        <w:tabs>
          <w:tab w:val="clear" w:pos="6259"/>
        </w:tabs>
        <w:spacing w:before="72" w:line="360" w:lineRule="auto"/>
        <w:ind w:left="0"/>
        <w:rPr>
          <w:rFonts w:ascii="Arial" w:eastAsia="Arial Unicode MS" w:hAnsi="Arial" w:cs="David"/>
          <w:noProof w:val="0"/>
          <w:snapToGrid w:val="0"/>
          <w:rtl/>
          <w:lang w:eastAsia="en-US"/>
        </w:rPr>
      </w:pPr>
      <w:r w:rsidRPr="003927CC">
        <w:rPr>
          <w:rFonts w:ascii="Arial" w:eastAsia="Arial Unicode MS" w:hAnsi="Arial" w:cs="David"/>
          <w:noProof w:val="0"/>
          <w:snapToGrid w:val="0"/>
          <w:rtl/>
          <w:lang w:eastAsia="en-US"/>
        </w:rPr>
        <w:t xml:space="preserve">איגרות חוב מיועדות הן איגרות חוב ממשלתיות לא סחירות, צמודות מדד ונושאת ריבית קבועה בשיעור של 4.86% אשר מונפקות לקרנות הפנסיה החדשות המקיפות בהיקף של 30% מנכסיהן. </w:t>
      </w:r>
    </w:p>
    <w:p w14:paraId="704E2B89" w14:textId="77777777" w:rsidR="00BF4A10" w:rsidRPr="003927CC" w:rsidRDefault="00BF4A10" w:rsidP="00BF4A10">
      <w:pPr>
        <w:pStyle w:val="P00"/>
        <w:tabs>
          <w:tab w:val="clear" w:pos="6259"/>
        </w:tabs>
        <w:spacing w:before="72" w:line="360" w:lineRule="auto"/>
        <w:ind w:left="0"/>
        <w:rPr>
          <w:rFonts w:ascii="Arial" w:eastAsia="Arial Unicode MS" w:hAnsi="Arial" w:cs="David"/>
          <w:noProof w:val="0"/>
          <w:snapToGrid w:val="0"/>
          <w:rtl/>
          <w:lang w:eastAsia="en-US"/>
        </w:rPr>
      </w:pPr>
      <w:r w:rsidRPr="003927CC">
        <w:rPr>
          <w:rFonts w:ascii="Arial" w:eastAsia="Arial Unicode MS" w:hAnsi="Arial" w:cs="David"/>
          <w:noProof w:val="0"/>
          <w:snapToGrid w:val="0"/>
          <w:rtl/>
          <w:lang w:eastAsia="en-US"/>
        </w:rPr>
        <w:t xml:space="preserve">ביום 23 בדצמבר 2015, </w:t>
      </w:r>
      <w:r>
        <w:rPr>
          <w:rFonts w:ascii="Arial" w:eastAsia="Arial Unicode MS" w:hAnsi="Arial" w:cs="David" w:hint="cs"/>
          <w:noProof w:val="0"/>
          <w:snapToGrid w:val="0"/>
          <w:rtl/>
          <w:lang w:eastAsia="en-US"/>
        </w:rPr>
        <w:t>פורסם</w:t>
      </w:r>
      <w:r w:rsidRPr="003927CC">
        <w:rPr>
          <w:rFonts w:ascii="Arial" w:eastAsia="Arial Unicode MS" w:hAnsi="Arial" w:cs="David"/>
          <w:noProof w:val="0"/>
          <w:snapToGrid w:val="0"/>
          <w:rtl/>
          <w:lang w:eastAsia="en-US"/>
        </w:rPr>
        <w:t xml:space="preserve"> דוח הצוות להגברת הוודאות בחיסכון הפנסיוני (להלן – </w:t>
      </w:r>
      <w:r w:rsidRPr="003927CC">
        <w:rPr>
          <w:rFonts w:ascii="Arial" w:eastAsia="Arial Unicode MS" w:hAnsi="Arial" w:cs="David"/>
          <w:b/>
          <w:bCs/>
          <w:noProof w:val="0"/>
          <w:snapToGrid w:val="0"/>
          <w:rtl/>
          <w:lang w:eastAsia="en-US"/>
        </w:rPr>
        <w:t>הצוות</w:t>
      </w:r>
      <w:r w:rsidRPr="003927CC">
        <w:rPr>
          <w:rFonts w:ascii="Arial" w:eastAsia="Arial Unicode MS" w:hAnsi="Arial" w:cs="David"/>
          <w:noProof w:val="0"/>
          <w:snapToGrid w:val="0"/>
          <w:rtl/>
          <w:lang w:eastAsia="en-US"/>
        </w:rPr>
        <w:t>) שבחן את יעילות הקצאת אגרות חוב מיועדות לחיסכון פנסיוני ואת השפעתן של אגרות החוב המיועדות על התקציב והחוב הממשלתי. במסגרת עבודת הצוות נבחנו, בין היתר, חלופות שונות להקצאה של אגרות חוב מיועדות בין העמיתים בקרנות הפנסיה החדשות. לאחר בחינת החלופות, המליץ הצוות על הקצאה שונה של אגרות החוב המיועדות, בחלוקה לשלוש קבוצות</w:t>
      </w:r>
      <w:r>
        <w:rPr>
          <w:rFonts w:ascii="Arial" w:eastAsia="Arial Unicode MS" w:hAnsi="Arial" w:cs="David" w:hint="cs"/>
          <w:noProof w:val="0"/>
          <w:snapToGrid w:val="0"/>
          <w:rtl/>
          <w:lang w:eastAsia="en-US"/>
        </w:rPr>
        <w:t>:</w:t>
      </w:r>
      <w:r w:rsidRPr="003927CC">
        <w:rPr>
          <w:rFonts w:ascii="Arial" w:eastAsia="Arial Unicode MS" w:hAnsi="Arial" w:cs="David"/>
          <w:noProof w:val="0"/>
          <w:snapToGrid w:val="0"/>
          <w:rtl/>
          <w:lang w:eastAsia="en-US"/>
        </w:rPr>
        <w:t xml:space="preserve"> מקבלי קצבה, עמיתים בני חמישים ומעלה ועמיתים צעירים, והכל מבלי לבצע שינוי במסגרת ההקצאה הכוללת של אגרות החוב המיועדות לקרנות הפנסיה החדשות.</w:t>
      </w:r>
    </w:p>
    <w:p w14:paraId="01E90808" w14:textId="77777777" w:rsidR="00BF4A10" w:rsidRPr="003927CC" w:rsidRDefault="00BF4A10" w:rsidP="00BF4A10">
      <w:pPr>
        <w:pStyle w:val="P00"/>
        <w:tabs>
          <w:tab w:val="clear" w:pos="6259"/>
        </w:tabs>
        <w:spacing w:before="72" w:line="360" w:lineRule="auto"/>
        <w:ind w:left="0"/>
        <w:rPr>
          <w:rFonts w:ascii="Arial" w:eastAsia="Arial Unicode MS" w:hAnsi="Arial" w:cs="David"/>
          <w:noProof w:val="0"/>
          <w:snapToGrid w:val="0"/>
          <w:rtl/>
          <w:lang w:eastAsia="en-US"/>
        </w:rPr>
      </w:pPr>
      <w:r w:rsidRPr="003927CC">
        <w:rPr>
          <w:rFonts w:ascii="Arial" w:eastAsia="Arial Unicode MS" w:hAnsi="Arial" w:cs="David" w:hint="cs"/>
          <w:noProof w:val="0"/>
          <w:snapToGrid w:val="0"/>
          <w:rtl/>
          <w:lang w:eastAsia="en-US"/>
        </w:rPr>
        <w:t xml:space="preserve">בהתאם להמלצת הצוות, </w:t>
      </w:r>
      <w:r>
        <w:rPr>
          <w:rFonts w:ascii="Arial" w:eastAsia="Arial Unicode MS" w:hAnsi="Arial" w:cs="David" w:hint="cs"/>
          <w:noProof w:val="0"/>
          <w:snapToGrid w:val="0"/>
          <w:rtl/>
          <w:lang w:eastAsia="en-US"/>
        </w:rPr>
        <w:t>הותקנו</w:t>
      </w:r>
      <w:r w:rsidRPr="003927CC">
        <w:rPr>
          <w:rFonts w:ascii="Arial" w:eastAsia="Arial Unicode MS" w:hAnsi="Arial" w:cs="David" w:hint="cs"/>
          <w:noProof w:val="0"/>
          <w:snapToGrid w:val="0"/>
          <w:rtl/>
          <w:lang w:eastAsia="en-US"/>
        </w:rPr>
        <w:t xml:space="preserve"> תקנות הפיקוח על שירותים פיננסיים (קופות גמל) (זקיפת תשואה בקרן פנסיה חדשה מקיפה), תשע"ז-2017 (להלן </w:t>
      </w:r>
      <w:r w:rsidRPr="003927CC">
        <w:rPr>
          <w:rFonts w:ascii="Arial" w:eastAsia="Arial Unicode MS" w:hAnsi="Arial" w:cs="David"/>
          <w:noProof w:val="0"/>
          <w:snapToGrid w:val="0"/>
          <w:rtl/>
          <w:lang w:eastAsia="en-US"/>
        </w:rPr>
        <w:t>–</w:t>
      </w:r>
      <w:r w:rsidRPr="003927CC">
        <w:rPr>
          <w:rFonts w:ascii="Arial" w:eastAsia="Arial Unicode MS" w:hAnsi="Arial" w:cs="David" w:hint="cs"/>
          <w:noProof w:val="0"/>
          <w:snapToGrid w:val="0"/>
          <w:rtl/>
          <w:lang w:eastAsia="en-US"/>
        </w:rPr>
        <w:t xml:space="preserve"> </w:t>
      </w:r>
      <w:r w:rsidRPr="003927CC">
        <w:rPr>
          <w:rFonts w:ascii="Arial" w:eastAsia="Arial Unicode MS" w:hAnsi="Arial" w:cs="David" w:hint="cs"/>
          <w:b/>
          <w:bCs/>
          <w:noProof w:val="0"/>
          <w:snapToGrid w:val="0"/>
          <w:rtl/>
          <w:lang w:eastAsia="en-US"/>
        </w:rPr>
        <w:t>התקנות</w:t>
      </w:r>
      <w:r w:rsidRPr="003927CC">
        <w:rPr>
          <w:rFonts w:ascii="Arial" w:eastAsia="Arial Unicode MS" w:hAnsi="Arial" w:cs="David" w:hint="cs"/>
          <w:noProof w:val="0"/>
          <w:snapToGrid w:val="0"/>
          <w:rtl/>
          <w:lang w:eastAsia="en-US"/>
        </w:rPr>
        <w:t>) הקובעות</w:t>
      </w:r>
      <w:r w:rsidRPr="003927CC">
        <w:rPr>
          <w:rFonts w:ascii="Arial" w:eastAsia="Arial Unicode MS" w:hAnsi="Arial" w:cs="David"/>
          <w:noProof w:val="0"/>
          <w:snapToGrid w:val="0"/>
          <w:rtl/>
          <w:lang w:eastAsia="en-US"/>
        </w:rPr>
        <w:t xml:space="preserve"> הוראות לגבי אופן זקיפת תשואה לעמיתים ופנסיונרים בקרן פנסיה חדשה מקיפה ומועד ביצועה ובכלל זה </w:t>
      </w:r>
      <w:r w:rsidRPr="003927CC">
        <w:rPr>
          <w:rFonts w:ascii="Arial" w:eastAsia="Arial Unicode MS" w:hAnsi="Arial" w:cs="David" w:hint="cs"/>
          <w:noProof w:val="0"/>
          <w:snapToGrid w:val="0"/>
          <w:rtl/>
          <w:lang w:eastAsia="en-US"/>
        </w:rPr>
        <w:t xml:space="preserve">קביעת הקצאה שונה של </w:t>
      </w:r>
      <w:proofErr w:type="spellStart"/>
      <w:r w:rsidRPr="003927CC">
        <w:rPr>
          <w:rFonts w:ascii="Arial" w:eastAsia="Arial Unicode MS" w:hAnsi="Arial" w:cs="David" w:hint="cs"/>
          <w:noProof w:val="0"/>
          <w:snapToGrid w:val="0"/>
          <w:rtl/>
          <w:lang w:eastAsia="en-US"/>
        </w:rPr>
        <w:t>האג"ח</w:t>
      </w:r>
      <w:proofErr w:type="spellEnd"/>
      <w:r w:rsidRPr="003927CC">
        <w:rPr>
          <w:rFonts w:ascii="Arial" w:eastAsia="Arial Unicode MS" w:hAnsi="Arial" w:cs="David" w:hint="cs"/>
          <w:noProof w:val="0"/>
          <w:snapToGrid w:val="0"/>
          <w:rtl/>
          <w:lang w:eastAsia="en-US"/>
        </w:rPr>
        <w:t xml:space="preserve"> המיועדות לפי שלוש קבוצות גיל : עמיתים בני 50 ומטה, עמיתים בני 50 ומעלה ומקבלי קצבאות. </w:t>
      </w:r>
    </w:p>
    <w:p w14:paraId="63E5C5B0" w14:textId="77777777" w:rsidR="00BF4A10" w:rsidRPr="003927CC" w:rsidRDefault="00BF4A10" w:rsidP="00BF4A10">
      <w:pPr>
        <w:pStyle w:val="P00"/>
        <w:tabs>
          <w:tab w:val="clear" w:pos="6259"/>
        </w:tabs>
        <w:spacing w:before="72" w:line="360" w:lineRule="auto"/>
        <w:ind w:left="0"/>
        <w:rPr>
          <w:rFonts w:ascii="Arial" w:eastAsia="Arial Unicode MS" w:hAnsi="Arial" w:cs="David"/>
          <w:noProof w:val="0"/>
          <w:snapToGrid w:val="0"/>
          <w:rtl/>
          <w:lang w:eastAsia="en-US"/>
        </w:rPr>
      </w:pPr>
      <w:r>
        <w:rPr>
          <w:rFonts w:ascii="Arial" w:eastAsia="Arial Unicode MS" w:hAnsi="Arial" w:cs="David" w:hint="cs"/>
          <w:noProof w:val="0"/>
          <w:snapToGrid w:val="0"/>
          <w:rtl/>
          <w:lang w:eastAsia="en-US"/>
        </w:rPr>
        <w:t>תקנה</w:t>
      </w:r>
      <w:r w:rsidRPr="003927CC">
        <w:rPr>
          <w:rFonts w:ascii="Arial" w:eastAsia="Arial Unicode MS" w:hAnsi="Arial" w:cs="David" w:hint="cs"/>
          <w:noProof w:val="0"/>
          <w:snapToGrid w:val="0"/>
          <w:rtl/>
          <w:lang w:eastAsia="en-US"/>
        </w:rPr>
        <w:t xml:space="preserve"> 8 לתקנות קובע</w:t>
      </w:r>
      <w:r>
        <w:rPr>
          <w:rFonts w:ascii="Arial" w:eastAsia="Arial Unicode MS" w:hAnsi="Arial" w:cs="David" w:hint="cs"/>
          <w:noProof w:val="0"/>
          <w:snapToGrid w:val="0"/>
          <w:rtl/>
          <w:lang w:eastAsia="en-US"/>
        </w:rPr>
        <w:t>ת</w:t>
      </w:r>
      <w:r w:rsidRPr="003927CC">
        <w:rPr>
          <w:rFonts w:ascii="Arial" w:eastAsia="Arial Unicode MS" w:hAnsi="Arial" w:cs="David" w:hint="cs"/>
          <w:noProof w:val="0"/>
          <w:snapToGrid w:val="0"/>
          <w:rtl/>
          <w:lang w:eastAsia="en-US"/>
        </w:rPr>
        <w:t xml:space="preserve"> הוראת שעה לפיה ההקצאה השונה לעמיתים בני 50 ומעלה ולעמיתים בני 50 ומטה תכנס לתוקפה החל מיום ה- 1 בינואר </w:t>
      </w:r>
      <w:r>
        <w:rPr>
          <w:rFonts w:ascii="Arial" w:eastAsia="Arial Unicode MS" w:hAnsi="Arial" w:cs="David" w:hint="cs"/>
          <w:noProof w:val="0"/>
          <w:snapToGrid w:val="0"/>
          <w:rtl/>
          <w:lang w:eastAsia="en-US"/>
        </w:rPr>
        <w:t>2026</w:t>
      </w:r>
      <w:r w:rsidRPr="003927CC">
        <w:rPr>
          <w:rFonts w:ascii="Arial" w:eastAsia="Arial Unicode MS" w:hAnsi="Arial" w:cs="David" w:hint="cs"/>
          <w:noProof w:val="0"/>
          <w:snapToGrid w:val="0"/>
          <w:rtl/>
          <w:lang w:eastAsia="en-US"/>
        </w:rPr>
        <w:t xml:space="preserve">. בתקופת הוראת השעה, הקצאת </w:t>
      </w:r>
      <w:proofErr w:type="spellStart"/>
      <w:r w:rsidRPr="003927CC">
        <w:rPr>
          <w:rFonts w:ascii="Arial" w:eastAsia="Arial Unicode MS" w:hAnsi="Arial" w:cs="David" w:hint="cs"/>
          <w:noProof w:val="0"/>
          <w:snapToGrid w:val="0"/>
          <w:rtl/>
          <w:lang w:eastAsia="en-US"/>
        </w:rPr>
        <w:t>האג"ח</w:t>
      </w:r>
      <w:proofErr w:type="spellEnd"/>
      <w:r w:rsidRPr="003927CC">
        <w:rPr>
          <w:rFonts w:ascii="Arial" w:eastAsia="Arial Unicode MS" w:hAnsi="Arial" w:cs="David" w:hint="cs"/>
          <w:noProof w:val="0"/>
          <w:snapToGrid w:val="0"/>
          <w:rtl/>
          <w:lang w:eastAsia="en-US"/>
        </w:rPr>
        <w:t xml:space="preserve"> המיועדות לקבוצת העמיתים בני 50 ומטה ולקבוצת העמיתים בני 50 ומעלה תהיה זהה (להלן </w:t>
      </w:r>
      <w:r w:rsidRPr="003927CC">
        <w:rPr>
          <w:rFonts w:ascii="Arial" w:eastAsia="Arial Unicode MS" w:hAnsi="Arial" w:cs="David"/>
          <w:noProof w:val="0"/>
          <w:snapToGrid w:val="0"/>
          <w:rtl/>
          <w:lang w:eastAsia="en-US"/>
        </w:rPr>
        <w:t>–</w:t>
      </w:r>
      <w:r w:rsidRPr="003927CC">
        <w:rPr>
          <w:rFonts w:ascii="Arial" w:eastAsia="Arial Unicode MS" w:hAnsi="Arial" w:cs="David" w:hint="cs"/>
          <w:noProof w:val="0"/>
          <w:snapToGrid w:val="0"/>
          <w:rtl/>
          <w:lang w:eastAsia="en-US"/>
        </w:rPr>
        <w:t xml:space="preserve"> </w:t>
      </w:r>
      <w:r w:rsidRPr="00180AAD">
        <w:rPr>
          <w:rFonts w:ascii="Arial" w:eastAsia="Arial Unicode MS" w:hAnsi="Arial" w:cs="David" w:hint="cs"/>
          <w:b/>
          <w:bCs/>
          <w:noProof w:val="0"/>
          <w:snapToGrid w:val="0"/>
          <w:rtl/>
          <w:lang w:eastAsia="en-US"/>
        </w:rPr>
        <w:t>הוראת השעה</w:t>
      </w:r>
      <w:r w:rsidRPr="003927CC">
        <w:rPr>
          <w:rFonts w:ascii="Arial" w:eastAsia="Arial Unicode MS" w:hAnsi="Arial" w:cs="David" w:hint="cs"/>
          <w:noProof w:val="0"/>
          <w:snapToGrid w:val="0"/>
          <w:rtl/>
          <w:lang w:eastAsia="en-US"/>
        </w:rPr>
        <w:t xml:space="preserve">). </w:t>
      </w:r>
    </w:p>
    <w:p w14:paraId="00DDE648" w14:textId="77777777" w:rsidR="00BF4A10" w:rsidRPr="00E814A0" w:rsidRDefault="00BF4A10" w:rsidP="00BF4A10">
      <w:pPr>
        <w:pStyle w:val="P00"/>
        <w:tabs>
          <w:tab w:val="clear" w:pos="6259"/>
        </w:tabs>
        <w:spacing w:before="72" w:line="360" w:lineRule="auto"/>
        <w:ind w:left="0"/>
        <w:rPr>
          <w:rFonts w:ascii="Arial" w:eastAsia="Arial Unicode MS" w:hAnsi="Arial" w:cs="David"/>
          <w:noProof w:val="0"/>
          <w:snapToGrid w:val="0"/>
          <w:sz w:val="26"/>
          <w:rtl/>
          <w:lang w:eastAsia="en-US"/>
        </w:rPr>
      </w:pPr>
      <w:r w:rsidRPr="003927CC">
        <w:rPr>
          <w:rFonts w:ascii="Arial" w:eastAsia="Arial Unicode MS" w:hAnsi="Arial" w:cs="David" w:hint="cs"/>
          <w:noProof w:val="0"/>
          <w:snapToGrid w:val="0"/>
          <w:rtl/>
          <w:lang w:eastAsia="en-US"/>
        </w:rPr>
        <w:t xml:space="preserve">במהלך השנים שחלפו ממועד </w:t>
      </w:r>
      <w:r>
        <w:rPr>
          <w:rFonts w:ascii="Arial" w:eastAsia="Arial Unicode MS" w:hAnsi="Arial" w:cs="David" w:hint="cs"/>
          <w:noProof w:val="0"/>
          <w:snapToGrid w:val="0"/>
          <w:rtl/>
          <w:lang w:eastAsia="en-US"/>
        </w:rPr>
        <w:t>פרסום</w:t>
      </w:r>
      <w:r w:rsidRPr="003927CC">
        <w:rPr>
          <w:rFonts w:ascii="Arial" w:eastAsia="Arial Unicode MS" w:hAnsi="Arial" w:cs="David" w:hint="cs"/>
          <w:noProof w:val="0"/>
          <w:snapToGrid w:val="0"/>
          <w:rtl/>
          <w:lang w:eastAsia="en-US"/>
        </w:rPr>
        <w:t xml:space="preserve"> </w:t>
      </w:r>
      <w:r>
        <w:rPr>
          <w:rFonts w:ascii="Arial" w:eastAsia="Arial Unicode MS" w:hAnsi="Arial" w:cs="David" w:hint="cs"/>
          <w:noProof w:val="0"/>
          <w:snapToGrid w:val="0"/>
          <w:rtl/>
          <w:lang w:eastAsia="en-US"/>
        </w:rPr>
        <w:t>המלצות הצוות</w:t>
      </w:r>
      <w:r w:rsidRPr="003927CC">
        <w:rPr>
          <w:rFonts w:ascii="Arial" w:eastAsia="Arial Unicode MS" w:hAnsi="Arial" w:cs="David" w:hint="cs"/>
          <w:noProof w:val="0"/>
          <w:snapToGrid w:val="0"/>
          <w:rtl/>
          <w:lang w:eastAsia="en-US"/>
        </w:rPr>
        <w:t xml:space="preserve"> חלו תמורות ושינויים רבים בענף קרנות הפנסיה. כך ביום 4 בנובמבר 2021 התקבל בכנסת </w:t>
      </w:r>
      <w:r w:rsidRPr="003927CC">
        <w:rPr>
          <w:rFonts w:ascii="Arial" w:eastAsia="Arial Unicode MS" w:hAnsi="Arial" w:cs="David"/>
          <w:noProof w:val="0"/>
          <w:snapToGrid w:val="0"/>
          <w:rtl/>
          <w:lang w:eastAsia="en-US"/>
        </w:rPr>
        <w:t xml:space="preserve">חוק ההתייעלות הכלכלית (תיקוני חקיקה להשגת יעדי התקציב </w:t>
      </w:r>
      <w:r w:rsidRPr="00E814A0">
        <w:rPr>
          <w:rFonts w:ascii="Arial" w:eastAsia="Arial Unicode MS" w:hAnsi="Arial" w:cs="David"/>
          <w:noProof w:val="0"/>
          <w:snapToGrid w:val="0"/>
          <w:sz w:val="26"/>
          <w:rtl/>
          <w:lang w:eastAsia="en-US"/>
        </w:rPr>
        <w:t>לשנות התקציב 2021 ו-2022), התשפ"ב-2021</w:t>
      </w:r>
      <w:r w:rsidRPr="00E814A0">
        <w:rPr>
          <w:rFonts w:ascii="Arial" w:eastAsia="Arial Unicode MS" w:hAnsi="Arial" w:cs="David" w:hint="cs"/>
          <w:noProof w:val="0"/>
          <w:snapToGrid w:val="0"/>
          <w:sz w:val="26"/>
          <w:rtl/>
          <w:lang w:eastAsia="en-US"/>
        </w:rPr>
        <w:t xml:space="preserve"> (להלן </w:t>
      </w:r>
      <w:r w:rsidRPr="00E814A0">
        <w:rPr>
          <w:rFonts w:ascii="Arial" w:eastAsia="Arial Unicode MS" w:hAnsi="Arial" w:cs="David"/>
          <w:noProof w:val="0"/>
          <w:snapToGrid w:val="0"/>
          <w:sz w:val="26"/>
          <w:rtl/>
          <w:lang w:eastAsia="en-US"/>
        </w:rPr>
        <w:t>–</w:t>
      </w:r>
      <w:r w:rsidRPr="00E814A0">
        <w:rPr>
          <w:rFonts w:ascii="Arial" w:eastAsia="Arial Unicode MS" w:hAnsi="Arial" w:cs="David" w:hint="cs"/>
          <w:noProof w:val="0"/>
          <w:snapToGrid w:val="0"/>
          <w:sz w:val="26"/>
          <w:rtl/>
          <w:lang w:eastAsia="en-US"/>
        </w:rPr>
        <w:t xml:space="preserve"> </w:t>
      </w:r>
      <w:r w:rsidRPr="00E814A0">
        <w:rPr>
          <w:rFonts w:ascii="Arial" w:eastAsia="Arial Unicode MS" w:hAnsi="Arial" w:cs="David" w:hint="cs"/>
          <w:b/>
          <w:bCs/>
          <w:noProof w:val="0"/>
          <w:snapToGrid w:val="0"/>
          <w:sz w:val="26"/>
          <w:rtl/>
          <w:lang w:eastAsia="en-US"/>
        </w:rPr>
        <w:t>חוק ההתייעלות הכלכלית</w:t>
      </w:r>
      <w:r w:rsidRPr="00E814A0">
        <w:rPr>
          <w:rFonts w:ascii="Arial" w:eastAsia="Arial Unicode MS" w:hAnsi="Arial" w:cs="David" w:hint="cs"/>
          <w:noProof w:val="0"/>
          <w:snapToGrid w:val="0"/>
          <w:sz w:val="26"/>
          <w:rtl/>
          <w:lang w:eastAsia="en-US"/>
        </w:rPr>
        <w:t xml:space="preserve">). פרק ג' לחוק ההתייעלות הכלכלית, שעניינו </w:t>
      </w:r>
      <w:r w:rsidRPr="00E814A0">
        <w:rPr>
          <w:rFonts w:ascii="Arial" w:eastAsia="Arial Unicode MS" w:hAnsi="Arial" w:cs="David"/>
          <w:noProof w:val="0"/>
          <w:snapToGrid w:val="0"/>
          <w:sz w:val="26"/>
          <w:rtl/>
          <w:lang w:eastAsia="en-US"/>
        </w:rPr>
        <w:t>הבטחת היציבות בתשואות קרנות</w:t>
      </w:r>
      <w:r w:rsidRPr="00E814A0">
        <w:rPr>
          <w:rFonts w:ascii="Arial" w:eastAsia="Arial Unicode MS" w:hAnsi="Arial" w:cs="David" w:hint="cs"/>
          <w:noProof w:val="0"/>
          <w:snapToGrid w:val="0"/>
          <w:sz w:val="26"/>
          <w:rtl/>
          <w:lang w:eastAsia="en-US"/>
        </w:rPr>
        <w:t xml:space="preserve"> </w:t>
      </w:r>
      <w:r w:rsidRPr="00E814A0">
        <w:rPr>
          <w:rFonts w:ascii="Arial" w:eastAsia="Arial Unicode MS" w:hAnsi="Arial" w:cs="David"/>
          <w:noProof w:val="0"/>
          <w:snapToGrid w:val="0"/>
          <w:sz w:val="26"/>
          <w:rtl/>
          <w:lang w:eastAsia="en-US"/>
        </w:rPr>
        <w:t>הפנסיה</w:t>
      </w:r>
      <w:r w:rsidRPr="00E814A0">
        <w:rPr>
          <w:rFonts w:ascii="Arial" w:eastAsia="Arial Unicode MS" w:hAnsi="Arial" w:cs="David" w:hint="cs"/>
          <w:noProof w:val="0"/>
          <w:snapToGrid w:val="0"/>
          <w:sz w:val="26"/>
          <w:rtl/>
          <w:lang w:eastAsia="en-US"/>
        </w:rPr>
        <w:t xml:space="preserve">, קבע כי </w:t>
      </w:r>
      <w:r w:rsidRPr="00E814A0">
        <w:rPr>
          <w:rFonts w:ascii="Arial" w:eastAsia="Arial Unicode MS" w:hAnsi="Arial" w:cs="David"/>
          <w:noProof w:val="0"/>
          <w:snapToGrid w:val="0"/>
          <w:sz w:val="26"/>
          <w:rtl/>
          <w:lang w:eastAsia="en-US"/>
        </w:rPr>
        <w:t xml:space="preserve">מנגנון איגרות החוב המיועדות </w:t>
      </w:r>
      <w:r w:rsidRPr="00E814A0">
        <w:rPr>
          <w:rFonts w:ascii="Arial" w:eastAsia="Arial Unicode MS" w:hAnsi="Arial" w:cs="David" w:hint="cs"/>
          <w:noProof w:val="0"/>
          <w:snapToGrid w:val="0"/>
          <w:sz w:val="26"/>
          <w:rtl/>
          <w:lang w:eastAsia="en-US"/>
        </w:rPr>
        <w:t xml:space="preserve">לקרנות הפנסיה החדשות ולקרנות הפנסיה הוותיקות יוחלף </w:t>
      </w:r>
      <w:r w:rsidRPr="00E814A0">
        <w:rPr>
          <w:rFonts w:ascii="Arial" w:eastAsia="Arial Unicode MS" w:hAnsi="Arial" w:cs="David"/>
          <w:noProof w:val="0"/>
          <w:snapToGrid w:val="0"/>
          <w:sz w:val="26"/>
          <w:rtl/>
          <w:lang w:eastAsia="en-US"/>
        </w:rPr>
        <w:t>במנגנון חדש של הבטח</w:t>
      </w:r>
      <w:r w:rsidRPr="00E814A0">
        <w:rPr>
          <w:rFonts w:ascii="Arial" w:eastAsia="Arial Unicode MS" w:hAnsi="Arial" w:cs="David" w:hint="cs"/>
          <w:noProof w:val="0"/>
          <w:snapToGrid w:val="0"/>
          <w:sz w:val="26"/>
          <w:rtl/>
          <w:lang w:eastAsia="en-US"/>
        </w:rPr>
        <w:t>ה להשלמת</w:t>
      </w:r>
      <w:r w:rsidRPr="00E814A0">
        <w:rPr>
          <w:rFonts w:ascii="Arial" w:eastAsia="Arial Unicode MS" w:hAnsi="Arial" w:cs="David"/>
          <w:noProof w:val="0"/>
          <w:snapToGrid w:val="0"/>
          <w:sz w:val="26"/>
          <w:rtl/>
          <w:lang w:eastAsia="en-US"/>
        </w:rPr>
        <w:t xml:space="preserve"> תשואה</w:t>
      </w:r>
      <w:r w:rsidRPr="00E814A0">
        <w:rPr>
          <w:rFonts w:ascii="Arial" w:eastAsia="Arial Unicode MS" w:hAnsi="Arial" w:cs="David" w:hint="cs"/>
          <w:noProof w:val="0"/>
          <w:snapToGrid w:val="0"/>
          <w:sz w:val="26"/>
          <w:rtl/>
          <w:lang w:eastAsia="en-US"/>
        </w:rPr>
        <w:t xml:space="preserve"> (להלן </w:t>
      </w:r>
      <w:r w:rsidRPr="00E814A0">
        <w:rPr>
          <w:rFonts w:ascii="Arial" w:eastAsia="Arial Unicode MS" w:hAnsi="Arial" w:cs="David"/>
          <w:noProof w:val="0"/>
          <w:snapToGrid w:val="0"/>
          <w:sz w:val="26"/>
          <w:rtl/>
          <w:lang w:eastAsia="en-US"/>
        </w:rPr>
        <w:t>–</w:t>
      </w:r>
      <w:r w:rsidRPr="00E814A0">
        <w:rPr>
          <w:rFonts w:ascii="Arial" w:eastAsia="Arial Unicode MS" w:hAnsi="Arial" w:cs="David" w:hint="cs"/>
          <w:noProof w:val="0"/>
          <w:snapToGrid w:val="0"/>
          <w:sz w:val="26"/>
          <w:rtl/>
          <w:lang w:eastAsia="en-US"/>
        </w:rPr>
        <w:t xml:space="preserve"> </w:t>
      </w:r>
      <w:r w:rsidRPr="00E814A0">
        <w:rPr>
          <w:rFonts w:ascii="Arial" w:eastAsia="Arial Unicode MS" w:hAnsi="Arial" w:cs="David" w:hint="cs"/>
          <w:b/>
          <w:bCs/>
          <w:noProof w:val="0"/>
          <w:snapToGrid w:val="0"/>
          <w:sz w:val="26"/>
          <w:rtl/>
          <w:lang w:eastAsia="en-US"/>
        </w:rPr>
        <w:t>הבטחת תשואה</w:t>
      </w:r>
      <w:r w:rsidRPr="00E814A0">
        <w:rPr>
          <w:rFonts w:ascii="Arial" w:eastAsia="Arial Unicode MS" w:hAnsi="Arial" w:cs="David" w:hint="cs"/>
          <w:noProof w:val="0"/>
          <w:snapToGrid w:val="0"/>
          <w:sz w:val="26"/>
          <w:rtl/>
          <w:lang w:eastAsia="en-US"/>
        </w:rPr>
        <w:t xml:space="preserve">). במסגרת הפרק האמור נקבע כי 30% מנכסי קרנות הפנסיה, אשר עד לחקיקת חוק ההתייעלות הכלכלית הושקעו באיגרות חוב מיועדות, יושקעו בהתאם למדיניות ההשקעה של מסלול ההשקעה בקרן בהתאם למנגנון שנקבע בחוק, וייהנו מזכאות להבטחת תשואה שנתית של 5.15%. </w:t>
      </w:r>
      <w:r w:rsidRPr="00E814A0">
        <w:rPr>
          <w:rFonts w:ascii="Arial" w:eastAsia="Arial Unicode MS" w:hAnsi="Arial" w:cs="David"/>
          <w:noProof w:val="0"/>
          <w:snapToGrid w:val="0"/>
          <w:sz w:val="26"/>
          <w:rtl/>
          <w:lang w:eastAsia="en-US"/>
        </w:rPr>
        <w:t xml:space="preserve">בנוסף </w:t>
      </w:r>
      <w:r w:rsidRPr="00E814A0">
        <w:rPr>
          <w:rFonts w:ascii="Arial" w:eastAsia="Arial Unicode MS" w:hAnsi="Arial" w:cs="David" w:hint="cs"/>
          <w:noProof w:val="0"/>
          <w:snapToGrid w:val="0"/>
          <w:sz w:val="26"/>
          <w:rtl/>
          <w:lang w:eastAsia="en-US"/>
        </w:rPr>
        <w:t>ל</w:t>
      </w:r>
      <w:r w:rsidRPr="00E814A0">
        <w:rPr>
          <w:rFonts w:ascii="Arial" w:eastAsia="Arial Unicode MS" w:hAnsi="Arial" w:cs="David"/>
          <w:noProof w:val="0"/>
          <w:snapToGrid w:val="0"/>
          <w:sz w:val="26"/>
          <w:rtl/>
          <w:lang w:eastAsia="en-US"/>
        </w:rPr>
        <w:t xml:space="preserve">כך נקבעו הוראות </w:t>
      </w:r>
      <w:r w:rsidRPr="00E814A0">
        <w:rPr>
          <w:rFonts w:ascii="Arial" w:eastAsia="Arial Unicode MS" w:hAnsi="Arial" w:cs="David" w:hint="cs"/>
          <w:noProof w:val="0"/>
          <w:snapToGrid w:val="0"/>
          <w:sz w:val="26"/>
          <w:rtl/>
          <w:lang w:eastAsia="en-US"/>
        </w:rPr>
        <w:t xml:space="preserve">של הממונה על השוק ההון </w:t>
      </w:r>
      <w:r w:rsidRPr="00E814A0">
        <w:rPr>
          <w:rFonts w:ascii="Arial" w:eastAsia="Arial Unicode MS" w:hAnsi="Arial" w:cs="David"/>
          <w:noProof w:val="0"/>
          <w:snapToGrid w:val="0"/>
          <w:sz w:val="26"/>
          <w:rtl/>
          <w:lang w:eastAsia="en-US"/>
        </w:rPr>
        <w:t xml:space="preserve">לעניין מסלול ברירת מחדל המותאם לגיל העמית (המודל </w:t>
      </w:r>
      <w:proofErr w:type="spellStart"/>
      <w:r w:rsidRPr="00E814A0">
        <w:rPr>
          <w:rFonts w:ascii="Arial" w:eastAsia="Arial Unicode MS" w:hAnsi="Arial" w:cs="David"/>
          <w:noProof w:val="0"/>
          <w:snapToGrid w:val="0"/>
          <w:sz w:val="26"/>
          <w:rtl/>
          <w:lang w:eastAsia="en-US"/>
        </w:rPr>
        <w:t>החכ"מ</w:t>
      </w:r>
      <w:proofErr w:type="spellEnd"/>
      <w:r w:rsidRPr="00E814A0">
        <w:rPr>
          <w:rFonts w:ascii="Arial" w:eastAsia="Arial Unicode MS" w:hAnsi="Arial" w:cs="David"/>
          <w:noProof w:val="0"/>
          <w:snapToGrid w:val="0"/>
          <w:sz w:val="26"/>
          <w:rtl/>
          <w:lang w:eastAsia="en-US"/>
        </w:rPr>
        <w:t xml:space="preserve">), וכן נכנסה לתוקף הרפורמה במסלולי ההשקעה שהביאה להרחבת מגוון המסלולים המתמחים ועוד. </w:t>
      </w:r>
    </w:p>
    <w:p w14:paraId="5BD80D81" w14:textId="77777777" w:rsidR="00BF4A10" w:rsidRPr="00E814A0" w:rsidRDefault="00BF4A10" w:rsidP="00BF4A10">
      <w:pPr>
        <w:pStyle w:val="P00"/>
        <w:tabs>
          <w:tab w:val="clear" w:pos="6259"/>
        </w:tabs>
        <w:spacing w:before="72" w:line="360" w:lineRule="auto"/>
        <w:ind w:left="0"/>
        <w:rPr>
          <w:rFonts w:ascii="Arial" w:eastAsia="Arial Unicode MS" w:hAnsi="Arial" w:cs="David"/>
          <w:noProof w:val="0"/>
          <w:snapToGrid w:val="0"/>
          <w:sz w:val="26"/>
          <w:rtl/>
          <w:lang w:eastAsia="en-US"/>
        </w:rPr>
      </w:pPr>
      <w:r w:rsidRPr="00E814A0">
        <w:rPr>
          <w:rFonts w:ascii="Arial" w:eastAsia="Arial Unicode MS" w:hAnsi="Arial" w:cs="David"/>
          <w:noProof w:val="0"/>
          <w:snapToGrid w:val="0"/>
          <w:sz w:val="26"/>
          <w:rtl/>
          <w:lang w:eastAsia="en-US"/>
        </w:rPr>
        <w:t>לאור התפתחויות מהותיות אלה והשפעותיהן על שוק החיסכון הפנסיוני בכלל ו</w:t>
      </w:r>
      <w:r w:rsidRPr="00E814A0">
        <w:rPr>
          <w:rFonts w:ascii="Arial" w:eastAsia="Arial Unicode MS" w:hAnsi="Arial" w:cs="David" w:hint="cs"/>
          <w:noProof w:val="0"/>
          <w:snapToGrid w:val="0"/>
          <w:sz w:val="26"/>
          <w:rtl/>
          <w:lang w:eastAsia="en-US"/>
        </w:rPr>
        <w:t xml:space="preserve">על </w:t>
      </w:r>
      <w:r w:rsidRPr="00E814A0">
        <w:rPr>
          <w:rFonts w:ascii="Arial" w:eastAsia="Arial Unicode MS" w:hAnsi="Arial" w:cs="David"/>
          <w:noProof w:val="0"/>
          <w:snapToGrid w:val="0"/>
          <w:sz w:val="26"/>
          <w:rtl/>
          <w:lang w:eastAsia="en-US"/>
        </w:rPr>
        <w:t xml:space="preserve">החוסכים בפרט, </w:t>
      </w:r>
      <w:r w:rsidRPr="00E814A0">
        <w:rPr>
          <w:rFonts w:ascii="Arial" w:eastAsia="Arial Unicode MS" w:hAnsi="Arial" w:cs="David" w:hint="cs"/>
          <w:noProof w:val="0"/>
          <w:snapToGrid w:val="0"/>
          <w:sz w:val="26"/>
          <w:rtl/>
          <w:lang w:eastAsia="en-US"/>
        </w:rPr>
        <w:t xml:space="preserve">מוצע </w:t>
      </w:r>
      <w:r w:rsidRPr="00E814A0">
        <w:rPr>
          <w:rFonts w:ascii="Arial" w:eastAsia="Arial Unicode MS" w:hAnsi="Arial" w:cs="David"/>
          <w:noProof w:val="0"/>
          <w:snapToGrid w:val="0"/>
          <w:sz w:val="26"/>
          <w:rtl/>
          <w:lang w:eastAsia="en-US"/>
        </w:rPr>
        <w:t>לבצע התאמה של הוראות התקנות</w:t>
      </w:r>
      <w:r w:rsidRPr="00E814A0">
        <w:rPr>
          <w:rFonts w:ascii="Arial" w:eastAsia="Arial Unicode MS" w:hAnsi="Arial" w:cs="David" w:hint="cs"/>
          <w:noProof w:val="0"/>
          <w:snapToGrid w:val="0"/>
          <w:sz w:val="26"/>
          <w:rtl/>
          <w:lang w:eastAsia="en-US"/>
        </w:rPr>
        <w:t xml:space="preserve">, ולקבוע כי יש לעדכן את קבוצות ההקצאה ושיעור ההקצאה המגיע לכל קבוצה. בהתאם לשינוי המוצע תינתן הקצאה של </w:t>
      </w:r>
      <w:r w:rsidRPr="00E814A0">
        <w:rPr>
          <w:rFonts w:ascii="Arial" w:eastAsia="Arial Unicode MS" w:hAnsi="Arial" w:cs="David"/>
          <w:noProof w:val="0"/>
          <w:snapToGrid w:val="0"/>
          <w:sz w:val="26"/>
          <w:rtl/>
          <w:lang w:eastAsia="en-US"/>
        </w:rPr>
        <w:t xml:space="preserve">הבטחת תשואה </w:t>
      </w:r>
      <w:r w:rsidRPr="00E814A0">
        <w:rPr>
          <w:rFonts w:ascii="Arial" w:eastAsia="Arial Unicode MS" w:hAnsi="Arial" w:cs="David" w:hint="cs"/>
          <w:noProof w:val="0"/>
          <w:snapToGrid w:val="0"/>
          <w:sz w:val="26"/>
          <w:rtl/>
          <w:lang w:eastAsia="en-US"/>
        </w:rPr>
        <w:t>בשיעור 40</w:t>
      </w:r>
      <w:r w:rsidRPr="00E814A0">
        <w:rPr>
          <w:rFonts w:ascii="Arial" w:eastAsia="Arial Unicode MS" w:hAnsi="Arial" w:cs="David"/>
          <w:noProof w:val="0"/>
          <w:snapToGrid w:val="0"/>
          <w:sz w:val="26"/>
          <w:rtl/>
          <w:lang w:eastAsia="en-US"/>
        </w:rPr>
        <w:t xml:space="preserve">% </w:t>
      </w:r>
      <w:r w:rsidRPr="00E814A0">
        <w:rPr>
          <w:rFonts w:ascii="Arial" w:eastAsia="Arial Unicode MS" w:hAnsi="Arial" w:cs="David" w:hint="cs"/>
          <w:noProof w:val="0"/>
          <w:snapToGrid w:val="0"/>
          <w:sz w:val="26"/>
          <w:rtl/>
          <w:lang w:eastAsia="en-US"/>
        </w:rPr>
        <w:t>לגבי עמיתים בני 60 ומעלה החוסכים ב</w:t>
      </w:r>
      <w:r w:rsidRPr="00E814A0">
        <w:rPr>
          <w:rFonts w:ascii="Arial" w:eastAsia="Arial Unicode MS" w:hAnsi="Arial" w:cs="David" w:hint="eastAsia"/>
          <w:noProof w:val="0"/>
          <w:snapToGrid w:val="0"/>
          <w:sz w:val="26"/>
          <w:rtl/>
          <w:lang w:eastAsia="en-US"/>
        </w:rPr>
        <w:t>מסלול</w:t>
      </w:r>
      <w:r w:rsidRPr="00E814A0">
        <w:rPr>
          <w:rFonts w:ascii="Arial" w:eastAsia="Arial Unicode MS" w:hAnsi="Arial" w:cs="David"/>
          <w:noProof w:val="0"/>
          <w:snapToGrid w:val="0"/>
          <w:sz w:val="26"/>
          <w:rtl/>
          <w:lang w:eastAsia="en-US"/>
        </w:rPr>
        <w:t xml:space="preserve"> תלוי גיל </w:t>
      </w:r>
      <w:r w:rsidRPr="00E814A0">
        <w:rPr>
          <w:rFonts w:ascii="Arial" w:eastAsia="Arial Unicode MS" w:hAnsi="Arial" w:cs="David" w:hint="cs"/>
          <w:noProof w:val="0"/>
          <w:snapToGrid w:val="0"/>
          <w:sz w:val="26"/>
          <w:rtl/>
          <w:lang w:eastAsia="en-US"/>
        </w:rPr>
        <w:t xml:space="preserve">המותאם לגילם, </w:t>
      </w:r>
      <w:r w:rsidRPr="00E814A0">
        <w:rPr>
          <w:rFonts w:ascii="Arial" w:eastAsia="Arial Unicode MS" w:hAnsi="Arial" w:cs="David" w:hint="eastAsia"/>
          <w:noProof w:val="0"/>
          <w:snapToGrid w:val="0"/>
          <w:sz w:val="26"/>
          <w:rtl/>
          <w:lang w:eastAsia="en-US"/>
        </w:rPr>
        <w:t>המסלול</w:t>
      </w:r>
      <w:r w:rsidRPr="00E814A0">
        <w:rPr>
          <w:rFonts w:ascii="Arial" w:eastAsia="Arial Unicode MS" w:hAnsi="Arial" w:cs="David"/>
          <w:noProof w:val="0"/>
          <w:snapToGrid w:val="0"/>
          <w:sz w:val="26"/>
          <w:rtl/>
          <w:lang w:eastAsia="en-US"/>
        </w:rPr>
        <w:t xml:space="preserve"> הכללי</w:t>
      </w:r>
      <w:r w:rsidRPr="00E814A0">
        <w:rPr>
          <w:rFonts w:ascii="Arial" w:eastAsia="Arial Unicode MS" w:hAnsi="Arial" w:cs="David" w:hint="cs"/>
          <w:noProof w:val="0"/>
          <w:snapToGrid w:val="0"/>
          <w:sz w:val="26"/>
          <w:rtl/>
          <w:lang w:eastAsia="en-US"/>
        </w:rPr>
        <w:t xml:space="preserve">, מסלול הלכה </w:t>
      </w:r>
      <w:r w:rsidRPr="00E814A0">
        <w:rPr>
          <w:rFonts w:ascii="Arial" w:eastAsia="Arial Unicode MS" w:hAnsi="Arial" w:cs="David"/>
          <w:noProof w:val="0"/>
          <w:snapToGrid w:val="0"/>
          <w:sz w:val="26"/>
          <w:rtl/>
          <w:lang w:eastAsia="en-US"/>
        </w:rPr>
        <w:t xml:space="preserve">ומסלולי השקעה מתמחים שיאושרו על ידי הממונה. </w:t>
      </w:r>
      <w:r w:rsidRPr="00E814A0">
        <w:rPr>
          <w:rFonts w:ascii="Arial" w:eastAsia="Arial Unicode MS" w:hAnsi="Arial" w:cs="David" w:hint="cs"/>
          <w:noProof w:val="0"/>
          <w:snapToGrid w:val="0"/>
          <w:sz w:val="26"/>
          <w:rtl/>
          <w:lang w:eastAsia="en-US"/>
        </w:rPr>
        <w:t xml:space="preserve">יצוין כי בכוונת הממונה לאשר לפחות שני מסלולי השקעה מתמחים </w:t>
      </w:r>
      <w:r>
        <w:rPr>
          <w:rFonts w:ascii="Arial" w:eastAsia="Arial Unicode MS" w:hAnsi="Arial" w:cs="David" w:hint="cs"/>
          <w:noProof w:val="0"/>
          <w:snapToGrid w:val="0"/>
          <w:sz w:val="26"/>
          <w:rtl/>
          <w:lang w:eastAsia="en-US"/>
        </w:rPr>
        <w:t xml:space="preserve">שעמיתים בגיל 60 ומעלה החוסכים בהם יהיו זכאים להבטחת תשואה שיעור של 40%. </w:t>
      </w:r>
    </w:p>
    <w:p w14:paraId="0A8AF44C" w14:textId="77777777" w:rsidR="00BF4A10" w:rsidRPr="00E814A0" w:rsidRDefault="00BF4A10" w:rsidP="00BF4A10">
      <w:pPr>
        <w:pStyle w:val="P00"/>
        <w:tabs>
          <w:tab w:val="clear" w:pos="6259"/>
        </w:tabs>
        <w:spacing w:before="72" w:line="360" w:lineRule="auto"/>
        <w:ind w:left="0"/>
        <w:rPr>
          <w:rFonts w:ascii="Arial" w:eastAsia="Arial Unicode MS" w:hAnsi="Arial" w:cs="David"/>
          <w:noProof w:val="0"/>
          <w:snapToGrid w:val="0"/>
          <w:sz w:val="26"/>
          <w:rtl/>
          <w:lang w:eastAsia="en-US"/>
        </w:rPr>
      </w:pPr>
      <w:r w:rsidRPr="00E814A0">
        <w:rPr>
          <w:rFonts w:ascii="Arial" w:eastAsia="Arial Unicode MS" w:hAnsi="Arial" w:cs="David"/>
          <w:noProof w:val="0"/>
          <w:snapToGrid w:val="0"/>
          <w:sz w:val="26"/>
          <w:rtl/>
          <w:lang w:eastAsia="en-US"/>
        </w:rPr>
        <w:t xml:space="preserve">להשלמת המהלך של תיקון התקנות כאמור, </w:t>
      </w:r>
      <w:r w:rsidRPr="00E814A0">
        <w:rPr>
          <w:rFonts w:ascii="Arial" w:eastAsia="Arial Unicode MS" w:hAnsi="Arial" w:cs="David" w:hint="cs"/>
          <w:noProof w:val="0"/>
          <w:snapToGrid w:val="0"/>
          <w:sz w:val="26"/>
          <w:rtl/>
          <w:lang w:eastAsia="en-US"/>
        </w:rPr>
        <w:t xml:space="preserve">מובאת במקביל טיוטת </w:t>
      </w:r>
      <w:r w:rsidRPr="00391818">
        <w:rPr>
          <w:rFonts w:ascii="Arial" w:eastAsia="Arial Unicode MS" w:hAnsi="Arial" w:cs="David"/>
          <w:noProof w:val="0"/>
          <w:snapToGrid w:val="0"/>
          <w:sz w:val="26"/>
          <w:rtl/>
          <w:lang w:eastAsia="en-US"/>
        </w:rPr>
        <w:t>תקנות הפיקוח על שירותים פיננסיים (קופות גמל) (העברת עמיתים בקרן חדשה מקיפה במסלול ברירת מחדל 60 ומעלה למסלולים המותאם לגילם), התשפ"ה-2024</w:t>
      </w:r>
      <w:r w:rsidRPr="00E814A0">
        <w:rPr>
          <w:rFonts w:ascii="Arial" w:eastAsia="Arial Unicode MS" w:hAnsi="Arial" w:cs="David" w:hint="cs"/>
          <w:noProof w:val="0"/>
          <w:snapToGrid w:val="0"/>
          <w:sz w:val="26"/>
          <w:rtl/>
          <w:lang w:eastAsia="en-US"/>
        </w:rPr>
        <w:t xml:space="preserve">, </w:t>
      </w:r>
      <w:r w:rsidRPr="00AA5A19">
        <w:rPr>
          <w:rFonts w:ascii="Arial" w:eastAsia="Arial Unicode MS" w:hAnsi="Arial" w:cs="David" w:hint="cs"/>
          <w:noProof w:val="0"/>
          <w:snapToGrid w:val="0"/>
          <w:sz w:val="26"/>
          <w:rtl/>
          <w:lang w:eastAsia="en-US"/>
        </w:rPr>
        <w:t xml:space="preserve">במסגרתן </w:t>
      </w:r>
      <w:r w:rsidRPr="00AA5A19">
        <w:rPr>
          <w:rFonts w:ascii="Arial" w:eastAsia="Arial Unicode MS" w:hAnsi="Arial" w:cs="David"/>
          <w:noProof w:val="0"/>
          <w:snapToGrid w:val="0"/>
          <w:sz w:val="26"/>
          <w:rtl/>
          <w:lang w:eastAsia="en-US"/>
        </w:rPr>
        <w:t>מוצע לקבוע שלא יתאפשר לעמית שטרם מלאו לו 60 להצטרף למסלול ברירת מחדל לבני 60 ומעלה, וכן לקבוע כי כספיו של עמית שטרם מלאו לו 60 שנכון להיום משקיע במסלול ברירת מחדל לבני 60 ומעלה, שאינו מותאם לגילו יועבר למסלול המותאם לגילו.</w:t>
      </w:r>
    </w:p>
    <w:p w14:paraId="0B9DD178" w14:textId="0E7DA752" w:rsidR="00180AAD" w:rsidRDefault="00180AAD">
      <w:pPr>
        <w:widowControl/>
        <w:bidi w:val="0"/>
        <w:spacing w:after="160" w:line="259" w:lineRule="auto"/>
        <w:ind w:left="0"/>
        <w:contextualSpacing w:val="0"/>
        <w:jc w:val="left"/>
        <w:rPr>
          <w:rFonts w:eastAsia="Times New Roman"/>
          <w:noProof/>
          <w:sz w:val="20"/>
          <w:szCs w:val="26"/>
          <w:lang w:eastAsia="he-IL"/>
        </w:rPr>
      </w:pPr>
      <w:r>
        <w:rPr>
          <w:rtl/>
        </w:rPr>
        <w:br w:type="page"/>
      </w:r>
    </w:p>
    <w:p w14:paraId="19B058C0" w14:textId="1D4982FC" w:rsidR="002158B8" w:rsidRDefault="002158B8" w:rsidP="00C522D7">
      <w:pPr>
        <w:rPr>
          <w:rtl/>
        </w:rPr>
      </w:pPr>
    </w:p>
    <w:p w14:paraId="3E6D00F4" w14:textId="31561B98" w:rsidR="00C522D7" w:rsidRDefault="00C522D7" w:rsidP="00C522D7">
      <w:pPr>
        <w:pStyle w:val="4"/>
        <w:rPr>
          <w:rtl/>
        </w:rPr>
      </w:pPr>
      <w:bookmarkStart w:id="3" w:name="_Toc209361047"/>
      <w:r w:rsidRPr="00223950">
        <w:rPr>
          <w:rFonts w:hint="cs"/>
          <w:rtl/>
        </w:rPr>
        <w:t xml:space="preserve">להלן נוסח </w:t>
      </w:r>
      <w:r w:rsidR="0053208F" w:rsidRPr="00223950">
        <w:rPr>
          <w:rtl/>
        </w:rPr>
        <w:t xml:space="preserve">טיוטת </w:t>
      </w:r>
      <w:r w:rsidRPr="00223950">
        <w:rPr>
          <w:rFonts w:hint="cs"/>
          <w:rtl/>
        </w:rPr>
        <w:t>ה</w:t>
      </w:r>
      <w:r w:rsidR="0053208F" w:rsidRPr="00223950">
        <w:rPr>
          <w:rtl/>
        </w:rPr>
        <w:t>תקנות</w:t>
      </w:r>
      <w:r w:rsidRPr="00223950">
        <w:rPr>
          <w:rFonts w:hint="cs"/>
          <w:rtl/>
        </w:rPr>
        <w:t xml:space="preserve"> המוצעות:</w:t>
      </w:r>
      <w:bookmarkEnd w:id="3"/>
      <w:r w:rsidR="0053208F" w:rsidRPr="00223950">
        <w:rPr>
          <w:rtl/>
        </w:rPr>
        <w:t xml:space="preserve"> </w:t>
      </w:r>
    </w:p>
    <w:p w14:paraId="4F6D53CF" w14:textId="303511E1" w:rsidR="002158B8" w:rsidRDefault="002158B8" w:rsidP="002158B8">
      <w:pPr>
        <w:rPr>
          <w:rtl/>
        </w:rPr>
      </w:pPr>
    </w:p>
    <w:p w14:paraId="6BC63E0A" w14:textId="4EF5A560" w:rsidR="0053208F" w:rsidRPr="00223950" w:rsidRDefault="00C522D7" w:rsidP="000B5C35">
      <w:pPr>
        <w:pStyle w:val="HeadHatzaotHok"/>
        <w:keepNext w:val="0"/>
        <w:keepLines w:val="0"/>
        <w:jc w:val="left"/>
        <w:rPr>
          <w:rtl/>
        </w:rPr>
      </w:pPr>
      <w:bookmarkStart w:id="4" w:name="_Toc209361048"/>
      <w:r w:rsidRPr="00223950">
        <w:rPr>
          <w:rFonts w:hint="cs"/>
          <w:rtl/>
        </w:rPr>
        <w:t xml:space="preserve">טיוטת תקנות </w:t>
      </w:r>
      <w:r w:rsidR="0053208F" w:rsidRPr="00223950">
        <w:rPr>
          <w:rtl/>
        </w:rPr>
        <w:t xml:space="preserve">מטעם </w:t>
      </w:r>
      <w:r w:rsidR="006A0311">
        <w:rPr>
          <w:rFonts w:hint="cs"/>
          <w:rtl/>
        </w:rPr>
        <w:t>משרד האוצר</w:t>
      </w:r>
      <w:r w:rsidR="0053208F" w:rsidRPr="00223950">
        <w:rPr>
          <w:rtl/>
        </w:rPr>
        <w:t>:</w:t>
      </w:r>
      <w:bookmarkEnd w:id="4"/>
      <w:r w:rsidR="0053208F" w:rsidRPr="00223950">
        <w:rPr>
          <w:rtl/>
        </w:rPr>
        <w:t xml:space="preserve"> </w:t>
      </w:r>
    </w:p>
    <w:p w14:paraId="11B0F82E" w14:textId="4D2DA732" w:rsidR="009563C0" w:rsidRPr="00223950" w:rsidRDefault="009563C0" w:rsidP="000B5C35">
      <w:pPr>
        <w:pStyle w:val="HeadHatzaotHok"/>
        <w:keepNext w:val="0"/>
        <w:keepLines w:val="0"/>
        <w:jc w:val="left"/>
        <w:rPr>
          <w:rtl/>
        </w:rPr>
      </w:pPr>
    </w:p>
    <w:p w14:paraId="3A5BDC5F" w14:textId="592C6959" w:rsidR="006A0311" w:rsidRPr="006A0311" w:rsidRDefault="006A0311" w:rsidP="006A0311">
      <w:pPr>
        <w:pStyle w:val="HeadHatzaotHok"/>
        <w:keepNext w:val="0"/>
        <w:keepLines w:val="0"/>
        <w:rPr>
          <w:rtl/>
        </w:rPr>
      </w:pPr>
      <w:bookmarkStart w:id="5" w:name="_Toc209361049"/>
      <w:r>
        <w:rPr>
          <w:rFonts w:hint="cs"/>
          <w:rtl/>
        </w:rPr>
        <w:t xml:space="preserve">טיוטת </w:t>
      </w:r>
      <w:r w:rsidRPr="006A0311">
        <w:rPr>
          <w:rFonts w:hint="cs"/>
          <w:rtl/>
        </w:rPr>
        <w:t xml:space="preserve">תקנות הפיקוח על שירותים פיננסיים (קופות גמל) (זקיפת תשואה בקרן פנסיה חדשה מקיפה) (תיקון), </w:t>
      </w:r>
      <w:proofErr w:type="spellStart"/>
      <w:r w:rsidRPr="006A0311">
        <w:rPr>
          <w:rFonts w:hint="cs"/>
          <w:rtl/>
        </w:rPr>
        <w:t>התשפ"</w:t>
      </w:r>
      <w:r w:rsidR="00BF4A10">
        <w:rPr>
          <w:rFonts w:hint="cs"/>
          <w:rtl/>
        </w:rPr>
        <w:t>ה</w:t>
      </w:r>
      <w:proofErr w:type="spellEnd"/>
      <w:r w:rsidRPr="006A0311">
        <w:rPr>
          <w:rFonts w:hint="cs"/>
          <w:rtl/>
        </w:rPr>
        <w:t xml:space="preserve"> </w:t>
      </w:r>
      <w:r w:rsidRPr="006A0311">
        <w:rPr>
          <w:rtl/>
        </w:rPr>
        <w:t>–</w:t>
      </w:r>
      <w:r w:rsidRPr="006A0311">
        <w:rPr>
          <w:rFonts w:hint="cs"/>
          <w:rtl/>
        </w:rPr>
        <w:t xml:space="preserve"> 202</w:t>
      </w:r>
      <w:r w:rsidR="00BF4A10">
        <w:rPr>
          <w:rFonts w:hint="cs"/>
          <w:rtl/>
        </w:rPr>
        <w:t>5</w:t>
      </w:r>
      <w:bookmarkEnd w:id="5"/>
    </w:p>
    <w:p w14:paraId="08B8F356" w14:textId="77777777" w:rsidR="006A0311" w:rsidRPr="00223950" w:rsidRDefault="006A0311" w:rsidP="0053208F">
      <w:pPr>
        <w:pStyle w:val="HeadHatzaotHok"/>
        <w:keepNext w:val="0"/>
        <w:keepLines w:val="0"/>
        <w:rPr>
          <w:rtl/>
        </w:rPr>
      </w:pPr>
    </w:p>
    <w:p w14:paraId="7815FCB6" w14:textId="6641AF28" w:rsidR="004D2F2C" w:rsidRDefault="004D2F2C" w:rsidP="004D2F2C">
      <w:pPr>
        <w:spacing w:before="102"/>
        <w:ind w:left="0"/>
        <w:rPr>
          <w:sz w:val="26"/>
          <w:szCs w:val="26"/>
          <w:rtl/>
        </w:rPr>
      </w:pPr>
      <w:r w:rsidRPr="00761D9E">
        <w:rPr>
          <w:rFonts w:hint="eastAsia"/>
          <w:sz w:val="26"/>
          <w:szCs w:val="26"/>
          <w:rtl/>
        </w:rPr>
        <w:t>בתוקף</w:t>
      </w:r>
      <w:r w:rsidRPr="00761D9E">
        <w:rPr>
          <w:sz w:val="26"/>
          <w:szCs w:val="26"/>
          <w:rtl/>
        </w:rPr>
        <w:t xml:space="preserve"> </w:t>
      </w:r>
      <w:r w:rsidRPr="00761D9E">
        <w:rPr>
          <w:rFonts w:hint="eastAsia"/>
          <w:sz w:val="26"/>
          <w:szCs w:val="26"/>
          <w:rtl/>
        </w:rPr>
        <w:t>סמכותי</w:t>
      </w:r>
      <w:r w:rsidRPr="00761D9E">
        <w:rPr>
          <w:sz w:val="26"/>
          <w:szCs w:val="26"/>
          <w:rtl/>
        </w:rPr>
        <w:t xml:space="preserve"> </w:t>
      </w:r>
      <w:r w:rsidRPr="00761D9E">
        <w:rPr>
          <w:rFonts w:hint="eastAsia"/>
          <w:sz w:val="26"/>
          <w:szCs w:val="26"/>
          <w:rtl/>
        </w:rPr>
        <w:t>לפי</w:t>
      </w:r>
      <w:r w:rsidRPr="00761D9E">
        <w:rPr>
          <w:sz w:val="26"/>
          <w:szCs w:val="26"/>
          <w:rtl/>
        </w:rPr>
        <w:t xml:space="preserve"> </w:t>
      </w:r>
      <w:r w:rsidRPr="00761D9E">
        <w:rPr>
          <w:rFonts w:hint="eastAsia"/>
          <w:sz w:val="26"/>
          <w:szCs w:val="26"/>
          <w:rtl/>
        </w:rPr>
        <w:t>סעי</w:t>
      </w:r>
      <w:r w:rsidRPr="00761D9E">
        <w:rPr>
          <w:rFonts w:hint="cs"/>
          <w:sz w:val="26"/>
          <w:szCs w:val="26"/>
          <w:rtl/>
        </w:rPr>
        <w:t>פים 34, 34ו(א) ו- 60 לחוק הפיקוח על שירותים פיננסיים (קופות גמל), התשס"ה-2005</w:t>
      </w:r>
      <w:r w:rsidRPr="00761D9E">
        <w:rPr>
          <w:sz w:val="26"/>
          <w:szCs w:val="26"/>
          <w:vertAlign w:val="superscript"/>
          <w:rtl/>
        </w:rPr>
        <w:footnoteReference w:id="1"/>
      </w:r>
      <w:r w:rsidRPr="00761D9E">
        <w:rPr>
          <w:rFonts w:hint="cs"/>
          <w:sz w:val="26"/>
          <w:szCs w:val="26"/>
          <w:rtl/>
        </w:rPr>
        <w:t xml:space="preserve"> (להלן </w:t>
      </w:r>
      <w:r w:rsidRPr="00761D9E">
        <w:rPr>
          <w:sz w:val="26"/>
          <w:szCs w:val="26"/>
          <w:rtl/>
        </w:rPr>
        <w:t>–</w:t>
      </w:r>
      <w:r w:rsidRPr="00761D9E">
        <w:rPr>
          <w:rFonts w:hint="cs"/>
          <w:sz w:val="26"/>
          <w:szCs w:val="26"/>
          <w:rtl/>
        </w:rPr>
        <w:t xml:space="preserve"> </w:t>
      </w:r>
      <w:r>
        <w:rPr>
          <w:rFonts w:hint="cs"/>
          <w:sz w:val="26"/>
          <w:szCs w:val="26"/>
          <w:rtl/>
        </w:rPr>
        <w:t>החוק</w:t>
      </w:r>
      <w:r w:rsidRPr="00761D9E">
        <w:rPr>
          <w:rFonts w:hint="cs"/>
          <w:sz w:val="26"/>
          <w:szCs w:val="26"/>
          <w:rtl/>
        </w:rPr>
        <w:t>), ובאישור ועדת הכספים של הכנסת</w:t>
      </w:r>
      <w:r w:rsidRPr="00761D9E">
        <w:rPr>
          <w:sz w:val="26"/>
          <w:szCs w:val="26"/>
          <w:rtl/>
        </w:rPr>
        <w:t>, אני מתקין תקנות אלה:</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0470B6" w:rsidRPr="00223950" w14:paraId="26422A10" w14:textId="77777777" w:rsidTr="00D20CF1">
        <w:trPr>
          <w:cantSplit/>
          <w:trHeight w:val="60"/>
        </w:trPr>
        <w:tc>
          <w:tcPr>
            <w:tcW w:w="1871" w:type="dxa"/>
          </w:tcPr>
          <w:p w14:paraId="44B0BACE" w14:textId="5EE92501" w:rsidR="000470B6" w:rsidRPr="00223950" w:rsidRDefault="000470B6" w:rsidP="0043665B">
            <w:pPr>
              <w:pStyle w:val="TableSideHeading"/>
            </w:pPr>
            <w:bookmarkStart w:id="6" w:name="_Toc209361050"/>
            <w:r w:rsidRPr="00223950">
              <w:rPr>
                <w:rFonts w:hint="cs"/>
                <w:rtl/>
              </w:rPr>
              <w:t xml:space="preserve">תיקון </w:t>
            </w:r>
            <w:r w:rsidR="006A0311">
              <w:rPr>
                <w:rFonts w:hint="cs"/>
                <w:rtl/>
              </w:rPr>
              <w:t>תקנה 1</w:t>
            </w:r>
            <w:bookmarkEnd w:id="6"/>
          </w:p>
        </w:tc>
        <w:tc>
          <w:tcPr>
            <w:tcW w:w="624" w:type="dxa"/>
          </w:tcPr>
          <w:p w14:paraId="4AFB4235" w14:textId="77777777" w:rsidR="000470B6" w:rsidRPr="00223950" w:rsidRDefault="000470B6" w:rsidP="0043665B">
            <w:pPr>
              <w:pStyle w:val="TableText"/>
              <w:numPr>
                <w:ilvl w:val="0"/>
                <w:numId w:val="2"/>
              </w:numPr>
            </w:pPr>
          </w:p>
        </w:tc>
        <w:tc>
          <w:tcPr>
            <w:tcW w:w="7146" w:type="dxa"/>
            <w:gridSpan w:val="2"/>
          </w:tcPr>
          <w:p w14:paraId="2427CF23" w14:textId="70C9E86C" w:rsidR="000470B6" w:rsidRPr="00223950" w:rsidRDefault="006A0311" w:rsidP="00180AAD">
            <w:pPr>
              <w:ind w:left="0"/>
            </w:pPr>
            <w:r w:rsidRPr="00761D9E">
              <w:rPr>
                <w:rFonts w:hint="cs"/>
                <w:sz w:val="26"/>
                <w:szCs w:val="26"/>
                <w:rtl/>
              </w:rPr>
              <w:t>ב</w:t>
            </w:r>
            <w:r w:rsidRPr="00761D9E">
              <w:rPr>
                <w:sz w:val="26"/>
                <w:szCs w:val="26"/>
                <w:rtl/>
              </w:rPr>
              <w:t>תקנות הפיקוח על שירותים פיננסיים (קופות גמל) (זקיפת תשואה בקרן פנסיה חדשה מקיפה), תשע"ז-2017</w:t>
            </w:r>
            <w:r w:rsidRPr="00761D9E">
              <w:rPr>
                <w:sz w:val="26"/>
                <w:szCs w:val="26"/>
                <w:vertAlign w:val="superscript"/>
                <w:rtl/>
              </w:rPr>
              <w:footnoteReference w:id="2"/>
            </w:r>
            <w:r w:rsidRPr="00761D9E">
              <w:rPr>
                <w:rFonts w:hint="cs"/>
                <w:sz w:val="26"/>
                <w:szCs w:val="26"/>
                <w:rtl/>
              </w:rPr>
              <w:t xml:space="preserve"> (להלן </w:t>
            </w:r>
            <w:r w:rsidRPr="00761D9E">
              <w:rPr>
                <w:sz w:val="26"/>
                <w:szCs w:val="26"/>
                <w:rtl/>
              </w:rPr>
              <w:t>–</w:t>
            </w:r>
            <w:r w:rsidRPr="00761D9E">
              <w:rPr>
                <w:rFonts w:hint="cs"/>
                <w:sz w:val="26"/>
                <w:szCs w:val="26"/>
                <w:rtl/>
              </w:rPr>
              <w:t xml:space="preserve"> </w:t>
            </w:r>
            <w:r>
              <w:rPr>
                <w:rFonts w:hint="cs"/>
                <w:sz w:val="26"/>
                <w:szCs w:val="26"/>
                <w:rtl/>
              </w:rPr>
              <w:t>התקנות העיקריות</w:t>
            </w:r>
            <w:r w:rsidRPr="00761D9E">
              <w:rPr>
                <w:rFonts w:hint="cs"/>
                <w:sz w:val="26"/>
                <w:szCs w:val="26"/>
                <w:rtl/>
              </w:rPr>
              <w:t>)</w:t>
            </w:r>
            <w:r w:rsidR="009B028F">
              <w:rPr>
                <w:rFonts w:hint="cs"/>
                <w:sz w:val="26"/>
                <w:szCs w:val="26"/>
                <w:rtl/>
              </w:rPr>
              <w:t xml:space="preserve">, בתקנה 1 - </w:t>
            </w:r>
          </w:p>
        </w:tc>
      </w:tr>
      <w:tr w:rsidR="000470B6" w:rsidRPr="00223950" w14:paraId="56D8F0D4" w14:textId="77777777" w:rsidTr="00D20CF1">
        <w:trPr>
          <w:cantSplit/>
          <w:trHeight w:val="60"/>
        </w:trPr>
        <w:tc>
          <w:tcPr>
            <w:tcW w:w="1871" w:type="dxa"/>
          </w:tcPr>
          <w:p w14:paraId="15BC3A99" w14:textId="77777777" w:rsidR="000470B6" w:rsidRPr="00223950" w:rsidRDefault="000470B6" w:rsidP="0043665B">
            <w:pPr>
              <w:pStyle w:val="TableSideHeading"/>
            </w:pPr>
          </w:p>
        </w:tc>
        <w:tc>
          <w:tcPr>
            <w:tcW w:w="624" w:type="dxa"/>
          </w:tcPr>
          <w:p w14:paraId="7120CFE7" w14:textId="77777777" w:rsidR="000470B6" w:rsidRPr="00223950" w:rsidRDefault="000470B6" w:rsidP="0043665B">
            <w:pPr>
              <w:pStyle w:val="TableText"/>
            </w:pPr>
          </w:p>
        </w:tc>
        <w:tc>
          <w:tcPr>
            <w:tcW w:w="624" w:type="dxa"/>
          </w:tcPr>
          <w:p w14:paraId="12D4C655" w14:textId="527BAE4A" w:rsidR="000470B6" w:rsidRPr="00223950" w:rsidRDefault="005931BB" w:rsidP="0043665B">
            <w:pPr>
              <w:pStyle w:val="TableText"/>
            </w:pPr>
            <w:r>
              <w:rPr>
                <w:rFonts w:hint="cs"/>
                <w:rtl/>
              </w:rPr>
              <w:t>(1)</w:t>
            </w:r>
          </w:p>
        </w:tc>
        <w:tc>
          <w:tcPr>
            <w:tcW w:w="6522" w:type="dxa"/>
          </w:tcPr>
          <w:p w14:paraId="07C976A3" w14:textId="38D7561E" w:rsidR="000470B6" w:rsidRPr="00223950" w:rsidRDefault="009A6498" w:rsidP="0043665B">
            <w:pPr>
              <w:pStyle w:val="TableBlock"/>
            </w:pPr>
            <w:r w:rsidRPr="00C36CDE">
              <w:rPr>
                <w:rFonts w:hint="cs"/>
                <w:sz w:val="26"/>
                <w:rtl/>
              </w:rPr>
              <w:t xml:space="preserve">בהגדרת "מסלול השקעה", אחרי "מסלול השקעה" יבוא "ו-"מסלול השקעה מתמחה"", ובמקום "כהגדרתו" יבוא "כהגדרתם";   </w:t>
            </w:r>
          </w:p>
        </w:tc>
      </w:tr>
      <w:tr w:rsidR="000470B6" w:rsidRPr="00223950" w14:paraId="4CEEB400" w14:textId="77777777" w:rsidTr="00D20CF1">
        <w:trPr>
          <w:cantSplit/>
          <w:trHeight w:val="60"/>
        </w:trPr>
        <w:tc>
          <w:tcPr>
            <w:tcW w:w="1871" w:type="dxa"/>
          </w:tcPr>
          <w:p w14:paraId="18C7C93E" w14:textId="77777777" w:rsidR="000470B6" w:rsidRPr="00223950" w:rsidRDefault="000470B6" w:rsidP="0043665B">
            <w:pPr>
              <w:pStyle w:val="TableSideHeading"/>
            </w:pPr>
          </w:p>
        </w:tc>
        <w:tc>
          <w:tcPr>
            <w:tcW w:w="624" w:type="dxa"/>
          </w:tcPr>
          <w:p w14:paraId="43801E20" w14:textId="77777777" w:rsidR="000470B6" w:rsidRPr="00223950" w:rsidRDefault="000470B6" w:rsidP="0043665B">
            <w:pPr>
              <w:pStyle w:val="TableText"/>
            </w:pPr>
          </w:p>
        </w:tc>
        <w:tc>
          <w:tcPr>
            <w:tcW w:w="624" w:type="dxa"/>
          </w:tcPr>
          <w:p w14:paraId="251079DC" w14:textId="5137BE4B" w:rsidR="000470B6" w:rsidRPr="00223950" w:rsidRDefault="00335243" w:rsidP="0043665B">
            <w:pPr>
              <w:pStyle w:val="TableText"/>
            </w:pPr>
            <w:r>
              <w:rPr>
                <w:rFonts w:hint="cs"/>
                <w:rtl/>
              </w:rPr>
              <w:t>(2)</w:t>
            </w:r>
          </w:p>
        </w:tc>
        <w:tc>
          <w:tcPr>
            <w:tcW w:w="6522" w:type="dxa"/>
          </w:tcPr>
          <w:p w14:paraId="041FA44C" w14:textId="0A43AD46" w:rsidR="000470B6" w:rsidRPr="00223950" w:rsidRDefault="009A6498" w:rsidP="008B5AB1">
            <w:pPr>
              <w:pStyle w:val="TableBlock"/>
              <w:rPr>
                <w:rtl/>
              </w:rPr>
            </w:pPr>
            <w:r w:rsidRPr="00C36CDE">
              <w:rPr>
                <w:rFonts w:hint="cs"/>
                <w:sz w:val="26"/>
                <w:rtl/>
              </w:rPr>
              <w:t>אחרי ההגדרה "מסלול השקעה" "ו-"מסלול השקעה מתמחה" יבוא:</w:t>
            </w:r>
          </w:p>
        </w:tc>
      </w:tr>
      <w:tr w:rsidR="009A6498" w:rsidRPr="00223950" w14:paraId="1E6E070C" w14:textId="77777777" w:rsidTr="00D20CF1">
        <w:trPr>
          <w:cantSplit/>
          <w:trHeight w:val="60"/>
        </w:trPr>
        <w:tc>
          <w:tcPr>
            <w:tcW w:w="1871" w:type="dxa"/>
          </w:tcPr>
          <w:p w14:paraId="6227DA50" w14:textId="77777777" w:rsidR="009A6498" w:rsidRPr="00223950" w:rsidRDefault="009A6498" w:rsidP="0043665B">
            <w:pPr>
              <w:pStyle w:val="TableSideHeading"/>
            </w:pPr>
          </w:p>
        </w:tc>
        <w:tc>
          <w:tcPr>
            <w:tcW w:w="624" w:type="dxa"/>
          </w:tcPr>
          <w:p w14:paraId="2DEF174A" w14:textId="77777777" w:rsidR="009A6498" w:rsidRPr="00223950" w:rsidRDefault="009A6498" w:rsidP="0043665B">
            <w:pPr>
              <w:pStyle w:val="TableText"/>
            </w:pPr>
          </w:p>
        </w:tc>
        <w:tc>
          <w:tcPr>
            <w:tcW w:w="624" w:type="dxa"/>
          </w:tcPr>
          <w:p w14:paraId="485D3EC2" w14:textId="77777777" w:rsidR="009A6498" w:rsidRDefault="009A6498" w:rsidP="0043665B">
            <w:pPr>
              <w:pStyle w:val="TableText"/>
              <w:rPr>
                <w:rtl/>
              </w:rPr>
            </w:pPr>
          </w:p>
        </w:tc>
        <w:tc>
          <w:tcPr>
            <w:tcW w:w="6522" w:type="dxa"/>
          </w:tcPr>
          <w:p w14:paraId="3C3D8041" w14:textId="7B3D908F" w:rsidR="009A6498" w:rsidRPr="00C36CDE" w:rsidRDefault="009A6498" w:rsidP="008B5AB1">
            <w:pPr>
              <w:pStyle w:val="TableBlock"/>
              <w:rPr>
                <w:sz w:val="26"/>
                <w:rtl/>
              </w:rPr>
            </w:pPr>
            <w:r w:rsidRPr="00A31B41">
              <w:rPr>
                <w:rFonts w:hint="cs"/>
                <w:rtl/>
              </w:rPr>
              <w:t xml:space="preserve">""מסלול השקעה ברירת מחדל" </w:t>
            </w:r>
            <w:r w:rsidRPr="00C36CDE">
              <w:rPr>
                <w:rtl/>
              </w:rPr>
              <w:t>–</w:t>
            </w:r>
            <w:r w:rsidRPr="00A31B41">
              <w:rPr>
                <w:rFonts w:hint="cs"/>
                <w:rtl/>
              </w:rPr>
              <w:t xml:space="preserve"> </w:t>
            </w:r>
            <w:r w:rsidRPr="00A31B41">
              <w:rPr>
                <w:rtl/>
              </w:rPr>
              <w:t xml:space="preserve">המסלול שלפי תקנון </w:t>
            </w:r>
            <w:r w:rsidRPr="00A31B41">
              <w:rPr>
                <w:rFonts w:hint="cs"/>
                <w:rtl/>
              </w:rPr>
              <w:t>הקרן</w:t>
            </w:r>
            <w:r w:rsidRPr="00A31B41">
              <w:rPr>
                <w:rtl/>
              </w:rPr>
              <w:t xml:space="preserve"> הוא מסלול ההשקעה שבו ינוהלו הכספים כל עוד לא נבחר מסלול השקעה אחר</w:t>
            </w:r>
            <w:r w:rsidRPr="00A31B41">
              <w:rPr>
                <w:rFonts w:hint="cs"/>
                <w:rtl/>
              </w:rPr>
              <w:t>;</w:t>
            </w:r>
          </w:p>
        </w:tc>
      </w:tr>
      <w:tr w:rsidR="009A6498" w:rsidRPr="00223950" w14:paraId="44148D33" w14:textId="77777777" w:rsidTr="00D20CF1">
        <w:trPr>
          <w:cantSplit/>
          <w:trHeight w:val="60"/>
        </w:trPr>
        <w:tc>
          <w:tcPr>
            <w:tcW w:w="1871" w:type="dxa"/>
          </w:tcPr>
          <w:p w14:paraId="5E2EF6FF" w14:textId="77777777" w:rsidR="009A6498" w:rsidRPr="00223950" w:rsidRDefault="009A6498" w:rsidP="009A6498">
            <w:pPr>
              <w:pStyle w:val="TableSideHeading"/>
            </w:pPr>
          </w:p>
        </w:tc>
        <w:tc>
          <w:tcPr>
            <w:tcW w:w="624" w:type="dxa"/>
          </w:tcPr>
          <w:p w14:paraId="4AC68F72" w14:textId="77777777" w:rsidR="009A6498" w:rsidRPr="00223950" w:rsidRDefault="009A6498" w:rsidP="009A6498">
            <w:pPr>
              <w:pStyle w:val="TableText"/>
            </w:pPr>
          </w:p>
        </w:tc>
        <w:tc>
          <w:tcPr>
            <w:tcW w:w="624" w:type="dxa"/>
          </w:tcPr>
          <w:p w14:paraId="3E79D717" w14:textId="77777777" w:rsidR="009A6498" w:rsidRDefault="009A6498" w:rsidP="009A6498">
            <w:pPr>
              <w:pStyle w:val="TableText"/>
              <w:rPr>
                <w:rtl/>
              </w:rPr>
            </w:pPr>
          </w:p>
        </w:tc>
        <w:tc>
          <w:tcPr>
            <w:tcW w:w="6522" w:type="dxa"/>
          </w:tcPr>
          <w:p w14:paraId="633D5C8E" w14:textId="4BB31BCC" w:rsidR="009A6498" w:rsidRPr="00A31B41" w:rsidRDefault="009A6498" w:rsidP="009A6498">
            <w:pPr>
              <w:pStyle w:val="TableBlock"/>
              <w:rPr>
                <w:rtl/>
              </w:rPr>
            </w:pPr>
            <w:r w:rsidRPr="00A31B41">
              <w:rPr>
                <w:rFonts w:hint="cs"/>
                <w:rtl/>
              </w:rPr>
              <w:t xml:space="preserve">"מסלול השקעה כללי" </w:t>
            </w:r>
            <w:r w:rsidRPr="00A31B41">
              <w:rPr>
                <w:rtl/>
              </w:rPr>
              <w:t>–</w:t>
            </w:r>
            <w:r w:rsidRPr="00A31B41">
              <w:rPr>
                <w:rFonts w:hint="cs"/>
                <w:rtl/>
              </w:rPr>
              <w:t xml:space="preserve"> </w:t>
            </w:r>
            <w:r w:rsidRPr="00A31B41">
              <w:rPr>
                <w:rtl/>
              </w:rPr>
              <w:t>מסלול השקעה שא</w:t>
            </w:r>
            <w:r w:rsidRPr="00A31B41">
              <w:rPr>
                <w:rFonts w:hint="cs"/>
                <w:rtl/>
              </w:rPr>
              <w:t>ינ</w:t>
            </w:r>
            <w:r w:rsidRPr="00A31B41">
              <w:rPr>
                <w:rtl/>
              </w:rPr>
              <w:t xml:space="preserve">ו מסלול </w:t>
            </w:r>
            <w:r w:rsidRPr="00A31B41">
              <w:rPr>
                <w:rFonts w:hint="cs"/>
                <w:rtl/>
              </w:rPr>
              <w:t xml:space="preserve">השקעה </w:t>
            </w:r>
            <w:r w:rsidRPr="00A31B41">
              <w:rPr>
                <w:rtl/>
              </w:rPr>
              <w:t>מתמח</w:t>
            </w:r>
            <w:r w:rsidRPr="00A31B41">
              <w:rPr>
                <w:rFonts w:hint="cs"/>
                <w:rtl/>
              </w:rPr>
              <w:t>ה</w:t>
            </w:r>
            <w:r w:rsidRPr="00A31B41">
              <w:rPr>
                <w:rtl/>
              </w:rPr>
              <w:t xml:space="preserve"> </w:t>
            </w:r>
            <w:r w:rsidRPr="003456BD">
              <w:rPr>
                <w:rFonts w:hint="cs"/>
                <w:rtl/>
              </w:rPr>
              <w:t>ו</w:t>
            </w:r>
            <w:r w:rsidRPr="003456BD">
              <w:rPr>
                <w:rtl/>
              </w:rPr>
              <w:t>אי</w:t>
            </w:r>
            <w:r w:rsidRPr="003456BD">
              <w:rPr>
                <w:rFonts w:hint="cs"/>
                <w:rtl/>
              </w:rPr>
              <w:t xml:space="preserve">נו </w:t>
            </w:r>
            <w:r w:rsidRPr="003456BD">
              <w:rPr>
                <w:rtl/>
              </w:rPr>
              <w:t xml:space="preserve">מסלול </w:t>
            </w:r>
            <w:r w:rsidRPr="003456BD">
              <w:rPr>
                <w:rFonts w:hint="cs"/>
                <w:rtl/>
              </w:rPr>
              <w:t xml:space="preserve">השקעה </w:t>
            </w:r>
            <w:r w:rsidRPr="003456BD">
              <w:rPr>
                <w:rtl/>
              </w:rPr>
              <w:t>ברירת מחדל</w:t>
            </w:r>
            <w:r w:rsidRPr="003456BD">
              <w:rPr>
                <w:rFonts w:hint="cs"/>
                <w:rtl/>
              </w:rPr>
              <w:t>;</w:t>
            </w:r>
          </w:p>
        </w:tc>
      </w:tr>
      <w:tr w:rsidR="009A6498" w:rsidRPr="00223950" w14:paraId="1A2AB13D" w14:textId="77777777" w:rsidTr="00D20CF1">
        <w:trPr>
          <w:cantSplit/>
          <w:trHeight w:val="60"/>
        </w:trPr>
        <w:tc>
          <w:tcPr>
            <w:tcW w:w="1871" w:type="dxa"/>
          </w:tcPr>
          <w:p w14:paraId="5307C396" w14:textId="77777777" w:rsidR="009A6498" w:rsidRPr="00223950" w:rsidRDefault="009A6498" w:rsidP="009A6498">
            <w:pPr>
              <w:pStyle w:val="TableSideHeading"/>
            </w:pPr>
          </w:p>
        </w:tc>
        <w:tc>
          <w:tcPr>
            <w:tcW w:w="624" w:type="dxa"/>
          </w:tcPr>
          <w:p w14:paraId="6BE7390A" w14:textId="77777777" w:rsidR="009A6498" w:rsidRPr="00223950" w:rsidRDefault="009A6498" w:rsidP="009A6498">
            <w:pPr>
              <w:pStyle w:val="TableText"/>
            </w:pPr>
          </w:p>
        </w:tc>
        <w:tc>
          <w:tcPr>
            <w:tcW w:w="624" w:type="dxa"/>
          </w:tcPr>
          <w:p w14:paraId="208435E3" w14:textId="77777777" w:rsidR="009A6498" w:rsidRDefault="009A6498" w:rsidP="009A6498">
            <w:pPr>
              <w:pStyle w:val="TableText"/>
              <w:rPr>
                <w:rtl/>
              </w:rPr>
            </w:pPr>
          </w:p>
        </w:tc>
        <w:tc>
          <w:tcPr>
            <w:tcW w:w="6522" w:type="dxa"/>
          </w:tcPr>
          <w:p w14:paraId="0B1405AF" w14:textId="72DE4082" w:rsidR="009A6498" w:rsidRPr="00A31B41" w:rsidRDefault="009A6498" w:rsidP="009A6498">
            <w:pPr>
              <w:pStyle w:val="TableBlock"/>
              <w:rPr>
                <w:rtl/>
              </w:rPr>
            </w:pPr>
            <w:r w:rsidRPr="00E814A0">
              <w:rPr>
                <w:rtl/>
              </w:rPr>
              <w:t>"מסלול השקעה הלכה" – מסלול השקעה מתמחה שלפי תקנון הקרן נכסי המסלול חשופים לנכסים בכפוף לכללי ההלכה היהודית;</w:t>
            </w:r>
          </w:p>
        </w:tc>
      </w:tr>
      <w:tr w:rsidR="009A6498" w:rsidRPr="00223950" w14:paraId="19B11049" w14:textId="77777777" w:rsidTr="00D20CF1">
        <w:trPr>
          <w:cantSplit/>
          <w:trHeight w:val="60"/>
        </w:trPr>
        <w:tc>
          <w:tcPr>
            <w:tcW w:w="1871" w:type="dxa"/>
          </w:tcPr>
          <w:p w14:paraId="6E4121ED" w14:textId="77777777" w:rsidR="009A6498" w:rsidRPr="00223950" w:rsidRDefault="009A6498" w:rsidP="009A6498">
            <w:pPr>
              <w:pStyle w:val="TableSideHeading"/>
            </w:pPr>
          </w:p>
        </w:tc>
        <w:tc>
          <w:tcPr>
            <w:tcW w:w="624" w:type="dxa"/>
          </w:tcPr>
          <w:p w14:paraId="53BF71CA" w14:textId="77777777" w:rsidR="009A6498" w:rsidRPr="00223950" w:rsidRDefault="009A6498" w:rsidP="009A6498">
            <w:pPr>
              <w:pStyle w:val="TableText"/>
            </w:pPr>
          </w:p>
        </w:tc>
        <w:tc>
          <w:tcPr>
            <w:tcW w:w="624" w:type="dxa"/>
          </w:tcPr>
          <w:p w14:paraId="727D336A" w14:textId="77777777" w:rsidR="009A6498" w:rsidRDefault="009A6498" w:rsidP="009A6498">
            <w:pPr>
              <w:pStyle w:val="TableText"/>
              <w:rPr>
                <w:rtl/>
              </w:rPr>
            </w:pPr>
          </w:p>
        </w:tc>
        <w:tc>
          <w:tcPr>
            <w:tcW w:w="6522" w:type="dxa"/>
          </w:tcPr>
          <w:p w14:paraId="482A4BF7" w14:textId="5CE76D82" w:rsidR="009A6498" w:rsidRPr="00A31B41" w:rsidRDefault="009A6498" w:rsidP="009A6498">
            <w:pPr>
              <w:pStyle w:val="TableBlock"/>
              <w:rPr>
                <w:rtl/>
              </w:rPr>
            </w:pPr>
            <w:r w:rsidRPr="00E814A0">
              <w:rPr>
                <w:rFonts w:hint="cs"/>
                <w:rtl/>
              </w:rPr>
              <w:t xml:space="preserve">"מסלול השקעה מתמחה לגיל 60 ומעלה" </w:t>
            </w:r>
            <w:r w:rsidRPr="00E814A0">
              <w:rPr>
                <w:rtl/>
              </w:rPr>
              <w:t>–</w:t>
            </w:r>
            <w:r>
              <w:rPr>
                <w:rFonts w:hint="cs"/>
                <w:rtl/>
              </w:rPr>
              <w:t xml:space="preserve"> </w:t>
            </w:r>
            <w:r w:rsidRPr="00E814A0">
              <w:rPr>
                <w:rFonts w:hint="cs"/>
                <w:rtl/>
              </w:rPr>
              <w:t xml:space="preserve">מסלול השקעה מתמחה שהממונה אישר לגביו מכוח סמכותו לפי סעיף 16 ו-17 לחוק כי </w:t>
            </w:r>
            <w:bookmarkStart w:id="7" w:name="_Hlk203916694"/>
            <w:r>
              <w:rPr>
                <w:rFonts w:hint="cs"/>
                <w:rtl/>
              </w:rPr>
              <w:t>תחול לגביו הבטחת תשואה בהתאם לתקנה 4</w:t>
            </w:r>
            <w:r w:rsidRPr="00E814A0">
              <w:rPr>
                <w:rFonts w:hint="cs"/>
                <w:rtl/>
              </w:rPr>
              <w:t>;"</w:t>
            </w:r>
            <w:bookmarkEnd w:id="7"/>
          </w:p>
        </w:tc>
      </w:tr>
      <w:tr w:rsidR="009A6498" w:rsidRPr="00223950" w14:paraId="29BD72EA" w14:textId="77777777" w:rsidTr="00D20CF1">
        <w:trPr>
          <w:cantSplit/>
          <w:trHeight w:val="60"/>
        </w:trPr>
        <w:tc>
          <w:tcPr>
            <w:tcW w:w="1871" w:type="dxa"/>
          </w:tcPr>
          <w:p w14:paraId="339C73AC" w14:textId="77777777" w:rsidR="009A6498" w:rsidRPr="00223950" w:rsidRDefault="009A6498" w:rsidP="009A6498">
            <w:pPr>
              <w:pStyle w:val="TableSideHeading"/>
            </w:pPr>
          </w:p>
        </w:tc>
        <w:tc>
          <w:tcPr>
            <w:tcW w:w="624" w:type="dxa"/>
          </w:tcPr>
          <w:p w14:paraId="140E598A" w14:textId="77777777" w:rsidR="009A6498" w:rsidRPr="00223950" w:rsidRDefault="009A6498" w:rsidP="009A6498">
            <w:pPr>
              <w:pStyle w:val="TableText"/>
            </w:pPr>
          </w:p>
        </w:tc>
        <w:tc>
          <w:tcPr>
            <w:tcW w:w="624" w:type="dxa"/>
          </w:tcPr>
          <w:p w14:paraId="058DC4A0" w14:textId="341C7AF7" w:rsidR="009A6498" w:rsidRDefault="009A6498" w:rsidP="009A6498">
            <w:pPr>
              <w:pStyle w:val="TableText"/>
              <w:rPr>
                <w:rtl/>
              </w:rPr>
            </w:pPr>
            <w:r>
              <w:rPr>
                <w:rFonts w:hint="cs"/>
                <w:rtl/>
              </w:rPr>
              <w:t>(3)</w:t>
            </w:r>
          </w:p>
        </w:tc>
        <w:tc>
          <w:tcPr>
            <w:tcW w:w="6522" w:type="dxa"/>
          </w:tcPr>
          <w:p w14:paraId="2ABCD829" w14:textId="06FFB158" w:rsidR="009A6498" w:rsidRDefault="009A6498" w:rsidP="009A6498">
            <w:pPr>
              <w:pStyle w:val="TableBlock"/>
              <w:rPr>
                <w:rtl/>
              </w:rPr>
            </w:pPr>
            <w:r>
              <w:rPr>
                <w:rFonts w:hint="cs"/>
                <w:sz w:val="26"/>
                <w:rtl/>
              </w:rPr>
              <w:t xml:space="preserve">במקום ההגדרה </w:t>
            </w:r>
            <w:r w:rsidRPr="00C36CDE">
              <w:rPr>
                <w:rFonts w:hint="cs"/>
                <w:sz w:val="26"/>
                <w:rtl/>
              </w:rPr>
              <w:t xml:space="preserve">"עמית בגיל 50 ומעלה", </w:t>
            </w:r>
            <w:r>
              <w:rPr>
                <w:rFonts w:hint="cs"/>
                <w:sz w:val="26"/>
                <w:rtl/>
              </w:rPr>
              <w:t>יבוא:</w:t>
            </w:r>
          </w:p>
        </w:tc>
      </w:tr>
      <w:tr w:rsidR="009A6498" w:rsidRPr="00223950" w14:paraId="4C9F58BA" w14:textId="77777777" w:rsidTr="00D20CF1">
        <w:trPr>
          <w:cantSplit/>
          <w:trHeight w:val="60"/>
        </w:trPr>
        <w:tc>
          <w:tcPr>
            <w:tcW w:w="1871" w:type="dxa"/>
          </w:tcPr>
          <w:p w14:paraId="579E7B79" w14:textId="77777777" w:rsidR="009A6498" w:rsidRPr="00223950" w:rsidRDefault="009A6498" w:rsidP="009A6498">
            <w:pPr>
              <w:pStyle w:val="TableSideHeading"/>
            </w:pPr>
          </w:p>
        </w:tc>
        <w:tc>
          <w:tcPr>
            <w:tcW w:w="624" w:type="dxa"/>
          </w:tcPr>
          <w:p w14:paraId="75F3B4C3" w14:textId="77777777" w:rsidR="009A6498" w:rsidRPr="00223950" w:rsidRDefault="009A6498" w:rsidP="009A6498">
            <w:pPr>
              <w:pStyle w:val="TableText"/>
            </w:pPr>
          </w:p>
        </w:tc>
        <w:tc>
          <w:tcPr>
            <w:tcW w:w="624" w:type="dxa"/>
          </w:tcPr>
          <w:p w14:paraId="216A8B96" w14:textId="77777777" w:rsidR="009A6498" w:rsidRDefault="009A6498" w:rsidP="009A6498">
            <w:pPr>
              <w:pStyle w:val="TableText"/>
              <w:rPr>
                <w:rtl/>
              </w:rPr>
            </w:pPr>
          </w:p>
        </w:tc>
        <w:tc>
          <w:tcPr>
            <w:tcW w:w="6522" w:type="dxa"/>
          </w:tcPr>
          <w:p w14:paraId="0F79BEF4" w14:textId="490C35BA" w:rsidR="009A6498" w:rsidRDefault="009A6498" w:rsidP="009A6498">
            <w:pPr>
              <w:pStyle w:val="TableBlock"/>
              <w:rPr>
                <w:sz w:val="26"/>
                <w:rtl/>
              </w:rPr>
            </w:pPr>
            <w:r>
              <w:rPr>
                <w:rFonts w:hint="cs"/>
                <w:rtl/>
              </w:rPr>
              <w:t>"</w:t>
            </w:r>
            <w:r w:rsidRPr="00E814A0">
              <w:rPr>
                <w:rFonts w:hint="cs"/>
                <w:rtl/>
              </w:rPr>
              <w:t>עמית בגיל 60 ומעלה" - עמית בקרן שגילו 60 או יותר</w:t>
            </w:r>
            <w:r>
              <w:rPr>
                <w:rFonts w:hint="cs"/>
                <w:rtl/>
              </w:rPr>
              <w:t>,</w:t>
            </w:r>
            <w:r w:rsidRPr="00E814A0">
              <w:rPr>
                <w:rFonts w:hint="cs"/>
                <w:rtl/>
              </w:rPr>
              <w:t xml:space="preserve"> </w:t>
            </w:r>
            <w:r>
              <w:rPr>
                <w:rFonts w:hint="cs"/>
                <w:rtl/>
              </w:rPr>
              <w:t>ו</w:t>
            </w:r>
            <w:r w:rsidRPr="00E814A0">
              <w:rPr>
                <w:rFonts w:hint="cs"/>
                <w:rtl/>
              </w:rPr>
              <w:t>שהכספים בחשבונו מנוהלים במסלול השקעה ברירת מחדל, במסלול השקעה כללי, במסלול השקעה הלכה  או במסלול השקעה מתמחה לגיל 60 ומעלה, וכל עוד אינו מקבל קצבה מהקרן;</w:t>
            </w:r>
            <w:r>
              <w:rPr>
                <w:rFonts w:hint="cs"/>
                <w:rtl/>
              </w:rPr>
              <w:t>"</w:t>
            </w:r>
          </w:p>
        </w:tc>
      </w:tr>
      <w:tr w:rsidR="009A6498" w:rsidRPr="00223950" w14:paraId="56F8F1F7" w14:textId="77777777" w:rsidTr="00D20CF1">
        <w:trPr>
          <w:cantSplit/>
          <w:trHeight w:val="60"/>
        </w:trPr>
        <w:tc>
          <w:tcPr>
            <w:tcW w:w="1871" w:type="dxa"/>
          </w:tcPr>
          <w:p w14:paraId="4D7F8CCA" w14:textId="03325384" w:rsidR="009A6498" w:rsidRPr="00223950" w:rsidRDefault="009A6498" w:rsidP="009A6498">
            <w:pPr>
              <w:pStyle w:val="TableSideHeading"/>
              <w:rPr>
                <w:rtl/>
              </w:rPr>
            </w:pPr>
            <w:bookmarkStart w:id="8" w:name="_Toc209361051"/>
            <w:r>
              <w:rPr>
                <w:rFonts w:hint="cs"/>
                <w:rtl/>
              </w:rPr>
              <w:t>החלפת מונח</w:t>
            </w:r>
            <w:bookmarkEnd w:id="8"/>
          </w:p>
        </w:tc>
        <w:tc>
          <w:tcPr>
            <w:tcW w:w="624" w:type="dxa"/>
          </w:tcPr>
          <w:p w14:paraId="3148ED49" w14:textId="77777777" w:rsidR="009A6498" w:rsidRPr="00223950" w:rsidRDefault="009A6498" w:rsidP="009A6498">
            <w:pPr>
              <w:pStyle w:val="TableText"/>
              <w:numPr>
                <w:ilvl w:val="0"/>
                <w:numId w:val="2"/>
              </w:numPr>
              <w:tabs>
                <w:tab w:val="clear" w:pos="0"/>
              </w:tabs>
            </w:pPr>
          </w:p>
        </w:tc>
        <w:tc>
          <w:tcPr>
            <w:tcW w:w="7146" w:type="dxa"/>
            <w:gridSpan w:val="2"/>
          </w:tcPr>
          <w:p w14:paraId="55C3E36F" w14:textId="5237E6C1" w:rsidR="009A6498" w:rsidRPr="00223950" w:rsidRDefault="009A6498" w:rsidP="009A6498">
            <w:pPr>
              <w:pStyle w:val="TableBlock"/>
            </w:pPr>
            <w:r>
              <w:rPr>
                <w:rFonts w:hint="cs"/>
                <w:rtl/>
              </w:rPr>
              <w:t>בכל מקום בתקנות העיקריות, במקום "50" יבוא "60".</w:t>
            </w:r>
          </w:p>
        </w:tc>
      </w:tr>
      <w:tr w:rsidR="009A6498" w:rsidRPr="00223950" w14:paraId="0BED84AC" w14:textId="77777777" w:rsidTr="00D20CF1">
        <w:trPr>
          <w:cantSplit/>
          <w:trHeight w:val="60"/>
        </w:trPr>
        <w:tc>
          <w:tcPr>
            <w:tcW w:w="1871" w:type="dxa"/>
          </w:tcPr>
          <w:p w14:paraId="24E0C92D" w14:textId="69083C5A" w:rsidR="009A6498" w:rsidRDefault="009A6498" w:rsidP="009A6498">
            <w:pPr>
              <w:pStyle w:val="TableSideHeading"/>
              <w:rPr>
                <w:rtl/>
              </w:rPr>
            </w:pPr>
            <w:bookmarkStart w:id="9" w:name="_Toc209361052"/>
            <w:r>
              <w:rPr>
                <w:rFonts w:hint="cs"/>
                <w:rtl/>
              </w:rPr>
              <w:t>תיקון תקנה 4</w:t>
            </w:r>
            <w:bookmarkEnd w:id="9"/>
          </w:p>
        </w:tc>
        <w:tc>
          <w:tcPr>
            <w:tcW w:w="624" w:type="dxa"/>
          </w:tcPr>
          <w:p w14:paraId="5E929851" w14:textId="77777777" w:rsidR="009A6498" w:rsidRPr="00223950" w:rsidRDefault="009A6498" w:rsidP="009A6498">
            <w:pPr>
              <w:pStyle w:val="TableText"/>
              <w:numPr>
                <w:ilvl w:val="0"/>
                <w:numId w:val="2"/>
              </w:numPr>
              <w:tabs>
                <w:tab w:val="clear" w:pos="0"/>
              </w:tabs>
            </w:pPr>
          </w:p>
        </w:tc>
        <w:tc>
          <w:tcPr>
            <w:tcW w:w="7146" w:type="dxa"/>
            <w:gridSpan w:val="2"/>
          </w:tcPr>
          <w:p w14:paraId="38EA3484" w14:textId="45ABCF7B" w:rsidR="009A6498" w:rsidRDefault="009A6498" w:rsidP="009A6498">
            <w:pPr>
              <w:pStyle w:val="TableBlock"/>
              <w:rPr>
                <w:rtl/>
              </w:rPr>
            </w:pPr>
            <w:r w:rsidRPr="00223950">
              <w:rPr>
                <w:rFonts w:hint="cs"/>
                <w:rtl/>
              </w:rPr>
              <w:t xml:space="preserve">בתקנה </w:t>
            </w:r>
            <w:r>
              <w:rPr>
                <w:rFonts w:hint="cs"/>
                <w:rtl/>
              </w:rPr>
              <w:t>4 ל</w:t>
            </w:r>
            <w:r w:rsidRPr="00223950">
              <w:rPr>
                <w:rFonts w:hint="cs"/>
                <w:rtl/>
              </w:rPr>
              <w:t>תקנות העיקריות</w:t>
            </w:r>
            <w:r>
              <w:rPr>
                <w:rFonts w:hint="cs"/>
                <w:rtl/>
              </w:rPr>
              <w:t xml:space="preserve"> -</w:t>
            </w:r>
          </w:p>
        </w:tc>
      </w:tr>
      <w:tr w:rsidR="009A6498" w:rsidRPr="00223950" w14:paraId="3D75AA31" w14:textId="77777777" w:rsidTr="00D20CF1">
        <w:trPr>
          <w:cantSplit/>
          <w:trHeight w:val="60"/>
        </w:trPr>
        <w:tc>
          <w:tcPr>
            <w:tcW w:w="1871" w:type="dxa"/>
          </w:tcPr>
          <w:p w14:paraId="21D0F818" w14:textId="77777777" w:rsidR="009A6498" w:rsidRDefault="009A6498" w:rsidP="009A6498">
            <w:pPr>
              <w:pStyle w:val="TableSideHeading"/>
              <w:rPr>
                <w:rtl/>
              </w:rPr>
            </w:pPr>
          </w:p>
        </w:tc>
        <w:tc>
          <w:tcPr>
            <w:tcW w:w="624" w:type="dxa"/>
          </w:tcPr>
          <w:p w14:paraId="68CA7E31" w14:textId="77777777" w:rsidR="009A6498" w:rsidRPr="00223950" w:rsidRDefault="009A6498" w:rsidP="009A6498">
            <w:pPr>
              <w:pStyle w:val="TableText"/>
            </w:pPr>
          </w:p>
        </w:tc>
        <w:tc>
          <w:tcPr>
            <w:tcW w:w="7146" w:type="dxa"/>
            <w:gridSpan w:val="2"/>
          </w:tcPr>
          <w:p w14:paraId="3B5816F6" w14:textId="1722FE23" w:rsidR="009A6498" w:rsidRPr="00223950" w:rsidRDefault="009A6498" w:rsidP="009A6498">
            <w:pPr>
              <w:pStyle w:val="TableBlock"/>
              <w:numPr>
                <w:ilvl w:val="1"/>
                <w:numId w:val="2"/>
              </w:numPr>
              <w:rPr>
                <w:rtl/>
              </w:rPr>
            </w:pPr>
            <w:r>
              <w:rPr>
                <w:rFonts w:hint="cs"/>
                <w:rtl/>
              </w:rPr>
              <w:t>בכותרת השוליים, במקום "50" יבוא "60";</w:t>
            </w:r>
          </w:p>
        </w:tc>
      </w:tr>
      <w:tr w:rsidR="009A6498" w:rsidRPr="00223950" w14:paraId="0B2C647B" w14:textId="77777777" w:rsidTr="00D20CF1">
        <w:trPr>
          <w:cantSplit/>
          <w:trHeight w:val="60"/>
        </w:trPr>
        <w:tc>
          <w:tcPr>
            <w:tcW w:w="1871" w:type="dxa"/>
          </w:tcPr>
          <w:p w14:paraId="4EB2F0D5" w14:textId="77777777" w:rsidR="009A6498" w:rsidRDefault="009A6498" w:rsidP="009A6498">
            <w:pPr>
              <w:pStyle w:val="TableSideHeading"/>
              <w:rPr>
                <w:rtl/>
              </w:rPr>
            </w:pPr>
          </w:p>
        </w:tc>
        <w:tc>
          <w:tcPr>
            <w:tcW w:w="624" w:type="dxa"/>
          </w:tcPr>
          <w:p w14:paraId="41CE069A" w14:textId="77777777" w:rsidR="009A6498" w:rsidRPr="00223950" w:rsidRDefault="009A6498" w:rsidP="009A6498">
            <w:pPr>
              <w:pStyle w:val="TableText"/>
            </w:pPr>
          </w:p>
        </w:tc>
        <w:tc>
          <w:tcPr>
            <w:tcW w:w="7146" w:type="dxa"/>
            <w:gridSpan w:val="2"/>
          </w:tcPr>
          <w:p w14:paraId="17E01904" w14:textId="3BE63706" w:rsidR="009A6498" w:rsidRDefault="009A6498" w:rsidP="009A6498">
            <w:pPr>
              <w:pStyle w:val="TableBlock"/>
              <w:numPr>
                <w:ilvl w:val="1"/>
                <w:numId w:val="2"/>
              </w:numPr>
              <w:rPr>
                <w:rtl/>
              </w:rPr>
            </w:pPr>
            <w:r>
              <w:rPr>
                <w:rFonts w:hint="cs"/>
                <w:rtl/>
              </w:rPr>
              <w:t xml:space="preserve">בתקנת משנה (א) המילים "לגבי כל מסלול" </w:t>
            </w:r>
            <w:r>
              <w:rPr>
                <w:rtl/>
              </w:rPr>
              <w:t>–</w:t>
            </w:r>
            <w:r>
              <w:rPr>
                <w:rFonts w:hint="cs"/>
                <w:rtl/>
              </w:rPr>
              <w:t xml:space="preserve"> יימחקו;</w:t>
            </w:r>
          </w:p>
        </w:tc>
      </w:tr>
      <w:tr w:rsidR="009A6498" w:rsidRPr="00223950" w14:paraId="5914C8FE" w14:textId="77777777" w:rsidTr="00D20CF1">
        <w:trPr>
          <w:cantSplit/>
          <w:trHeight w:val="60"/>
        </w:trPr>
        <w:tc>
          <w:tcPr>
            <w:tcW w:w="1871" w:type="dxa"/>
          </w:tcPr>
          <w:p w14:paraId="03617C73" w14:textId="77777777" w:rsidR="009A6498" w:rsidRDefault="009A6498" w:rsidP="009A6498">
            <w:pPr>
              <w:pStyle w:val="TableSideHeading"/>
              <w:rPr>
                <w:rtl/>
              </w:rPr>
            </w:pPr>
          </w:p>
        </w:tc>
        <w:tc>
          <w:tcPr>
            <w:tcW w:w="624" w:type="dxa"/>
          </w:tcPr>
          <w:p w14:paraId="4DEFE752" w14:textId="77777777" w:rsidR="009A6498" w:rsidRPr="00223950" w:rsidRDefault="009A6498" w:rsidP="009A6498">
            <w:pPr>
              <w:pStyle w:val="TableText"/>
            </w:pPr>
          </w:p>
        </w:tc>
        <w:tc>
          <w:tcPr>
            <w:tcW w:w="7146" w:type="dxa"/>
            <w:gridSpan w:val="2"/>
          </w:tcPr>
          <w:p w14:paraId="078A20B1" w14:textId="4DF7C711" w:rsidR="009A6498" w:rsidRDefault="009A6498" w:rsidP="009A6498">
            <w:pPr>
              <w:pStyle w:val="TableBlock"/>
              <w:numPr>
                <w:ilvl w:val="1"/>
                <w:numId w:val="2"/>
              </w:numPr>
              <w:rPr>
                <w:rtl/>
              </w:rPr>
            </w:pPr>
            <w:r>
              <w:rPr>
                <w:rFonts w:hint="cs"/>
                <w:rtl/>
              </w:rPr>
              <w:t>בתקנת משנה (ב)(1) במקום "30%" יבוא "40%".</w:t>
            </w:r>
          </w:p>
        </w:tc>
      </w:tr>
      <w:tr w:rsidR="009A6498" w:rsidRPr="00223950" w14:paraId="79269E4F" w14:textId="77777777" w:rsidTr="00D20CF1">
        <w:trPr>
          <w:cantSplit/>
          <w:trHeight w:val="60"/>
        </w:trPr>
        <w:tc>
          <w:tcPr>
            <w:tcW w:w="1871" w:type="dxa"/>
          </w:tcPr>
          <w:p w14:paraId="2CCF0B0D" w14:textId="3D2EBE9C" w:rsidR="009A6498" w:rsidRPr="00223950" w:rsidRDefault="009A6498" w:rsidP="009A6498">
            <w:pPr>
              <w:pStyle w:val="TableSideHeading"/>
              <w:rPr>
                <w:rtl/>
              </w:rPr>
            </w:pPr>
            <w:bookmarkStart w:id="10" w:name="_Toc209361053"/>
            <w:r>
              <w:rPr>
                <w:rFonts w:hint="cs"/>
                <w:rtl/>
              </w:rPr>
              <w:t>תיקון תקנה 5</w:t>
            </w:r>
            <w:bookmarkEnd w:id="10"/>
          </w:p>
        </w:tc>
        <w:tc>
          <w:tcPr>
            <w:tcW w:w="624" w:type="dxa"/>
          </w:tcPr>
          <w:p w14:paraId="1DE7CD5D" w14:textId="77777777" w:rsidR="009A6498" w:rsidRPr="00223950" w:rsidRDefault="009A6498" w:rsidP="009A6498">
            <w:pPr>
              <w:pStyle w:val="TableText"/>
              <w:numPr>
                <w:ilvl w:val="0"/>
                <w:numId w:val="2"/>
              </w:numPr>
              <w:tabs>
                <w:tab w:val="clear" w:pos="0"/>
              </w:tabs>
            </w:pPr>
          </w:p>
        </w:tc>
        <w:tc>
          <w:tcPr>
            <w:tcW w:w="7146" w:type="dxa"/>
            <w:gridSpan w:val="2"/>
          </w:tcPr>
          <w:p w14:paraId="60BE21E1" w14:textId="68DD76B8" w:rsidR="009A6498" w:rsidRPr="00223950" w:rsidRDefault="009A6498" w:rsidP="009A6498">
            <w:pPr>
              <w:pStyle w:val="TableBlock"/>
              <w:rPr>
                <w:rtl/>
              </w:rPr>
            </w:pPr>
            <w:r>
              <w:rPr>
                <w:rFonts w:hint="cs"/>
                <w:rtl/>
              </w:rPr>
              <w:t>בתקנה 5(א), המילים "לגבי כל מסלול" - יימחקו.</w:t>
            </w:r>
          </w:p>
        </w:tc>
      </w:tr>
      <w:tr w:rsidR="009A6498" w:rsidRPr="00223950" w14:paraId="24BECAB5" w14:textId="77777777" w:rsidTr="00D20CF1">
        <w:trPr>
          <w:cantSplit/>
          <w:trHeight w:val="60"/>
        </w:trPr>
        <w:tc>
          <w:tcPr>
            <w:tcW w:w="1871" w:type="dxa"/>
          </w:tcPr>
          <w:p w14:paraId="730E91A6" w14:textId="3C3DE82D" w:rsidR="009A6498" w:rsidRDefault="009A6498" w:rsidP="009A6498">
            <w:pPr>
              <w:pStyle w:val="TableSideHeading"/>
              <w:rPr>
                <w:rtl/>
              </w:rPr>
            </w:pPr>
            <w:bookmarkStart w:id="11" w:name="_Toc209361054"/>
            <w:r>
              <w:rPr>
                <w:rFonts w:hint="cs"/>
                <w:rtl/>
              </w:rPr>
              <w:t>תיקון תקנה 8</w:t>
            </w:r>
            <w:bookmarkEnd w:id="11"/>
          </w:p>
        </w:tc>
        <w:tc>
          <w:tcPr>
            <w:tcW w:w="624" w:type="dxa"/>
          </w:tcPr>
          <w:p w14:paraId="10F68365" w14:textId="77777777" w:rsidR="009A6498" w:rsidRPr="00223950" w:rsidRDefault="009A6498" w:rsidP="009A6498">
            <w:pPr>
              <w:pStyle w:val="TableText"/>
              <w:numPr>
                <w:ilvl w:val="0"/>
                <w:numId w:val="2"/>
              </w:numPr>
              <w:tabs>
                <w:tab w:val="clear" w:pos="0"/>
              </w:tabs>
            </w:pPr>
          </w:p>
        </w:tc>
        <w:tc>
          <w:tcPr>
            <w:tcW w:w="7146" w:type="dxa"/>
            <w:gridSpan w:val="2"/>
          </w:tcPr>
          <w:p w14:paraId="5C1B775B" w14:textId="2E14E85A" w:rsidR="009A6498" w:rsidRDefault="009A6498" w:rsidP="009A6498">
            <w:pPr>
              <w:pStyle w:val="TableBlock"/>
              <w:rPr>
                <w:rtl/>
              </w:rPr>
            </w:pPr>
            <w:r w:rsidRPr="00323DBA">
              <w:rPr>
                <w:b/>
                <w:rtl/>
              </w:rPr>
              <w:t>בתקנ</w:t>
            </w:r>
            <w:r>
              <w:rPr>
                <w:rFonts w:hint="cs"/>
                <w:b/>
                <w:rtl/>
              </w:rPr>
              <w:t>ה 8 לתקנות העיקריות, במקום "</w:t>
            </w:r>
            <w:r w:rsidRPr="00E814A0">
              <w:rPr>
                <w:b/>
                <w:rtl/>
              </w:rPr>
              <w:t xml:space="preserve">י"א בטבת </w:t>
            </w:r>
            <w:proofErr w:type="spellStart"/>
            <w:r w:rsidRPr="00E814A0">
              <w:rPr>
                <w:b/>
                <w:rtl/>
              </w:rPr>
              <w:t>התשפ"ו</w:t>
            </w:r>
            <w:proofErr w:type="spellEnd"/>
            <w:r w:rsidRPr="00E814A0">
              <w:rPr>
                <w:b/>
                <w:rtl/>
              </w:rPr>
              <w:t xml:space="preserve"> (31 בדצמבר 2025)</w:t>
            </w:r>
            <w:r>
              <w:rPr>
                <w:rFonts w:hint="cs"/>
                <w:b/>
                <w:rtl/>
              </w:rPr>
              <w:t>"</w:t>
            </w:r>
            <w:r w:rsidRPr="00A242B3">
              <w:rPr>
                <w:rFonts w:hint="cs"/>
                <w:b/>
                <w:rtl/>
              </w:rPr>
              <w:t xml:space="preserve"> </w:t>
            </w:r>
            <w:r>
              <w:rPr>
                <w:rFonts w:hint="cs"/>
                <w:b/>
                <w:rtl/>
              </w:rPr>
              <w:t>יבוא "</w:t>
            </w:r>
            <w:r w:rsidRPr="00E814A0">
              <w:rPr>
                <w:b/>
                <w:rtl/>
              </w:rPr>
              <w:t xml:space="preserve">כ"א בטבת </w:t>
            </w:r>
            <w:proofErr w:type="spellStart"/>
            <w:r w:rsidRPr="00E814A0">
              <w:rPr>
                <w:b/>
                <w:rtl/>
              </w:rPr>
              <w:t>התשפ"ז</w:t>
            </w:r>
            <w:proofErr w:type="spellEnd"/>
            <w:r>
              <w:rPr>
                <w:rFonts w:hint="cs"/>
                <w:b/>
                <w:rtl/>
              </w:rPr>
              <w:t xml:space="preserve"> (31 בדצמבר 2026)".</w:t>
            </w:r>
          </w:p>
        </w:tc>
      </w:tr>
    </w:tbl>
    <w:p w14:paraId="60BB1E04" w14:textId="2830D892" w:rsidR="0053208F" w:rsidRDefault="0053208F" w:rsidP="002B33C0">
      <w:pPr>
        <w:rPr>
          <w:rtl/>
        </w:rPr>
      </w:pPr>
    </w:p>
    <w:p w14:paraId="74F12D2E" w14:textId="77777777" w:rsidR="00C27D92" w:rsidRPr="00223950" w:rsidRDefault="00C27D92" w:rsidP="002B33C0"/>
    <w:p w14:paraId="057B64D6" w14:textId="77777777" w:rsidR="0053208F" w:rsidRPr="00223950" w:rsidRDefault="0053208F" w:rsidP="002B33C0">
      <w:pPr>
        <w:rPr>
          <w:rtl/>
        </w:rPr>
      </w:pPr>
    </w:p>
    <w:p w14:paraId="65FFEE62" w14:textId="088838A9" w:rsidR="00CE55AD" w:rsidRDefault="00CE55AD" w:rsidP="00CE55AD">
      <w:r>
        <w:rPr>
          <w:rFonts w:hint="cs"/>
          <w:rtl/>
        </w:rPr>
        <w:t xml:space="preserve">___ ב________ </w:t>
      </w:r>
      <w:proofErr w:type="spellStart"/>
      <w:r>
        <w:rPr>
          <w:rFonts w:hint="cs"/>
          <w:rtl/>
        </w:rPr>
        <w:t>התשפ"</w:t>
      </w:r>
      <w:r w:rsidR="009A6498">
        <w:rPr>
          <w:rFonts w:hint="cs"/>
          <w:rtl/>
        </w:rPr>
        <w:t>ה</w:t>
      </w:r>
      <w:proofErr w:type="spellEnd"/>
      <w:r>
        <w:rPr>
          <w:rFonts w:hint="cs"/>
          <w:rtl/>
        </w:rPr>
        <w:t xml:space="preserve"> (___ ב________202</w:t>
      </w:r>
      <w:r w:rsidR="009A6498">
        <w:rPr>
          <w:rFonts w:hint="cs"/>
          <w:rtl/>
        </w:rPr>
        <w:t>5</w:t>
      </w:r>
      <w:r>
        <w:rPr>
          <w:rFonts w:hint="cs"/>
          <w:rtl/>
        </w:rPr>
        <w:t>)</w:t>
      </w:r>
    </w:p>
    <w:p w14:paraId="26691180" w14:textId="6F00FD79" w:rsidR="00CE55AD" w:rsidRDefault="00CE55AD" w:rsidP="00CE55AD">
      <w:pPr>
        <w:rPr>
          <w:rtl/>
        </w:rPr>
      </w:pPr>
      <w:r>
        <w:rPr>
          <w:rFonts w:hint="cs"/>
          <w:rtl/>
        </w:rPr>
        <w:t xml:space="preserve"> (</w:t>
      </w:r>
      <w:proofErr w:type="spellStart"/>
      <w:r>
        <w:rPr>
          <w:rFonts w:hint="cs"/>
          <w:rtl/>
        </w:rPr>
        <w:t>חמ</w:t>
      </w:r>
      <w:proofErr w:type="spellEnd"/>
      <w:r>
        <w:rPr>
          <w:rFonts w:hint="cs"/>
          <w:rtl/>
        </w:rPr>
        <w:t xml:space="preserve"> </w:t>
      </w:r>
      <w:r w:rsidR="00180AAD">
        <w:rPr>
          <w:rFonts w:hint="cs"/>
          <w:rtl/>
        </w:rPr>
        <w:t>_</w:t>
      </w:r>
      <w:r w:rsidR="009A6498">
        <w:rPr>
          <w:rFonts w:hint="cs"/>
          <w:rtl/>
        </w:rPr>
        <w:t>3-5355</w:t>
      </w:r>
      <w:r>
        <w:rPr>
          <w:rFonts w:hint="cs"/>
          <w:rtl/>
        </w:rPr>
        <w:t>)</w:t>
      </w:r>
    </w:p>
    <w:p w14:paraId="27D1248F" w14:textId="77777777" w:rsidR="00CE55AD" w:rsidRDefault="00CE55AD" w:rsidP="00CE55AD">
      <w:pPr>
        <w:rPr>
          <w:rtl/>
        </w:rPr>
      </w:pPr>
    </w:p>
    <w:p w14:paraId="1D743940" w14:textId="77777777" w:rsidR="00CE55AD" w:rsidRDefault="00CE55AD" w:rsidP="00CE55AD">
      <w:pPr>
        <w:ind w:left="5760"/>
        <w:jc w:val="center"/>
        <w:rPr>
          <w:rtl/>
        </w:rPr>
      </w:pPr>
      <w:r>
        <w:rPr>
          <w:rFonts w:hint="cs"/>
          <w:rtl/>
        </w:rPr>
        <w:t>__________________</w:t>
      </w:r>
    </w:p>
    <w:p w14:paraId="0EC501AD" w14:textId="77777777" w:rsidR="00CE55AD" w:rsidRDefault="00CE55AD" w:rsidP="00CE55AD">
      <w:pPr>
        <w:ind w:left="5760"/>
        <w:jc w:val="center"/>
        <w:rPr>
          <w:rtl/>
        </w:rPr>
      </w:pPr>
      <w:r>
        <w:rPr>
          <w:rFonts w:hint="cs"/>
          <w:rtl/>
        </w:rPr>
        <w:t xml:space="preserve"> בצלאל </w:t>
      </w:r>
      <w:proofErr w:type="spellStart"/>
      <w:r>
        <w:rPr>
          <w:rFonts w:hint="cs"/>
          <w:rtl/>
        </w:rPr>
        <w:t>סמוטריץ</w:t>
      </w:r>
      <w:proofErr w:type="spellEnd"/>
      <w:r>
        <w:rPr>
          <w:rFonts w:hint="cs"/>
          <w:rtl/>
        </w:rPr>
        <w:t xml:space="preserve">' </w:t>
      </w:r>
    </w:p>
    <w:p w14:paraId="36DE10E1" w14:textId="77777777" w:rsidR="00CE55AD" w:rsidRDefault="00CE55AD" w:rsidP="00CE55AD">
      <w:pPr>
        <w:ind w:left="5760"/>
        <w:jc w:val="center"/>
        <w:rPr>
          <w:rtl/>
        </w:rPr>
      </w:pPr>
      <w:r>
        <w:rPr>
          <w:rFonts w:hint="cs"/>
          <w:rtl/>
        </w:rPr>
        <w:t xml:space="preserve">שר האוצר </w:t>
      </w:r>
    </w:p>
    <w:p w14:paraId="2D8AABB8" w14:textId="20261F93" w:rsidR="000F086C" w:rsidRDefault="000F086C">
      <w:pPr>
        <w:widowControl/>
        <w:bidi w:val="0"/>
        <w:spacing w:after="160" w:line="259" w:lineRule="auto"/>
        <w:ind w:left="0"/>
        <w:contextualSpacing w:val="0"/>
        <w:jc w:val="left"/>
      </w:pPr>
      <w:r>
        <w:rPr>
          <w:rtl/>
        </w:rPr>
        <w:br w:type="page"/>
      </w:r>
    </w:p>
    <w:p w14:paraId="3BEA7175" w14:textId="37605704" w:rsidR="0053208F" w:rsidRPr="00223950" w:rsidRDefault="00614973" w:rsidP="002B33C0">
      <w:pPr>
        <w:pStyle w:val="HeadDivreiHesber"/>
        <w:rPr>
          <w:rtl/>
        </w:rPr>
      </w:pPr>
      <w:bookmarkStart w:id="12" w:name="_Toc209361055"/>
      <w:r w:rsidRPr="00223950">
        <w:rPr>
          <w:rFonts w:hint="cs"/>
          <w:rtl/>
        </w:rPr>
        <w:t>דברי הסבר</w:t>
      </w:r>
      <w:bookmarkEnd w:id="12"/>
    </w:p>
    <w:p w14:paraId="58D13139" w14:textId="631B0550" w:rsidR="007C1239" w:rsidRPr="00384B83" w:rsidRDefault="007C1239" w:rsidP="0097556E">
      <w:pPr>
        <w:pStyle w:val="P00"/>
        <w:tabs>
          <w:tab w:val="clear" w:pos="6259"/>
        </w:tabs>
        <w:spacing w:before="72" w:line="360" w:lineRule="auto"/>
        <w:ind w:left="0"/>
        <w:rPr>
          <w:rFonts w:ascii="David" w:eastAsia="Arial Unicode MS" w:hAnsi="David" w:cs="David"/>
          <w:noProof w:val="0"/>
          <w:snapToGrid w:val="0"/>
          <w:rtl/>
          <w:lang w:eastAsia="en-US"/>
        </w:rPr>
      </w:pPr>
    </w:p>
    <w:p w14:paraId="47D7AE52" w14:textId="77777777" w:rsidR="009A6498" w:rsidRPr="00180AAD" w:rsidRDefault="009A6498" w:rsidP="009A6498">
      <w:pPr>
        <w:pStyle w:val="P00"/>
        <w:tabs>
          <w:tab w:val="clear" w:pos="6259"/>
        </w:tabs>
        <w:spacing w:before="72" w:line="360" w:lineRule="auto"/>
        <w:ind w:left="0" w:right="1134"/>
        <w:rPr>
          <w:rFonts w:ascii="David" w:hAnsi="David" w:cs="David"/>
          <w:b/>
          <w:bCs/>
          <w:rtl/>
        </w:rPr>
      </w:pPr>
      <w:r w:rsidRPr="00180AAD">
        <w:rPr>
          <w:rFonts w:ascii="David" w:hAnsi="David" w:cs="David"/>
          <w:b/>
          <w:bCs/>
          <w:rtl/>
        </w:rPr>
        <w:t>כללי</w:t>
      </w:r>
    </w:p>
    <w:p w14:paraId="38476924" w14:textId="77777777" w:rsidR="009A6498" w:rsidRPr="003927CC" w:rsidRDefault="009A6498" w:rsidP="009A6498">
      <w:pPr>
        <w:pStyle w:val="P00"/>
        <w:tabs>
          <w:tab w:val="clear" w:pos="6259"/>
        </w:tabs>
        <w:spacing w:before="72" w:line="360" w:lineRule="auto"/>
        <w:ind w:left="0"/>
        <w:rPr>
          <w:rFonts w:ascii="Arial" w:eastAsia="Arial Unicode MS" w:hAnsi="Arial" w:cs="David"/>
          <w:noProof w:val="0"/>
          <w:snapToGrid w:val="0"/>
          <w:rtl/>
          <w:lang w:eastAsia="en-US"/>
        </w:rPr>
      </w:pPr>
      <w:r w:rsidRPr="003927CC">
        <w:rPr>
          <w:rFonts w:ascii="Arial" w:eastAsia="Arial Unicode MS" w:hAnsi="Arial" w:cs="David"/>
          <w:noProof w:val="0"/>
          <w:snapToGrid w:val="0"/>
          <w:rtl/>
          <w:lang w:eastAsia="en-US"/>
        </w:rPr>
        <w:t xml:space="preserve">איגרות חוב מיועדות הן איגרות חוב ממשלתיות לא סחירות, צמודות מדד ונושאת ריבית קבועה בשיעור של 4.86% אשר מונפקות לקרנות הפנסיה החדשות המקיפות בהיקף של 30% מנכסיהן. </w:t>
      </w:r>
    </w:p>
    <w:p w14:paraId="269957DB" w14:textId="77777777" w:rsidR="009A6498" w:rsidRPr="003927CC" w:rsidRDefault="009A6498" w:rsidP="009A6498">
      <w:pPr>
        <w:pStyle w:val="P00"/>
        <w:tabs>
          <w:tab w:val="clear" w:pos="6259"/>
        </w:tabs>
        <w:spacing w:before="72" w:line="360" w:lineRule="auto"/>
        <w:ind w:left="0"/>
        <w:rPr>
          <w:rFonts w:ascii="Arial" w:eastAsia="Arial Unicode MS" w:hAnsi="Arial" w:cs="David"/>
          <w:noProof w:val="0"/>
          <w:snapToGrid w:val="0"/>
          <w:rtl/>
          <w:lang w:eastAsia="en-US"/>
        </w:rPr>
      </w:pPr>
      <w:r w:rsidRPr="003927CC">
        <w:rPr>
          <w:rFonts w:ascii="Arial" w:eastAsia="Arial Unicode MS" w:hAnsi="Arial" w:cs="David"/>
          <w:noProof w:val="0"/>
          <w:snapToGrid w:val="0"/>
          <w:rtl/>
          <w:lang w:eastAsia="en-US"/>
        </w:rPr>
        <w:t xml:space="preserve">ביום 23 בדצמבר 2015, </w:t>
      </w:r>
      <w:r>
        <w:rPr>
          <w:rFonts w:ascii="Arial" w:eastAsia="Arial Unicode MS" w:hAnsi="Arial" w:cs="David" w:hint="cs"/>
          <w:noProof w:val="0"/>
          <w:snapToGrid w:val="0"/>
          <w:rtl/>
          <w:lang w:eastAsia="en-US"/>
        </w:rPr>
        <w:t>פורסם</w:t>
      </w:r>
      <w:r w:rsidRPr="003927CC">
        <w:rPr>
          <w:rFonts w:ascii="Arial" w:eastAsia="Arial Unicode MS" w:hAnsi="Arial" w:cs="David"/>
          <w:noProof w:val="0"/>
          <w:snapToGrid w:val="0"/>
          <w:rtl/>
          <w:lang w:eastAsia="en-US"/>
        </w:rPr>
        <w:t xml:space="preserve"> דוח הצוות להגברת הוודאות בחיסכון הפנסיוני (להלן – </w:t>
      </w:r>
      <w:r w:rsidRPr="003927CC">
        <w:rPr>
          <w:rFonts w:ascii="Arial" w:eastAsia="Arial Unicode MS" w:hAnsi="Arial" w:cs="David"/>
          <w:b/>
          <w:bCs/>
          <w:noProof w:val="0"/>
          <w:snapToGrid w:val="0"/>
          <w:rtl/>
          <w:lang w:eastAsia="en-US"/>
        </w:rPr>
        <w:t>הצוות</w:t>
      </w:r>
      <w:r w:rsidRPr="003927CC">
        <w:rPr>
          <w:rFonts w:ascii="Arial" w:eastAsia="Arial Unicode MS" w:hAnsi="Arial" w:cs="David"/>
          <w:noProof w:val="0"/>
          <w:snapToGrid w:val="0"/>
          <w:rtl/>
          <w:lang w:eastAsia="en-US"/>
        </w:rPr>
        <w:t>) שבחן את יעילות הקצאת אגרות חוב מיועדות לחיסכון פנסיוני ואת השפעתן של אגרות החוב המיועדות על התקציב והחוב הממשלתי. במסגרת עבודת הצוות נבחנו, בין היתר, חלופות שונות להקצאה של אגרות חוב מיועדות בין העמיתים בקרנות הפנסיה החדשות. לאחר בחינת החלופות, המליץ הצוות על הקצאה שונה של אגרות החוב המיועדות, בחלוקה לשלוש קבוצות</w:t>
      </w:r>
      <w:r>
        <w:rPr>
          <w:rFonts w:ascii="Arial" w:eastAsia="Arial Unicode MS" w:hAnsi="Arial" w:cs="David" w:hint="cs"/>
          <w:noProof w:val="0"/>
          <w:snapToGrid w:val="0"/>
          <w:rtl/>
          <w:lang w:eastAsia="en-US"/>
        </w:rPr>
        <w:t>:</w:t>
      </w:r>
      <w:r w:rsidRPr="003927CC">
        <w:rPr>
          <w:rFonts w:ascii="Arial" w:eastAsia="Arial Unicode MS" w:hAnsi="Arial" w:cs="David"/>
          <w:noProof w:val="0"/>
          <w:snapToGrid w:val="0"/>
          <w:rtl/>
          <w:lang w:eastAsia="en-US"/>
        </w:rPr>
        <w:t xml:space="preserve"> מקבלי קצבה, עמיתים בני חמישים ומעלה ועמיתים צעירים, והכל מבלי לבצע שינוי במסגרת ההקצאה הכוללת של אגרות החוב המיועדות לקרנות הפנסיה החדשות.</w:t>
      </w:r>
    </w:p>
    <w:p w14:paraId="63CC34DD" w14:textId="77777777" w:rsidR="009A6498" w:rsidRPr="003927CC" w:rsidRDefault="009A6498" w:rsidP="009A6498">
      <w:pPr>
        <w:pStyle w:val="P00"/>
        <w:tabs>
          <w:tab w:val="clear" w:pos="6259"/>
        </w:tabs>
        <w:spacing w:before="72" w:line="360" w:lineRule="auto"/>
        <w:ind w:left="0"/>
        <w:rPr>
          <w:rFonts w:ascii="Arial" w:eastAsia="Arial Unicode MS" w:hAnsi="Arial" w:cs="David"/>
          <w:noProof w:val="0"/>
          <w:snapToGrid w:val="0"/>
          <w:rtl/>
          <w:lang w:eastAsia="en-US"/>
        </w:rPr>
      </w:pPr>
      <w:r w:rsidRPr="003927CC">
        <w:rPr>
          <w:rFonts w:ascii="Arial" w:eastAsia="Arial Unicode MS" w:hAnsi="Arial" w:cs="David" w:hint="cs"/>
          <w:noProof w:val="0"/>
          <w:snapToGrid w:val="0"/>
          <w:rtl/>
          <w:lang w:eastAsia="en-US"/>
        </w:rPr>
        <w:t xml:space="preserve">בהתאם להמלצת הצוות, </w:t>
      </w:r>
      <w:r>
        <w:rPr>
          <w:rFonts w:ascii="Arial" w:eastAsia="Arial Unicode MS" w:hAnsi="Arial" w:cs="David" w:hint="cs"/>
          <w:noProof w:val="0"/>
          <w:snapToGrid w:val="0"/>
          <w:rtl/>
          <w:lang w:eastAsia="en-US"/>
        </w:rPr>
        <w:t>הותקנו</w:t>
      </w:r>
      <w:r w:rsidRPr="003927CC">
        <w:rPr>
          <w:rFonts w:ascii="Arial" w:eastAsia="Arial Unicode MS" w:hAnsi="Arial" w:cs="David" w:hint="cs"/>
          <w:noProof w:val="0"/>
          <w:snapToGrid w:val="0"/>
          <w:rtl/>
          <w:lang w:eastAsia="en-US"/>
        </w:rPr>
        <w:t xml:space="preserve"> תקנות הפיקוח על שירותים פיננסיים (קופות גמל) (זקיפת תשואה בקרן פנסיה חדשה מקיפה), תשע"ז-2017 (להלן </w:t>
      </w:r>
      <w:r w:rsidRPr="003927CC">
        <w:rPr>
          <w:rFonts w:ascii="Arial" w:eastAsia="Arial Unicode MS" w:hAnsi="Arial" w:cs="David"/>
          <w:noProof w:val="0"/>
          <w:snapToGrid w:val="0"/>
          <w:rtl/>
          <w:lang w:eastAsia="en-US"/>
        </w:rPr>
        <w:t>–</w:t>
      </w:r>
      <w:r w:rsidRPr="003927CC">
        <w:rPr>
          <w:rFonts w:ascii="Arial" w:eastAsia="Arial Unicode MS" w:hAnsi="Arial" w:cs="David" w:hint="cs"/>
          <w:noProof w:val="0"/>
          <w:snapToGrid w:val="0"/>
          <w:rtl/>
          <w:lang w:eastAsia="en-US"/>
        </w:rPr>
        <w:t xml:space="preserve"> </w:t>
      </w:r>
      <w:r w:rsidRPr="003927CC">
        <w:rPr>
          <w:rFonts w:ascii="Arial" w:eastAsia="Arial Unicode MS" w:hAnsi="Arial" w:cs="David" w:hint="cs"/>
          <w:b/>
          <w:bCs/>
          <w:noProof w:val="0"/>
          <w:snapToGrid w:val="0"/>
          <w:rtl/>
          <w:lang w:eastAsia="en-US"/>
        </w:rPr>
        <w:t>התקנות</w:t>
      </w:r>
      <w:r w:rsidRPr="003927CC">
        <w:rPr>
          <w:rFonts w:ascii="Arial" w:eastAsia="Arial Unicode MS" w:hAnsi="Arial" w:cs="David" w:hint="cs"/>
          <w:noProof w:val="0"/>
          <w:snapToGrid w:val="0"/>
          <w:rtl/>
          <w:lang w:eastAsia="en-US"/>
        </w:rPr>
        <w:t>) הקובעות</w:t>
      </w:r>
      <w:r w:rsidRPr="003927CC">
        <w:rPr>
          <w:rFonts w:ascii="Arial" w:eastAsia="Arial Unicode MS" w:hAnsi="Arial" w:cs="David"/>
          <w:noProof w:val="0"/>
          <w:snapToGrid w:val="0"/>
          <w:rtl/>
          <w:lang w:eastAsia="en-US"/>
        </w:rPr>
        <w:t xml:space="preserve"> הוראות לגבי אופן זקיפת תשואה לעמיתים ופנסיונרים בקרן פנסיה חדשה מקיפה ומועד ביצועה ובכלל זה </w:t>
      </w:r>
      <w:r w:rsidRPr="003927CC">
        <w:rPr>
          <w:rFonts w:ascii="Arial" w:eastAsia="Arial Unicode MS" w:hAnsi="Arial" w:cs="David" w:hint="cs"/>
          <w:noProof w:val="0"/>
          <w:snapToGrid w:val="0"/>
          <w:rtl/>
          <w:lang w:eastAsia="en-US"/>
        </w:rPr>
        <w:t xml:space="preserve">קביעת הקצאה שונה של </w:t>
      </w:r>
      <w:proofErr w:type="spellStart"/>
      <w:r w:rsidRPr="003927CC">
        <w:rPr>
          <w:rFonts w:ascii="Arial" w:eastAsia="Arial Unicode MS" w:hAnsi="Arial" w:cs="David" w:hint="cs"/>
          <w:noProof w:val="0"/>
          <w:snapToGrid w:val="0"/>
          <w:rtl/>
          <w:lang w:eastAsia="en-US"/>
        </w:rPr>
        <w:t>האג"ח</w:t>
      </w:r>
      <w:proofErr w:type="spellEnd"/>
      <w:r w:rsidRPr="003927CC">
        <w:rPr>
          <w:rFonts w:ascii="Arial" w:eastAsia="Arial Unicode MS" w:hAnsi="Arial" w:cs="David" w:hint="cs"/>
          <w:noProof w:val="0"/>
          <w:snapToGrid w:val="0"/>
          <w:rtl/>
          <w:lang w:eastAsia="en-US"/>
        </w:rPr>
        <w:t xml:space="preserve"> המיועדות לפי שלוש קבוצות גיל : עמיתים בני 50 ומטה, עמיתים בני 50 ומעלה ומקבלי קצבאות. </w:t>
      </w:r>
    </w:p>
    <w:p w14:paraId="2C14E6FE" w14:textId="77777777" w:rsidR="009A6498" w:rsidRPr="003927CC" w:rsidRDefault="009A6498" w:rsidP="009A6498">
      <w:pPr>
        <w:pStyle w:val="P00"/>
        <w:tabs>
          <w:tab w:val="clear" w:pos="6259"/>
        </w:tabs>
        <w:spacing w:before="72" w:line="360" w:lineRule="auto"/>
        <w:ind w:left="0"/>
        <w:rPr>
          <w:rFonts w:ascii="Arial" w:eastAsia="Arial Unicode MS" w:hAnsi="Arial" w:cs="David"/>
          <w:noProof w:val="0"/>
          <w:snapToGrid w:val="0"/>
          <w:rtl/>
          <w:lang w:eastAsia="en-US"/>
        </w:rPr>
      </w:pPr>
      <w:r>
        <w:rPr>
          <w:rFonts w:ascii="Arial" w:eastAsia="Arial Unicode MS" w:hAnsi="Arial" w:cs="David" w:hint="cs"/>
          <w:noProof w:val="0"/>
          <w:snapToGrid w:val="0"/>
          <w:rtl/>
          <w:lang w:eastAsia="en-US"/>
        </w:rPr>
        <w:t>תקנה</w:t>
      </w:r>
      <w:r w:rsidRPr="003927CC">
        <w:rPr>
          <w:rFonts w:ascii="Arial" w:eastAsia="Arial Unicode MS" w:hAnsi="Arial" w:cs="David" w:hint="cs"/>
          <w:noProof w:val="0"/>
          <w:snapToGrid w:val="0"/>
          <w:rtl/>
          <w:lang w:eastAsia="en-US"/>
        </w:rPr>
        <w:t xml:space="preserve"> 8 לתקנות קובע</w:t>
      </w:r>
      <w:r>
        <w:rPr>
          <w:rFonts w:ascii="Arial" w:eastAsia="Arial Unicode MS" w:hAnsi="Arial" w:cs="David" w:hint="cs"/>
          <w:noProof w:val="0"/>
          <w:snapToGrid w:val="0"/>
          <w:rtl/>
          <w:lang w:eastAsia="en-US"/>
        </w:rPr>
        <w:t>ת</w:t>
      </w:r>
      <w:r w:rsidRPr="003927CC">
        <w:rPr>
          <w:rFonts w:ascii="Arial" w:eastAsia="Arial Unicode MS" w:hAnsi="Arial" w:cs="David" w:hint="cs"/>
          <w:noProof w:val="0"/>
          <w:snapToGrid w:val="0"/>
          <w:rtl/>
          <w:lang w:eastAsia="en-US"/>
        </w:rPr>
        <w:t xml:space="preserve"> הוראת שעה לפיה ההקצאה השונה לעמיתים בני 50 ומעלה ולעמיתים בני 50 ומטה תכנס לתוקפה החל מיום ה- 1 בינואר </w:t>
      </w:r>
      <w:r>
        <w:rPr>
          <w:rFonts w:ascii="Arial" w:eastAsia="Arial Unicode MS" w:hAnsi="Arial" w:cs="David" w:hint="cs"/>
          <w:noProof w:val="0"/>
          <w:snapToGrid w:val="0"/>
          <w:rtl/>
          <w:lang w:eastAsia="en-US"/>
        </w:rPr>
        <w:t>2026</w:t>
      </w:r>
      <w:r w:rsidRPr="003927CC">
        <w:rPr>
          <w:rFonts w:ascii="Arial" w:eastAsia="Arial Unicode MS" w:hAnsi="Arial" w:cs="David" w:hint="cs"/>
          <w:noProof w:val="0"/>
          <w:snapToGrid w:val="0"/>
          <w:rtl/>
          <w:lang w:eastAsia="en-US"/>
        </w:rPr>
        <w:t xml:space="preserve">. בתקופת הוראת השעה, הקצאת </w:t>
      </w:r>
      <w:proofErr w:type="spellStart"/>
      <w:r w:rsidRPr="003927CC">
        <w:rPr>
          <w:rFonts w:ascii="Arial" w:eastAsia="Arial Unicode MS" w:hAnsi="Arial" w:cs="David" w:hint="cs"/>
          <w:noProof w:val="0"/>
          <w:snapToGrid w:val="0"/>
          <w:rtl/>
          <w:lang w:eastAsia="en-US"/>
        </w:rPr>
        <w:t>האג"ח</w:t>
      </w:r>
      <w:proofErr w:type="spellEnd"/>
      <w:r w:rsidRPr="003927CC">
        <w:rPr>
          <w:rFonts w:ascii="Arial" w:eastAsia="Arial Unicode MS" w:hAnsi="Arial" w:cs="David" w:hint="cs"/>
          <w:noProof w:val="0"/>
          <w:snapToGrid w:val="0"/>
          <w:rtl/>
          <w:lang w:eastAsia="en-US"/>
        </w:rPr>
        <w:t xml:space="preserve"> המיועדות לקבוצת העמיתים בני 50 ומטה ולקבוצת העמיתים בני 50 ומעלה תהיה זהה (להלן </w:t>
      </w:r>
      <w:r w:rsidRPr="003927CC">
        <w:rPr>
          <w:rFonts w:ascii="Arial" w:eastAsia="Arial Unicode MS" w:hAnsi="Arial" w:cs="David"/>
          <w:noProof w:val="0"/>
          <w:snapToGrid w:val="0"/>
          <w:rtl/>
          <w:lang w:eastAsia="en-US"/>
        </w:rPr>
        <w:t>–</w:t>
      </w:r>
      <w:r w:rsidRPr="003927CC">
        <w:rPr>
          <w:rFonts w:ascii="Arial" w:eastAsia="Arial Unicode MS" w:hAnsi="Arial" w:cs="David" w:hint="cs"/>
          <w:noProof w:val="0"/>
          <w:snapToGrid w:val="0"/>
          <w:rtl/>
          <w:lang w:eastAsia="en-US"/>
        </w:rPr>
        <w:t xml:space="preserve"> </w:t>
      </w:r>
      <w:r w:rsidRPr="00180AAD">
        <w:rPr>
          <w:rFonts w:ascii="Arial" w:eastAsia="Arial Unicode MS" w:hAnsi="Arial" w:cs="David" w:hint="cs"/>
          <w:b/>
          <w:bCs/>
          <w:noProof w:val="0"/>
          <w:snapToGrid w:val="0"/>
          <w:rtl/>
          <w:lang w:eastAsia="en-US"/>
        </w:rPr>
        <w:t>הוראת השעה</w:t>
      </w:r>
      <w:r w:rsidRPr="003927CC">
        <w:rPr>
          <w:rFonts w:ascii="Arial" w:eastAsia="Arial Unicode MS" w:hAnsi="Arial" w:cs="David" w:hint="cs"/>
          <w:noProof w:val="0"/>
          <w:snapToGrid w:val="0"/>
          <w:rtl/>
          <w:lang w:eastAsia="en-US"/>
        </w:rPr>
        <w:t xml:space="preserve">). </w:t>
      </w:r>
    </w:p>
    <w:p w14:paraId="38EE568C" w14:textId="77777777" w:rsidR="009A6498" w:rsidRPr="00E814A0" w:rsidRDefault="009A6498" w:rsidP="009A6498">
      <w:pPr>
        <w:pStyle w:val="P00"/>
        <w:tabs>
          <w:tab w:val="clear" w:pos="6259"/>
        </w:tabs>
        <w:spacing w:before="72" w:line="360" w:lineRule="auto"/>
        <w:ind w:left="0"/>
        <w:rPr>
          <w:rFonts w:ascii="Arial" w:eastAsia="Arial Unicode MS" w:hAnsi="Arial" w:cs="David"/>
          <w:noProof w:val="0"/>
          <w:snapToGrid w:val="0"/>
          <w:sz w:val="26"/>
          <w:rtl/>
          <w:lang w:eastAsia="en-US"/>
        </w:rPr>
      </w:pPr>
      <w:r w:rsidRPr="003927CC">
        <w:rPr>
          <w:rFonts w:ascii="Arial" w:eastAsia="Arial Unicode MS" w:hAnsi="Arial" w:cs="David" w:hint="cs"/>
          <w:noProof w:val="0"/>
          <w:snapToGrid w:val="0"/>
          <w:rtl/>
          <w:lang w:eastAsia="en-US"/>
        </w:rPr>
        <w:t xml:space="preserve">במהלך השנים שחלפו ממועד </w:t>
      </w:r>
      <w:r>
        <w:rPr>
          <w:rFonts w:ascii="Arial" w:eastAsia="Arial Unicode MS" w:hAnsi="Arial" w:cs="David" w:hint="cs"/>
          <w:noProof w:val="0"/>
          <w:snapToGrid w:val="0"/>
          <w:rtl/>
          <w:lang w:eastAsia="en-US"/>
        </w:rPr>
        <w:t>פרסום</w:t>
      </w:r>
      <w:r w:rsidRPr="003927CC">
        <w:rPr>
          <w:rFonts w:ascii="Arial" w:eastAsia="Arial Unicode MS" w:hAnsi="Arial" w:cs="David" w:hint="cs"/>
          <w:noProof w:val="0"/>
          <w:snapToGrid w:val="0"/>
          <w:rtl/>
          <w:lang w:eastAsia="en-US"/>
        </w:rPr>
        <w:t xml:space="preserve"> </w:t>
      </w:r>
      <w:r>
        <w:rPr>
          <w:rFonts w:ascii="Arial" w:eastAsia="Arial Unicode MS" w:hAnsi="Arial" w:cs="David" w:hint="cs"/>
          <w:noProof w:val="0"/>
          <w:snapToGrid w:val="0"/>
          <w:rtl/>
          <w:lang w:eastAsia="en-US"/>
        </w:rPr>
        <w:t>המלצות הצוות</w:t>
      </w:r>
      <w:r w:rsidRPr="003927CC">
        <w:rPr>
          <w:rFonts w:ascii="Arial" w:eastAsia="Arial Unicode MS" w:hAnsi="Arial" w:cs="David" w:hint="cs"/>
          <w:noProof w:val="0"/>
          <w:snapToGrid w:val="0"/>
          <w:rtl/>
          <w:lang w:eastAsia="en-US"/>
        </w:rPr>
        <w:t xml:space="preserve"> חלו תמורות ושינויים רבים בענף קרנות הפנסיה. כך ביום 4 בנובמבר 2021 התקבל בכנסת </w:t>
      </w:r>
      <w:r w:rsidRPr="003927CC">
        <w:rPr>
          <w:rFonts w:ascii="Arial" w:eastAsia="Arial Unicode MS" w:hAnsi="Arial" w:cs="David"/>
          <w:noProof w:val="0"/>
          <w:snapToGrid w:val="0"/>
          <w:rtl/>
          <w:lang w:eastAsia="en-US"/>
        </w:rPr>
        <w:t xml:space="preserve">חוק ההתייעלות הכלכלית (תיקוני חקיקה להשגת יעדי התקציב </w:t>
      </w:r>
      <w:r w:rsidRPr="00E814A0">
        <w:rPr>
          <w:rFonts w:ascii="Arial" w:eastAsia="Arial Unicode MS" w:hAnsi="Arial" w:cs="David"/>
          <w:noProof w:val="0"/>
          <w:snapToGrid w:val="0"/>
          <w:sz w:val="26"/>
          <w:rtl/>
          <w:lang w:eastAsia="en-US"/>
        </w:rPr>
        <w:t>לשנות התקציב 2021 ו-2022), התשפ"ב-2021</w:t>
      </w:r>
      <w:r w:rsidRPr="00E814A0">
        <w:rPr>
          <w:rFonts w:ascii="Arial" w:eastAsia="Arial Unicode MS" w:hAnsi="Arial" w:cs="David" w:hint="cs"/>
          <w:noProof w:val="0"/>
          <w:snapToGrid w:val="0"/>
          <w:sz w:val="26"/>
          <w:rtl/>
          <w:lang w:eastAsia="en-US"/>
        </w:rPr>
        <w:t xml:space="preserve"> (להלן </w:t>
      </w:r>
      <w:r w:rsidRPr="00E814A0">
        <w:rPr>
          <w:rFonts w:ascii="Arial" w:eastAsia="Arial Unicode MS" w:hAnsi="Arial" w:cs="David"/>
          <w:noProof w:val="0"/>
          <w:snapToGrid w:val="0"/>
          <w:sz w:val="26"/>
          <w:rtl/>
          <w:lang w:eastAsia="en-US"/>
        </w:rPr>
        <w:t>–</w:t>
      </w:r>
      <w:r w:rsidRPr="00E814A0">
        <w:rPr>
          <w:rFonts w:ascii="Arial" w:eastAsia="Arial Unicode MS" w:hAnsi="Arial" w:cs="David" w:hint="cs"/>
          <w:noProof w:val="0"/>
          <w:snapToGrid w:val="0"/>
          <w:sz w:val="26"/>
          <w:rtl/>
          <w:lang w:eastAsia="en-US"/>
        </w:rPr>
        <w:t xml:space="preserve"> </w:t>
      </w:r>
      <w:r w:rsidRPr="00E814A0">
        <w:rPr>
          <w:rFonts w:ascii="Arial" w:eastAsia="Arial Unicode MS" w:hAnsi="Arial" w:cs="David" w:hint="cs"/>
          <w:b/>
          <w:bCs/>
          <w:noProof w:val="0"/>
          <w:snapToGrid w:val="0"/>
          <w:sz w:val="26"/>
          <w:rtl/>
          <w:lang w:eastAsia="en-US"/>
        </w:rPr>
        <w:t>חוק ההתייעלות הכלכלית</w:t>
      </w:r>
      <w:r w:rsidRPr="00E814A0">
        <w:rPr>
          <w:rFonts w:ascii="Arial" w:eastAsia="Arial Unicode MS" w:hAnsi="Arial" w:cs="David" w:hint="cs"/>
          <w:noProof w:val="0"/>
          <w:snapToGrid w:val="0"/>
          <w:sz w:val="26"/>
          <w:rtl/>
          <w:lang w:eastAsia="en-US"/>
        </w:rPr>
        <w:t xml:space="preserve">). פרק ג' לחוק ההתייעלות הכלכלית, שעניינו </w:t>
      </w:r>
      <w:r w:rsidRPr="00E814A0">
        <w:rPr>
          <w:rFonts w:ascii="Arial" w:eastAsia="Arial Unicode MS" w:hAnsi="Arial" w:cs="David"/>
          <w:noProof w:val="0"/>
          <w:snapToGrid w:val="0"/>
          <w:sz w:val="26"/>
          <w:rtl/>
          <w:lang w:eastAsia="en-US"/>
        </w:rPr>
        <w:t>הבטחת היציבות בתשואות קרנות</w:t>
      </w:r>
      <w:r w:rsidRPr="00E814A0">
        <w:rPr>
          <w:rFonts w:ascii="Arial" w:eastAsia="Arial Unicode MS" w:hAnsi="Arial" w:cs="David" w:hint="cs"/>
          <w:noProof w:val="0"/>
          <w:snapToGrid w:val="0"/>
          <w:sz w:val="26"/>
          <w:rtl/>
          <w:lang w:eastAsia="en-US"/>
        </w:rPr>
        <w:t xml:space="preserve"> </w:t>
      </w:r>
      <w:r w:rsidRPr="00E814A0">
        <w:rPr>
          <w:rFonts w:ascii="Arial" w:eastAsia="Arial Unicode MS" w:hAnsi="Arial" w:cs="David"/>
          <w:noProof w:val="0"/>
          <w:snapToGrid w:val="0"/>
          <w:sz w:val="26"/>
          <w:rtl/>
          <w:lang w:eastAsia="en-US"/>
        </w:rPr>
        <w:t>הפנסיה</w:t>
      </w:r>
      <w:r w:rsidRPr="00E814A0">
        <w:rPr>
          <w:rFonts w:ascii="Arial" w:eastAsia="Arial Unicode MS" w:hAnsi="Arial" w:cs="David" w:hint="cs"/>
          <w:noProof w:val="0"/>
          <w:snapToGrid w:val="0"/>
          <w:sz w:val="26"/>
          <w:rtl/>
          <w:lang w:eastAsia="en-US"/>
        </w:rPr>
        <w:t xml:space="preserve">, קבע כי </w:t>
      </w:r>
      <w:r w:rsidRPr="00E814A0">
        <w:rPr>
          <w:rFonts w:ascii="Arial" w:eastAsia="Arial Unicode MS" w:hAnsi="Arial" w:cs="David"/>
          <w:noProof w:val="0"/>
          <w:snapToGrid w:val="0"/>
          <w:sz w:val="26"/>
          <w:rtl/>
          <w:lang w:eastAsia="en-US"/>
        </w:rPr>
        <w:t xml:space="preserve">מנגנון איגרות החוב המיועדות </w:t>
      </w:r>
      <w:r w:rsidRPr="00E814A0">
        <w:rPr>
          <w:rFonts w:ascii="Arial" w:eastAsia="Arial Unicode MS" w:hAnsi="Arial" w:cs="David" w:hint="cs"/>
          <w:noProof w:val="0"/>
          <w:snapToGrid w:val="0"/>
          <w:sz w:val="26"/>
          <w:rtl/>
          <w:lang w:eastAsia="en-US"/>
        </w:rPr>
        <w:t xml:space="preserve">לקרנות הפנסיה החדשות ולקרנות הפנסיה הוותיקות יוחלף </w:t>
      </w:r>
      <w:r w:rsidRPr="00E814A0">
        <w:rPr>
          <w:rFonts w:ascii="Arial" w:eastAsia="Arial Unicode MS" w:hAnsi="Arial" w:cs="David"/>
          <w:noProof w:val="0"/>
          <w:snapToGrid w:val="0"/>
          <w:sz w:val="26"/>
          <w:rtl/>
          <w:lang w:eastAsia="en-US"/>
        </w:rPr>
        <w:t>במנגנון חדש של הבטח</w:t>
      </w:r>
      <w:r w:rsidRPr="00E814A0">
        <w:rPr>
          <w:rFonts w:ascii="Arial" w:eastAsia="Arial Unicode MS" w:hAnsi="Arial" w:cs="David" w:hint="cs"/>
          <w:noProof w:val="0"/>
          <w:snapToGrid w:val="0"/>
          <w:sz w:val="26"/>
          <w:rtl/>
          <w:lang w:eastAsia="en-US"/>
        </w:rPr>
        <w:t>ה להשלמת</w:t>
      </w:r>
      <w:r w:rsidRPr="00E814A0">
        <w:rPr>
          <w:rFonts w:ascii="Arial" w:eastAsia="Arial Unicode MS" w:hAnsi="Arial" w:cs="David"/>
          <w:noProof w:val="0"/>
          <w:snapToGrid w:val="0"/>
          <w:sz w:val="26"/>
          <w:rtl/>
          <w:lang w:eastAsia="en-US"/>
        </w:rPr>
        <w:t xml:space="preserve"> תשואה</w:t>
      </w:r>
      <w:r w:rsidRPr="00E814A0">
        <w:rPr>
          <w:rFonts w:ascii="Arial" w:eastAsia="Arial Unicode MS" w:hAnsi="Arial" w:cs="David" w:hint="cs"/>
          <w:noProof w:val="0"/>
          <w:snapToGrid w:val="0"/>
          <w:sz w:val="26"/>
          <w:rtl/>
          <w:lang w:eastAsia="en-US"/>
        </w:rPr>
        <w:t xml:space="preserve"> (להלן </w:t>
      </w:r>
      <w:r w:rsidRPr="00E814A0">
        <w:rPr>
          <w:rFonts w:ascii="Arial" w:eastAsia="Arial Unicode MS" w:hAnsi="Arial" w:cs="David"/>
          <w:noProof w:val="0"/>
          <w:snapToGrid w:val="0"/>
          <w:sz w:val="26"/>
          <w:rtl/>
          <w:lang w:eastAsia="en-US"/>
        </w:rPr>
        <w:t>–</w:t>
      </w:r>
      <w:r w:rsidRPr="00E814A0">
        <w:rPr>
          <w:rFonts w:ascii="Arial" w:eastAsia="Arial Unicode MS" w:hAnsi="Arial" w:cs="David" w:hint="cs"/>
          <w:noProof w:val="0"/>
          <w:snapToGrid w:val="0"/>
          <w:sz w:val="26"/>
          <w:rtl/>
          <w:lang w:eastAsia="en-US"/>
        </w:rPr>
        <w:t xml:space="preserve"> </w:t>
      </w:r>
      <w:r w:rsidRPr="00E814A0">
        <w:rPr>
          <w:rFonts w:ascii="Arial" w:eastAsia="Arial Unicode MS" w:hAnsi="Arial" w:cs="David" w:hint="cs"/>
          <w:b/>
          <w:bCs/>
          <w:noProof w:val="0"/>
          <w:snapToGrid w:val="0"/>
          <w:sz w:val="26"/>
          <w:rtl/>
          <w:lang w:eastAsia="en-US"/>
        </w:rPr>
        <w:t>הבטחת תשואה</w:t>
      </w:r>
      <w:r w:rsidRPr="00E814A0">
        <w:rPr>
          <w:rFonts w:ascii="Arial" w:eastAsia="Arial Unicode MS" w:hAnsi="Arial" w:cs="David" w:hint="cs"/>
          <w:noProof w:val="0"/>
          <w:snapToGrid w:val="0"/>
          <w:sz w:val="26"/>
          <w:rtl/>
          <w:lang w:eastAsia="en-US"/>
        </w:rPr>
        <w:t xml:space="preserve">). במסגרת הפרק האמור נקבע כי 30% מנכסי קרנות הפנסיה, אשר עד לחקיקת חוק ההתייעלות הכלכלית הושקעו באיגרות חוב מיועדות, יושקעו בהתאם למדיניות ההשקעה של מסלול ההשקעה בקרן בהתאם למנגנון שנקבע בחוק, וייהנו מזכאות להבטחת תשואה שנתית של 5.15%. </w:t>
      </w:r>
      <w:r w:rsidRPr="00E814A0">
        <w:rPr>
          <w:rFonts w:ascii="Arial" w:eastAsia="Arial Unicode MS" w:hAnsi="Arial" w:cs="David"/>
          <w:noProof w:val="0"/>
          <w:snapToGrid w:val="0"/>
          <w:sz w:val="26"/>
          <w:rtl/>
          <w:lang w:eastAsia="en-US"/>
        </w:rPr>
        <w:t xml:space="preserve">בנוסף </w:t>
      </w:r>
      <w:r w:rsidRPr="00E814A0">
        <w:rPr>
          <w:rFonts w:ascii="Arial" w:eastAsia="Arial Unicode MS" w:hAnsi="Arial" w:cs="David" w:hint="cs"/>
          <w:noProof w:val="0"/>
          <w:snapToGrid w:val="0"/>
          <w:sz w:val="26"/>
          <w:rtl/>
          <w:lang w:eastAsia="en-US"/>
        </w:rPr>
        <w:t>ל</w:t>
      </w:r>
      <w:r w:rsidRPr="00E814A0">
        <w:rPr>
          <w:rFonts w:ascii="Arial" w:eastAsia="Arial Unicode MS" w:hAnsi="Arial" w:cs="David"/>
          <w:noProof w:val="0"/>
          <w:snapToGrid w:val="0"/>
          <w:sz w:val="26"/>
          <w:rtl/>
          <w:lang w:eastAsia="en-US"/>
        </w:rPr>
        <w:t xml:space="preserve">כך נקבעו הוראות </w:t>
      </w:r>
      <w:r w:rsidRPr="00E814A0">
        <w:rPr>
          <w:rFonts w:ascii="Arial" w:eastAsia="Arial Unicode MS" w:hAnsi="Arial" w:cs="David" w:hint="cs"/>
          <w:noProof w:val="0"/>
          <w:snapToGrid w:val="0"/>
          <w:sz w:val="26"/>
          <w:rtl/>
          <w:lang w:eastAsia="en-US"/>
        </w:rPr>
        <w:t xml:space="preserve">של הממונה על השוק ההון </w:t>
      </w:r>
      <w:r w:rsidRPr="00E814A0">
        <w:rPr>
          <w:rFonts w:ascii="Arial" w:eastAsia="Arial Unicode MS" w:hAnsi="Arial" w:cs="David"/>
          <w:noProof w:val="0"/>
          <w:snapToGrid w:val="0"/>
          <w:sz w:val="26"/>
          <w:rtl/>
          <w:lang w:eastAsia="en-US"/>
        </w:rPr>
        <w:t xml:space="preserve">לעניין מסלול ברירת מחדל המותאם לגיל העמית (המודל </w:t>
      </w:r>
      <w:proofErr w:type="spellStart"/>
      <w:r w:rsidRPr="00E814A0">
        <w:rPr>
          <w:rFonts w:ascii="Arial" w:eastAsia="Arial Unicode MS" w:hAnsi="Arial" w:cs="David"/>
          <w:noProof w:val="0"/>
          <w:snapToGrid w:val="0"/>
          <w:sz w:val="26"/>
          <w:rtl/>
          <w:lang w:eastAsia="en-US"/>
        </w:rPr>
        <w:t>החכ"מ</w:t>
      </w:r>
      <w:proofErr w:type="spellEnd"/>
      <w:r w:rsidRPr="00E814A0">
        <w:rPr>
          <w:rFonts w:ascii="Arial" w:eastAsia="Arial Unicode MS" w:hAnsi="Arial" w:cs="David"/>
          <w:noProof w:val="0"/>
          <w:snapToGrid w:val="0"/>
          <w:sz w:val="26"/>
          <w:rtl/>
          <w:lang w:eastAsia="en-US"/>
        </w:rPr>
        <w:t xml:space="preserve">), וכן נכנסה לתוקף הרפורמה במסלולי ההשקעה שהביאה להרחבת מגוון המסלולים המתמחים ועוד. </w:t>
      </w:r>
    </w:p>
    <w:p w14:paraId="2A7AFC26" w14:textId="77777777" w:rsidR="009A6498" w:rsidRPr="00E814A0" w:rsidRDefault="009A6498" w:rsidP="009A6498">
      <w:pPr>
        <w:pStyle w:val="P00"/>
        <w:tabs>
          <w:tab w:val="clear" w:pos="6259"/>
        </w:tabs>
        <w:spacing w:before="72" w:line="360" w:lineRule="auto"/>
        <w:ind w:left="0"/>
        <w:rPr>
          <w:rFonts w:ascii="Arial" w:eastAsia="Arial Unicode MS" w:hAnsi="Arial" w:cs="David"/>
          <w:noProof w:val="0"/>
          <w:snapToGrid w:val="0"/>
          <w:sz w:val="26"/>
          <w:rtl/>
          <w:lang w:eastAsia="en-US"/>
        </w:rPr>
      </w:pPr>
      <w:r w:rsidRPr="00E814A0">
        <w:rPr>
          <w:rFonts w:ascii="Arial" w:eastAsia="Arial Unicode MS" w:hAnsi="Arial" w:cs="David"/>
          <w:noProof w:val="0"/>
          <w:snapToGrid w:val="0"/>
          <w:sz w:val="26"/>
          <w:rtl/>
          <w:lang w:eastAsia="en-US"/>
        </w:rPr>
        <w:t>לאור התפתחויות מהותיות אלה והשפעותיהן על שוק החיסכון הפנסיוני בכלל ו</w:t>
      </w:r>
      <w:r w:rsidRPr="00E814A0">
        <w:rPr>
          <w:rFonts w:ascii="Arial" w:eastAsia="Arial Unicode MS" w:hAnsi="Arial" w:cs="David" w:hint="cs"/>
          <w:noProof w:val="0"/>
          <w:snapToGrid w:val="0"/>
          <w:sz w:val="26"/>
          <w:rtl/>
          <w:lang w:eastAsia="en-US"/>
        </w:rPr>
        <w:t xml:space="preserve">על </w:t>
      </w:r>
      <w:r w:rsidRPr="00E814A0">
        <w:rPr>
          <w:rFonts w:ascii="Arial" w:eastAsia="Arial Unicode MS" w:hAnsi="Arial" w:cs="David"/>
          <w:noProof w:val="0"/>
          <w:snapToGrid w:val="0"/>
          <w:sz w:val="26"/>
          <w:rtl/>
          <w:lang w:eastAsia="en-US"/>
        </w:rPr>
        <w:t xml:space="preserve">החוסכים בפרט, </w:t>
      </w:r>
      <w:r w:rsidRPr="00E814A0">
        <w:rPr>
          <w:rFonts w:ascii="Arial" w:eastAsia="Arial Unicode MS" w:hAnsi="Arial" w:cs="David" w:hint="cs"/>
          <w:noProof w:val="0"/>
          <w:snapToGrid w:val="0"/>
          <w:sz w:val="26"/>
          <w:rtl/>
          <w:lang w:eastAsia="en-US"/>
        </w:rPr>
        <w:t xml:space="preserve">מוצע </w:t>
      </w:r>
      <w:r w:rsidRPr="00E814A0">
        <w:rPr>
          <w:rFonts w:ascii="Arial" w:eastAsia="Arial Unicode MS" w:hAnsi="Arial" w:cs="David"/>
          <w:noProof w:val="0"/>
          <w:snapToGrid w:val="0"/>
          <w:sz w:val="26"/>
          <w:rtl/>
          <w:lang w:eastAsia="en-US"/>
        </w:rPr>
        <w:t>לבצע התאמה של הוראות התקנות</w:t>
      </w:r>
      <w:r w:rsidRPr="00E814A0">
        <w:rPr>
          <w:rFonts w:ascii="Arial" w:eastAsia="Arial Unicode MS" w:hAnsi="Arial" w:cs="David" w:hint="cs"/>
          <w:noProof w:val="0"/>
          <w:snapToGrid w:val="0"/>
          <w:sz w:val="26"/>
          <w:rtl/>
          <w:lang w:eastAsia="en-US"/>
        </w:rPr>
        <w:t xml:space="preserve">, ולקבוע כי יש לעדכן את קבוצות ההקצאה ושיעור ההקצאה המגיע לכל קבוצה. בהתאם לשינוי המוצע תינתן הקצאה של </w:t>
      </w:r>
      <w:r w:rsidRPr="00E814A0">
        <w:rPr>
          <w:rFonts w:ascii="Arial" w:eastAsia="Arial Unicode MS" w:hAnsi="Arial" w:cs="David"/>
          <w:noProof w:val="0"/>
          <w:snapToGrid w:val="0"/>
          <w:sz w:val="26"/>
          <w:rtl/>
          <w:lang w:eastAsia="en-US"/>
        </w:rPr>
        <w:t xml:space="preserve">הבטחת תשואה </w:t>
      </w:r>
      <w:r w:rsidRPr="00E814A0">
        <w:rPr>
          <w:rFonts w:ascii="Arial" w:eastAsia="Arial Unicode MS" w:hAnsi="Arial" w:cs="David" w:hint="cs"/>
          <w:noProof w:val="0"/>
          <w:snapToGrid w:val="0"/>
          <w:sz w:val="26"/>
          <w:rtl/>
          <w:lang w:eastAsia="en-US"/>
        </w:rPr>
        <w:t>בשיעור 40</w:t>
      </w:r>
      <w:r w:rsidRPr="00E814A0">
        <w:rPr>
          <w:rFonts w:ascii="Arial" w:eastAsia="Arial Unicode MS" w:hAnsi="Arial" w:cs="David"/>
          <w:noProof w:val="0"/>
          <w:snapToGrid w:val="0"/>
          <w:sz w:val="26"/>
          <w:rtl/>
          <w:lang w:eastAsia="en-US"/>
        </w:rPr>
        <w:t xml:space="preserve">% </w:t>
      </w:r>
      <w:r w:rsidRPr="00E814A0">
        <w:rPr>
          <w:rFonts w:ascii="Arial" w:eastAsia="Arial Unicode MS" w:hAnsi="Arial" w:cs="David" w:hint="cs"/>
          <w:noProof w:val="0"/>
          <w:snapToGrid w:val="0"/>
          <w:sz w:val="26"/>
          <w:rtl/>
          <w:lang w:eastAsia="en-US"/>
        </w:rPr>
        <w:t>לגבי עמיתים בני 60 ומעלה החוסכים ב</w:t>
      </w:r>
      <w:r w:rsidRPr="00E814A0">
        <w:rPr>
          <w:rFonts w:ascii="Arial" w:eastAsia="Arial Unicode MS" w:hAnsi="Arial" w:cs="David" w:hint="eastAsia"/>
          <w:noProof w:val="0"/>
          <w:snapToGrid w:val="0"/>
          <w:sz w:val="26"/>
          <w:rtl/>
          <w:lang w:eastAsia="en-US"/>
        </w:rPr>
        <w:t>מסלול</w:t>
      </w:r>
      <w:r w:rsidRPr="00E814A0">
        <w:rPr>
          <w:rFonts w:ascii="Arial" w:eastAsia="Arial Unicode MS" w:hAnsi="Arial" w:cs="David"/>
          <w:noProof w:val="0"/>
          <w:snapToGrid w:val="0"/>
          <w:sz w:val="26"/>
          <w:rtl/>
          <w:lang w:eastAsia="en-US"/>
        </w:rPr>
        <w:t xml:space="preserve"> תלוי גיל </w:t>
      </w:r>
      <w:r w:rsidRPr="00E814A0">
        <w:rPr>
          <w:rFonts w:ascii="Arial" w:eastAsia="Arial Unicode MS" w:hAnsi="Arial" w:cs="David" w:hint="cs"/>
          <w:noProof w:val="0"/>
          <w:snapToGrid w:val="0"/>
          <w:sz w:val="26"/>
          <w:rtl/>
          <w:lang w:eastAsia="en-US"/>
        </w:rPr>
        <w:t xml:space="preserve">המותאם לגילם, </w:t>
      </w:r>
      <w:r w:rsidRPr="00E814A0">
        <w:rPr>
          <w:rFonts w:ascii="Arial" w:eastAsia="Arial Unicode MS" w:hAnsi="Arial" w:cs="David" w:hint="eastAsia"/>
          <w:noProof w:val="0"/>
          <w:snapToGrid w:val="0"/>
          <w:sz w:val="26"/>
          <w:rtl/>
          <w:lang w:eastAsia="en-US"/>
        </w:rPr>
        <w:t>המסלול</w:t>
      </w:r>
      <w:r w:rsidRPr="00E814A0">
        <w:rPr>
          <w:rFonts w:ascii="Arial" w:eastAsia="Arial Unicode MS" w:hAnsi="Arial" w:cs="David"/>
          <w:noProof w:val="0"/>
          <w:snapToGrid w:val="0"/>
          <w:sz w:val="26"/>
          <w:rtl/>
          <w:lang w:eastAsia="en-US"/>
        </w:rPr>
        <w:t xml:space="preserve"> הכללי</w:t>
      </w:r>
      <w:r w:rsidRPr="00E814A0">
        <w:rPr>
          <w:rFonts w:ascii="Arial" w:eastAsia="Arial Unicode MS" w:hAnsi="Arial" w:cs="David" w:hint="cs"/>
          <w:noProof w:val="0"/>
          <w:snapToGrid w:val="0"/>
          <w:sz w:val="26"/>
          <w:rtl/>
          <w:lang w:eastAsia="en-US"/>
        </w:rPr>
        <w:t xml:space="preserve">, מסלול הלכה </w:t>
      </w:r>
      <w:r w:rsidRPr="00E814A0">
        <w:rPr>
          <w:rFonts w:ascii="Arial" w:eastAsia="Arial Unicode MS" w:hAnsi="Arial" w:cs="David"/>
          <w:noProof w:val="0"/>
          <w:snapToGrid w:val="0"/>
          <w:sz w:val="26"/>
          <w:rtl/>
          <w:lang w:eastAsia="en-US"/>
        </w:rPr>
        <w:t xml:space="preserve">ומסלולי השקעה מתמחים שיאושרו על ידי הממונה. </w:t>
      </w:r>
      <w:r w:rsidRPr="00E814A0">
        <w:rPr>
          <w:rFonts w:ascii="Arial" w:eastAsia="Arial Unicode MS" w:hAnsi="Arial" w:cs="David" w:hint="cs"/>
          <w:noProof w:val="0"/>
          <w:snapToGrid w:val="0"/>
          <w:sz w:val="26"/>
          <w:rtl/>
          <w:lang w:eastAsia="en-US"/>
        </w:rPr>
        <w:t xml:space="preserve">יצוין כי בכוונת הממונה לאשר לפחות שני מסלולי השקעה מתמחים </w:t>
      </w:r>
      <w:r>
        <w:rPr>
          <w:rFonts w:ascii="Arial" w:eastAsia="Arial Unicode MS" w:hAnsi="Arial" w:cs="David" w:hint="cs"/>
          <w:noProof w:val="0"/>
          <w:snapToGrid w:val="0"/>
          <w:sz w:val="26"/>
          <w:rtl/>
          <w:lang w:eastAsia="en-US"/>
        </w:rPr>
        <w:t xml:space="preserve">שעמיתים בגיל 60 ומעלה החוסכים בהם יהיו זכאים להבטחת תשואה שיעור של 40%. </w:t>
      </w:r>
    </w:p>
    <w:p w14:paraId="4B27F5A0" w14:textId="77777777" w:rsidR="009A6498" w:rsidRPr="00E814A0" w:rsidRDefault="009A6498" w:rsidP="009A6498">
      <w:pPr>
        <w:pStyle w:val="P00"/>
        <w:tabs>
          <w:tab w:val="clear" w:pos="6259"/>
        </w:tabs>
        <w:spacing w:before="72" w:line="360" w:lineRule="auto"/>
        <w:ind w:left="0"/>
        <w:rPr>
          <w:rFonts w:ascii="Arial" w:eastAsia="Arial Unicode MS" w:hAnsi="Arial" w:cs="David"/>
          <w:noProof w:val="0"/>
          <w:snapToGrid w:val="0"/>
          <w:sz w:val="26"/>
          <w:rtl/>
          <w:lang w:eastAsia="en-US"/>
        </w:rPr>
      </w:pPr>
      <w:r w:rsidRPr="00E814A0">
        <w:rPr>
          <w:rFonts w:ascii="Arial" w:eastAsia="Arial Unicode MS" w:hAnsi="Arial" w:cs="David"/>
          <w:noProof w:val="0"/>
          <w:snapToGrid w:val="0"/>
          <w:sz w:val="26"/>
          <w:rtl/>
          <w:lang w:eastAsia="en-US"/>
        </w:rPr>
        <w:t xml:space="preserve">להשלמת המהלך של תיקון התקנות כאמור, </w:t>
      </w:r>
      <w:r w:rsidRPr="00E814A0">
        <w:rPr>
          <w:rFonts w:ascii="Arial" w:eastAsia="Arial Unicode MS" w:hAnsi="Arial" w:cs="David" w:hint="cs"/>
          <w:noProof w:val="0"/>
          <w:snapToGrid w:val="0"/>
          <w:sz w:val="26"/>
          <w:rtl/>
          <w:lang w:eastAsia="en-US"/>
        </w:rPr>
        <w:t xml:space="preserve">מובאת במקביל טיוטת </w:t>
      </w:r>
      <w:r w:rsidRPr="00391818">
        <w:rPr>
          <w:rFonts w:ascii="Arial" w:eastAsia="Arial Unicode MS" w:hAnsi="Arial" w:cs="David"/>
          <w:noProof w:val="0"/>
          <w:snapToGrid w:val="0"/>
          <w:sz w:val="26"/>
          <w:rtl/>
          <w:lang w:eastAsia="en-US"/>
        </w:rPr>
        <w:t>תקנות הפיקוח על שירותים פיננסיים (קופות גמל) (העברת עמיתים בקרן חדשה מקיפה במסלול ברירת מחדל 60 ומעלה למסלולים המותאם לגילם), התשפ"ה-2024</w:t>
      </w:r>
      <w:r w:rsidRPr="00E814A0">
        <w:rPr>
          <w:rFonts w:ascii="Arial" w:eastAsia="Arial Unicode MS" w:hAnsi="Arial" w:cs="David" w:hint="cs"/>
          <w:noProof w:val="0"/>
          <w:snapToGrid w:val="0"/>
          <w:sz w:val="26"/>
          <w:rtl/>
          <w:lang w:eastAsia="en-US"/>
        </w:rPr>
        <w:t xml:space="preserve">, </w:t>
      </w:r>
      <w:r w:rsidRPr="00AA5A19">
        <w:rPr>
          <w:rFonts w:ascii="Arial" w:eastAsia="Arial Unicode MS" w:hAnsi="Arial" w:cs="David" w:hint="cs"/>
          <w:noProof w:val="0"/>
          <w:snapToGrid w:val="0"/>
          <w:sz w:val="26"/>
          <w:rtl/>
          <w:lang w:eastAsia="en-US"/>
        </w:rPr>
        <w:t xml:space="preserve">במסגרתן </w:t>
      </w:r>
      <w:r w:rsidRPr="00AA5A19">
        <w:rPr>
          <w:rFonts w:ascii="Arial" w:eastAsia="Arial Unicode MS" w:hAnsi="Arial" w:cs="David"/>
          <w:noProof w:val="0"/>
          <w:snapToGrid w:val="0"/>
          <w:sz w:val="26"/>
          <w:rtl/>
          <w:lang w:eastAsia="en-US"/>
        </w:rPr>
        <w:t>מוצע לקבוע שלא יתאפשר לעמית שטרם מלאו לו 60 להצטרף למסלול ברירת מחדל לבני 60 ומעלה, וכן לקבוע כי כספיו של עמית שטרם מלאו לו 60 שנכון להיום משקיע במסלול ברירת מחדל לבני 60 ומעלה, שאינו מותאם לגילו יועבר למסלול המותאם לגילו.</w:t>
      </w:r>
    </w:p>
    <w:p w14:paraId="5706E153" w14:textId="77777777" w:rsidR="009A6498" w:rsidRPr="00E1507B" w:rsidRDefault="009A6498" w:rsidP="009A6498">
      <w:pPr>
        <w:pStyle w:val="P00"/>
        <w:tabs>
          <w:tab w:val="clear" w:pos="6259"/>
        </w:tabs>
        <w:spacing w:before="72" w:line="360" w:lineRule="auto"/>
        <w:ind w:left="0" w:right="1134"/>
        <w:rPr>
          <w:rFonts w:ascii="David" w:hAnsi="David" w:cs="David"/>
        </w:rPr>
      </w:pPr>
    </w:p>
    <w:p w14:paraId="3DFF2410" w14:textId="77777777" w:rsidR="009A6498" w:rsidRPr="00180AAD" w:rsidRDefault="009A6498" w:rsidP="009A6498">
      <w:pPr>
        <w:ind w:left="0"/>
        <w:rPr>
          <w:b/>
          <w:bCs/>
          <w:sz w:val="26"/>
          <w:szCs w:val="26"/>
          <w:rtl/>
        </w:rPr>
      </w:pPr>
      <w:r w:rsidRPr="00180AAD">
        <w:rPr>
          <w:rFonts w:hint="eastAsia"/>
          <w:b/>
          <w:bCs/>
          <w:sz w:val="26"/>
          <w:szCs w:val="26"/>
          <w:rtl/>
        </w:rPr>
        <w:t>לתקנה</w:t>
      </w:r>
      <w:r w:rsidRPr="00180AAD">
        <w:rPr>
          <w:b/>
          <w:bCs/>
          <w:sz w:val="26"/>
          <w:szCs w:val="26"/>
          <w:rtl/>
        </w:rPr>
        <w:t xml:space="preserve"> 1</w:t>
      </w:r>
    </w:p>
    <w:p w14:paraId="00175DC5" w14:textId="77777777" w:rsidR="009A6498" w:rsidRPr="00E1507B" w:rsidRDefault="009A6498" w:rsidP="009A6498">
      <w:pPr>
        <w:ind w:left="0"/>
        <w:rPr>
          <w:sz w:val="26"/>
          <w:szCs w:val="26"/>
          <w:rtl/>
        </w:rPr>
      </w:pPr>
      <w:r w:rsidRPr="000E5E0B">
        <w:rPr>
          <w:rFonts w:eastAsia="Times New Roman" w:hint="eastAsia"/>
          <w:noProof/>
          <w:sz w:val="20"/>
          <w:szCs w:val="26"/>
          <w:rtl/>
          <w:lang w:eastAsia="he-IL"/>
        </w:rPr>
        <w:t>מוצע</w:t>
      </w:r>
      <w:r w:rsidRPr="000E5E0B">
        <w:rPr>
          <w:rFonts w:eastAsia="Times New Roman"/>
          <w:noProof/>
          <w:sz w:val="20"/>
          <w:szCs w:val="26"/>
          <w:rtl/>
          <w:lang w:eastAsia="he-IL"/>
        </w:rPr>
        <w:t xml:space="preserve"> לעדכן את אופן הקצאת הבטחת התשואה בין מסלולי ההשקעה השונים כך שההקצאה של </w:t>
      </w:r>
      <w:r>
        <w:rPr>
          <w:rFonts w:eastAsia="Times New Roman" w:hint="cs"/>
          <w:noProof/>
          <w:sz w:val="20"/>
          <w:szCs w:val="26"/>
          <w:rtl/>
          <w:lang w:eastAsia="he-IL"/>
        </w:rPr>
        <w:t>40</w:t>
      </w:r>
      <w:r w:rsidRPr="000E5E0B">
        <w:rPr>
          <w:rFonts w:eastAsia="Times New Roman"/>
          <w:noProof/>
          <w:sz w:val="20"/>
          <w:szCs w:val="26"/>
          <w:rtl/>
          <w:lang w:eastAsia="he-IL"/>
        </w:rPr>
        <w:t xml:space="preserve">% הבטחת תשואה </w:t>
      </w:r>
      <w:r w:rsidRPr="000E5E0B">
        <w:rPr>
          <w:rFonts w:eastAsia="Times New Roman" w:hint="eastAsia"/>
          <w:noProof/>
          <w:sz w:val="20"/>
          <w:szCs w:val="26"/>
          <w:rtl/>
          <w:lang w:eastAsia="he-IL"/>
        </w:rPr>
        <w:t>תחול</w:t>
      </w:r>
      <w:r w:rsidRPr="000E5E0B">
        <w:rPr>
          <w:rFonts w:eastAsia="Times New Roman"/>
          <w:noProof/>
          <w:sz w:val="20"/>
          <w:szCs w:val="26"/>
          <w:rtl/>
          <w:lang w:eastAsia="he-IL"/>
        </w:rPr>
        <w:t xml:space="preserve"> רק </w:t>
      </w:r>
      <w:r>
        <w:rPr>
          <w:rFonts w:eastAsia="Times New Roman" w:hint="cs"/>
          <w:noProof/>
          <w:sz w:val="20"/>
          <w:szCs w:val="26"/>
          <w:rtl/>
          <w:lang w:eastAsia="he-IL"/>
        </w:rPr>
        <w:t xml:space="preserve">לגבי עמיתים בני 60 ומעלה החוסכים </w:t>
      </w:r>
      <w:r w:rsidRPr="00E814A0">
        <w:rPr>
          <w:rFonts w:eastAsia="Times New Roman"/>
          <w:noProof/>
          <w:sz w:val="20"/>
          <w:szCs w:val="26"/>
          <w:rtl/>
          <w:lang w:eastAsia="he-IL"/>
        </w:rPr>
        <w:t>במסלול תלוי גיל המותאם לגילם, המסלול הכללי, מסלול הלכה ומסלולי השקעה מתמחים שיאושרו על ידי הממונה</w:t>
      </w:r>
      <w:r w:rsidRPr="000E5E0B">
        <w:rPr>
          <w:rFonts w:eastAsia="Times New Roman"/>
          <w:noProof/>
          <w:sz w:val="20"/>
          <w:szCs w:val="26"/>
          <w:rtl/>
          <w:lang w:eastAsia="he-IL"/>
        </w:rPr>
        <w:t xml:space="preserve">. </w:t>
      </w:r>
    </w:p>
    <w:p w14:paraId="1B750DE2" w14:textId="77777777" w:rsidR="009A6498" w:rsidRPr="0019287A" w:rsidRDefault="009A6498" w:rsidP="009A6498">
      <w:pPr>
        <w:ind w:left="0"/>
        <w:rPr>
          <w:sz w:val="26"/>
          <w:szCs w:val="26"/>
          <w:rtl/>
        </w:rPr>
      </w:pPr>
      <w:r w:rsidRPr="0019287A">
        <w:rPr>
          <w:rFonts w:hint="cs"/>
          <w:sz w:val="26"/>
          <w:szCs w:val="26"/>
          <w:rtl/>
        </w:rPr>
        <w:t xml:space="preserve">לצורך כך, מוצע לבצע </w:t>
      </w:r>
      <w:r w:rsidRPr="00E814A0">
        <w:rPr>
          <w:rFonts w:eastAsia="Times New Roman" w:hint="cs"/>
          <w:noProof/>
          <w:sz w:val="20"/>
          <w:szCs w:val="26"/>
          <w:rtl/>
          <w:lang w:eastAsia="he-IL"/>
        </w:rPr>
        <w:t>מספר</w:t>
      </w:r>
      <w:r w:rsidRPr="0019287A">
        <w:rPr>
          <w:rFonts w:hint="cs"/>
          <w:sz w:val="26"/>
          <w:szCs w:val="26"/>
          <w:rtl/>
        </w:rPr>
        <w:t xml:space="preserve"> תיקונים בחלק מההגדרות ולהוסיף הגדרות חדשות.</w:t>
      </w:r>
    </w:p>
    <w:p w14:paraId="74A25D3C" w14:textId="77777777" w:rsidR="009A6498" w:rsidRDefault="009A6498" w:rsidP="009A6498">
      <w:pPr>
        <w:pStyle w:val="af4"/>
        <w:spacing w:before="240" w:line="360" w:lineRule="auto"/>
        <w:ind w:left="0"/>
        <w:rPr>
          <w:sz w:val="26"/>
          <w:szCs w:val="26"/>
          <w:rtl/>
        </w:rPr>
      </w:pPr>
      <w:r w:rsidRPr="0019287A">
        <w:rPr>
          <w:rFonts w:hint="cs"/>
          <w:sz w:val="26"/>
          <w:szCs w:val="26"/>
          <w:rtl/>
        </w:rPr>
        <w:t>כך, מוצע להוסיף את הגדרות המונחים "מסלול ברירת מחדל"</w:t>
      </w:r>
      <w:r>
        <w:rPr>
          <w:rFonts w:hint="cs"/>
          <w:sz w:val="26"/>
          <w:szCs w:val="26"/>
          <w:rtl/>
        </w:rPr>
        <w:t xml:space="preserve">, </w:t>
      </w:r>
      <w:r w:rsidRPr="0019287A">
        <w:rPr>
          <w:rFonts w:hint="cs"/>
          <w:sz w:val="26"/>
          <w:szCs w:val="26"/>
          <w:rtl/>
        </w:rPr>
        <w:t xml:space="preserve">"מסלול </w:t>
      </w:r>
      <w:r>
        <w:rPr>
          <w:rFonts w:hint="cs"/>
          <w:sz w:val="26"/>
          <w:szCs w:val="26"/>
          <w:rtl/>
        </w:rPr>
        <w:t xml:space="preserve">השקעה </w:t>
      </w:r>
      <w:r w:rsidRPr="0019287A">
        <w:rPr>
          <w:rFonts w:hint="cs"/>
          <w:sz w:val="26"/>
          <w:szCs w:val="26"/>
          <w:rtl/>
        </w:rPr>
        <w:t>כללי"</w:t>
      </w:r>
      <w:r>
        <w:rPr>
          <w:rFonts w:hint="cs"/>
          <w:sz w:val="26"/>
          <w:szCs w:val="26"/>
          <w:rtl/>
        </w:rPr>
        <w:t>, "מסלול השקעה הלכה" ו-"מסלול השקעה מתמחה לגיל 60 ומעלה"</w:t>
      </w:r>
      <w:r w:rsidRPr="0019287A">
        <w:rPr>
          <w:rFonts w:hint="cs"/>
          <w:sz w:val="26"/>
          <w:szCs w:val="26"/>
          <w:rtl/>
        </w:rPr>
        <w:t xml:space="preserve"> </w:t>
      </w:r>
      <w:r w:rsidRPr="00B05BE1">
        <w:rPr>
          <w:rFonts w:ascii="Times New Roman" w:eastAsia="Times New Roman" w:hAnsi="Times New Roman" w:hint="cs"/>
          <w:noProof/>
          <w:sz w:val="26"/>
          <w:szCs w:val="26"/>
          <w:rtl/>
        </w:rPr>
        <w:t>שכיום אינם מוגדרים בתקנות</w:t>
      </w:r>
      <w:r w:rsidRPr="0019287A">
        <w:rPr>
          <w:rFonts w:hint="cs"/>
          <w:sz w:val="26"/>
          <w:szCs w:val="26"/>
          <w:rtl/>
        </w:rPr>
        <w:t xml:space="preserve">. </w:t>
      </w:r>
      <w:r w:rsidRPr="00B05BE1">
        <w:rPr>
          <w:sz w:val="26"/>
          <w:szCs w:val="26"/>
          <w:rtl/>
        </w:rPr>
        <w:t xml:space="preserve">כן מוצע לעדכן את ההגדרה "מסלול השקעה" ולהוסיף לה </w:t>
      </w:r>
      <w:r w:rsidRPr="0019287A">
        <w:rPr>
          <w:rFonts w:hint="cs"/>
          <w:sz w:val="26"/>
          <w:szCs w:val="26"/>
          <w:rtl/>
        </w:rPr>
        <w:t>את ה</w:t>
      </w:r>
      <w:r w:rsidRPr="00B05BE1">
        <w:rPr>
          <w:sz w:val="26"/>
          <w:szCs w:val="26"/>
          <w:rtl/>
        </w:rPr>
        <w:t>הגדרה</w:t>
      </w:r>
      <w:r w:rsidRPr="0019287A">
        <w:rPr>
          <w:rFonts w:hint="cs"/>
          <w:sz w:val="26"/>
          <w:szCs w:val="26"/>
          <w:rtl/>
        </w:rPr>
        <w:t xml:space="preserve"> </w:t>
      </w:r>
      <w:r w:rsidRPr="00B05BE1">
        <w:rPr>
          <w:sz w:val="26"/>
          <w:szCs w:val="26"/>
          <w:rtl/>
        </w:rPr>
        <w:t>"מסלול השקעה</w:t>
      </w:r>
      <w:r>
        <w:rPr>
          <w:rFonts w:hint="cs"/>
          <w:sz w:val="26"/>
          <w:szCs w:val="26"/>
          <w:rtl/>
        </w:rPr>
        <w:t>"</w:t>
      </w:r>
      <w:r w:rsidRPr="00B05BE1">
        <w:rPr>
          <w:sz w:val="26"/>
          <w:szCs w:val="26"/>
          <w:rtl/>
        </w:rPr>
        <w:t xml:space="preserve"> מתמחה בהתאם לתקנות הפיקוח על שירותים פיננסיים (קופות גמל) (כללי השקעה החלים על גופים מוסדיים), התשע"ב-2012</w:t>
      </w:r>
      <w:r w:rsidRPr="00B05BE1">
        <w:rPr>
          <w:rStyle w:val="default"/>
          <w:rFonts w:ascii="David" w:hAnsi="David" w:cs="David"/>
          <w:rtl/>
        </w:rPr>
        <w:t xml:space="preserve">. </w:t>
      </w:r>
      <w:r w:rsidRPr="0019287A">
        <w:rPr>
          <w:rFonts w:hint="cs"/>
          <w:sz w:val="26"/>
          <w:szCs w:val="26"/>
          <w:rtl/>
        </w:rPr>
        <w:t xml:space="preserve">כן מוצע </w:t>
      </w:r>
      <w:r>
        <w:rPr>
          <w:rFonts w:hint="cs"/>
          <w:sz w:val="26"/>
          <w:szCs w:val="26"/>
          <w:rtl/>
        </w:rPr>
        <w:t xml:space="preserve">להחליף </w:t>
      </w:r>
      <w:r w:rsidRPr="0019287A">
        <w:rPr>
          <w:rFonts w:hint="cs"/>
          <w:sz w:val="26"/>
          <w:szCs w:val="26"/>
          <w:rtl/>
        </w:rPr>
        <w:t>את ה</w:t>
      </w:r>
      <w:r w:rsidRPr="00B05BE1">
        <w:rPr>
          <w:sz w:val="26"/>
          <w:szCs w:val="26"/>
          <w:rtl/>
        </w:rPr>
        <w:t xml:space="preserve">הגדרה </w:t>
      </w:r>
      <w:r>
        <w:rPr>
          <w:rFonts w:hint="cs"/>
          <w:sz w:val="26"/>
          <w:szCs w:val="26"/>
          <w:rtl/>
        </w:rPr>
        <w:t xml:space="preserve">של </w:t>
      </w:r>
      <w:r w:rsidRPr="0019287A">
        <w:rPr>
          <w:rFonts w:hint="cs"/>
          <w:sz w:val="26"/>
          <w:szCs w:val="26"/>
          <w:rtl/>
        </w:rPr>
        <w:t xml:space="preserve">"עמית בגיל 50 ומעלה" </w:t>
      </w:r>
      <w:r>
        <w:rPr>
          <w:rFonts w:hint="cs"/>
          <w:sz w:val="26"/>
          <w:szCs w:val="26"/>
          <w:rtl/>
        </w:rPr>
        <w:t xml:space="preserve">ל-"עמית בגיל 60 ומעלה" ולהתאימה </w:t>
      </w:r>
      <w:r w:rsidRPr="00B05BE1">
        <w:rPr>
          <w:rFonts w:ascii="Times New Roman" w:eastAsia="Times New Roman" w:hAnsi="Times New Roman" w:hint="cs"/>
          <w:noProof/>
          <w:sz w:val="26"/>
          <w:szCs w:val="26"/>
          <w:rtl/>
        </w:rPr>
        <w:t xml:space="preserve">להגדרות שעודכנו לעיל. </w:t>
      </w:r>
      <w:r w:rsidRPr="0019287A">
        <w:rPr>
          <w:rFonts w:hint="cs"/>
          <w:sz w:val="26"/>
          <w:szCs w:val="26"/>
          <w:rtl/>
        </w:rPr>
        <w:t xml:space="preserve"> </w:t>
      </w:r>
    </w:p>
    <w:p w14:paraId="13DFAEE0" w14:textId="77777777" w:rsidR="009A6498" w:rsidRDefault="009A6498" w:rsidP="009A6498">
      <w:pPr>
        <w:pStyle w:val="af4"/>
        <w:spacing w:before="240" w:line="360" w:lineRule="auto"/>
        <w:ind w:left="0"/>
        <w:rPr>
          <w:b/>
          <w:bCs/>
          <w:sz w:val="26"/>
          <w:szCs w:val="26"/>
          <w:rtl/>
        </w:rPr>
      </w:pPr>
      <w:r w:rsidRPr="00E814A0">
        <w:rPr>
          <w:rFonts w:hint="cs"/>
          <w:b/>
          <w:bCs/>
          <w:sz w:val="26"/>
          <w:szCs w:val="26"/>
          <w:rtl/>
        </w:rPr>
        <w:t>לתקנה 2</w:t>
      </w:r>
    </w:p>
    <w:p w14:paraId="07448665" w14:textId="77777777" w:rsidR="009A6498" w:rsidRPr="00E814A0" w:rsidRDefault="009A6498" w:rsidP="009A6498">
      <w:pPr>
        <w:pStyle w:val="af4"/>
        <w:spacing w:before="240" w:line="360" w:lineRule="auto"/>
        <w:ind w:left="0"/>
        <w:rPr>
          <w:sz w:val="26"/>
          <w:szCs w:val="26"/>
          <w:rtl/>
        </w:rPr>
      </w:pPr>
      <w:r w:rsidRPr="00E814A0">
        <w:rPr>
          <w:rFonts w:hint="cs"/>
          <w:sz w:val="26"/>
          <w:szCs w:val="26"/>
          <w:rtl/>
        </w:rPr>
        <w:t xml:space="preserve">נוכח השינוי המוצע, מוצע להחליף בכל </w:t>
      </w:r>
      <w:r>
        <w:rPr>
          <w:rFonts w:hint="cs"/>
          <w:sz w:val="26"/>
          <w:szCs w:val="26"/>
          <w:rtl/>
        </w:rPr>
        <w:t>מקום ב</w:t>
      </w:r>
      <w:r w:rsidRPr="00E814A0">
        <w:rPr>
          <w:rFonts w:hint="cs"/>
          <w:sz w:val="26"/>
          <w:szCs w:val="26"/>
          <w:rtl/>
        </w:rPr>
        <w:t xml:space="preserve">תקנות את המונח </w:t>
      </w:r>
      <w:r>
        <w:rPr>
          <w:rFonts w:hint="cs"/>
          <w:sz w:val="26"/>
          <w:szCs w:val="26"/>
          <w:rtl/>
        </w:rPr>
        <w:t>"</w:t>
      </w:r>
      <w:r w:rsidRPr="00E814A0">
        <w:rPr>
          <w:rFonts w:hint="cs"/>
          <w:sz w:val="26"/>
          <w:szCs w:val="26"/>
          <w:rtl/>
        </w:rPr>
        <w:t>50</w:t>
      </w:r>
      <w:r>
        <w:rPr>
          <w:rFonts w:hint="cs"/>
          <w:sz w:val="26"/>
          <w:szCs w:val="26"/>
          <w:rtl/>
        </w:rPr>
        <w:t>"</w:t>
      </w:r>
      <w:r w:rsidRPr="00E814A0">
        <w:rPr>
          <w:rFonts w:hint="cs"/>
          <w:sz w:val="26"/>
          <w:szCs w:val="26"/>
          <w:rtl/>
        </w:rPr>
        <w:t xml:space="preserve"> ב-</w:t>
      </w:r>
      <w:r>
        <w:rPr>
          <w:rFonts w:hint="cs"/>
          <w:sz w:val="26"/>
          <w:szCs w:val="26"/>
          <w:rtl/>
        </w:rPr>
        <w:t>"</w:t>
      </w:r>
      <w:r w:rsidRPr="00E814A0">
        <w:rPr>
          <w:rFonts w:hint="cs"/>
          <w:sz w:val="26"/>
          <w:szCs w:val="26"/>
          <w:rtl/>
        </w:rPr>
        <w:t>60</w:t>
      </w:r>
      <w:r>
        <w:rPr>
          <w:rFonts w:hint="cs"/>
          <w:sz w:val="26"/>
          <w:szCs w:val="26"/>
          <w:rtl/>
        </w:rPr>
        <w:t>"</w:t>
      </w:r>
      <w:r w:rsidRPr="00E814A0">
        <w:rPr>
          <w:rFonts w:hint="cs"/>
          <w:sz w:val="26"/>
          <w:szCs w:val="26"/>
          <w:rtl/>
        </w:rPr>
        <w:t>, מכיוון שהקצאת הבטחת התשואה בשיעור 40% ומעלה תיעשה לעמיתים בני 60 ומעלה</w:t>
      </w:r>
      <w:r>
        <w:rPr>
          <w:rFonts w:hint="cs"/>
          <w:sz w:val="26"/>
          <w:szCs w:val="26"/>
          <w:rtl/>
        </w:rPr>
        <w:t>, כהגדרתם בתקנות.</w:t>
      </w:r>
    </w:p>
    <w:p w14:paraId="6AE47AF3" w14:textId="77777777" w:rsidR="009A6498" w:rsidRPr="00C36CDE" w:rsidRDefault="009A6498" w:rsidP="009A6498">
      <w:pPr>
        <w:spacing w:before="120"/>
        <w:ind w:left="0"/>
        <w:contextualSpacing w:val="0"/>
        <w:rPr>
          <w:b/>
          <w:bCs/>
          <w:sz w:val="26"/>
          <w:szCs w:val="26"/>
          <w:rtl/>
        </w:rPr>
      </w:pPr>
      <w:r w:rsidRPr="00C36CDE">
        <w:rPr>
          <w:rFonts w:hint="eastAsia"/>
          <w:b/>
          <w:bCs/>
          <w:sz w:val="26"/>
          <w:szCs w:val="26"/>
          <w:rtl/>
        </w:rPr>
        <w:t>לתקנה</w:t>
      </w:r>
      <w:r w:rsidRPr="00C36CDE">
        <w:rPr>
          <w:b/>
          <w:bCs/>
          <w:sz w:val="26"/>
          <w:szCs w:val="26"/>
          <w:rtl/>
        </w:rPr>
        <w:t xml:space="preserve"> </w:t>
      </w:r>
      <w:r>
        <w:rPr>
          <w:rFonts w:hint="cs"/>
          <w:b/>
          <w:bCs/>
          <w:sz w:val="26"/>
          <w:szCs w:val="26"/>
          <w:rtl/>
        </w:rPr>
        <w:t>3</w:t>
      </w:r>
      <w:r w:rsidRPr="00C36CDE">
        <w:rPr>
          <w:rFonts w:hint="cs"/>
          <w:b/>
          <w:bCs/>
          <w:sz w:val="26"/>
          <w:szCs w:val="26"/>
          <w:rtl/>
        </w:rPr>
        <w:t xml:space="preserve"> </w:t>
      </w:r>
    </w:p>
    <w:p w14:paraId="5A4DA733" w14:textId="77777777" w:rsidR="009A6498" w:rsidRDefault="009A6498" w:rsidP="009A6498">
      <w:pPr>
        <w:spacing w:before="120" w:after="120"/>
        <w:ind w:left="0"/>
        <w:contextualSpacing w:val="0"/>
        <w:rPr>
          <w:b/>
          <w:bCs/>
          <w:sz w:val="26"/>
          <w:szCs w:val="26"/>
          <w:rtl/>
        </w:rPr>
      </w:pPr>
      <w:r>
        <w:rPr>
          <w:rFonts w:hint="cs"/>
          <w:sz w:val="26"/>
          <w:szCs w:val="26"/>
          <w:rtl/>
        </w:rPr>
        <w:t xml:space="preserve">מוצע </w:t>
      </w:r>
      <w:r w:rsidRPr="00E1507B">
        <w:rPr>
          <w:rFonts w:hint="cs"/>
          <w:sz w:val="26"/>
          <w:szCs w:val="26"/>
          <w:rtl/>
        </w:rPr>
        <w:t>ל</w:t>
      </w:r>
      <w:r>
        <w:rPr>
          <w:rFonts w:hint="cs"/>
          <w:sz w:val="26"/>
          <w:szCs w:val="26"/>
          <w:rtl/>
        </w:rPr>
        <w:t xml:space="preserve">תקן את תקנה 4 בתקנות העיקריות שעניינה זקיפת תשואה על נכסי הקרן לעמיתים בגיל 50 ומעלה,  ולקבוע חלף זאת תחול </w:t>
      </w:r>
      <w:r w:rsidRPr="00E814A0">
        <w:rPr>
          <w:rFonts w:ascii="Arial" w:eastAsia="Arial Unicode MS" w:hAnsi="Arial" w:hint="cs"/>
          <w:snapToGrid w:val="0"/>
          <w:sz w:val="26"/>
          <w:szCs w:val="26"/>
          <w:rtl/>
        </w:rPr>
        <w:t xml:space="preserve">הקצאה של </w:t>
      </w:r>
      <w:r w:rsidRPr="00E814A0">
        <w:rPr>
          <w:rFonts w:ascii="Arial" w:eastAsia="Arial Unicode MS" w:hAnsi="Arial"/>
          <w:snapToGrid w:val="0"/>
          <w:sz w:val="26"/>
          <w:szCs w:val="26"/>
          <w:rtl/>
        </w:rPr>
        <w:t xml:space="preserve">הבטחת תשואה </w:t>
      </w:r>
      <w:r w:rsidRPr="00E814A0">
        <w:rPr>
          <w:rFonts w:ascii="Arial" w:eastAsia="Arial Unicode MS" w:hAnsi="Arial" w:hint="cs"/>
          <w:snapToGrid w:val="0"/>
          <w:sz w:val="26"/>
          <w:szCs w:val="26"/>
          <w:rtl/>
        </w:rPr>
        <w:t>בשיעור 40</w:t>
      </w:r>
      <w:r w:rsidRPr="00E814A0">
        <w:rPr>
          <w:rFonts w:ascii="Arial" w:eastAsia="Arial Unicode MS" w:hAnsi="Arial"/>
          <w:snapToGrid w:val="0"/>
          <w:sz w:val="26"/>
          <w:szCs w:val="26"/>
          <w:rtl/>
        </w:rPr>
        <w:t xml:space="preserve">% </w:t>
      </w:r>
      <w:r w:rsidRPr="00E814A0">
        <w:rPr>
          <w:rFonts w:ascii="Arial" w:eastAsia="Arial Unicode MS" w:hAnsi="Arial" w:hint="cs"/>
          <w:snapToGrid w:val="0"/>
          <w:sz w:val="26"/>
          <w:szCs w:val="26"/>
          <w:rtl/>
        </w:rPr>
        <w:t>לגבי עמיתים בני 60 ומעלה החוסכים ב</w:t>
      </w:r>
      <w:r w:rsidRPr="00E814A0">
        <w:rPr>
          <w:rFonts w:ascii="Arial" w:eastAsia="Arial Unicode MS" w:hAnsi="Arial" w:hint="eastAsia"/>
          <w:snapToGrid w:val="0"/>
          <w:sz w:val="26"/>
          <w:szCs w:val="26"/>
          <w:rtl/>
        </w:rPr>
        <w:t>מסלול</w:t>
      </w:r>
      <w:r w:rsidRPr="00E814A0">
        <w:rPr>
          <w:rFonts w:ascii="Arial" w:eastAsia="Arial Unicode MS" w:hAnsi="Arial"/>
          <w:snapToGrid w:val="0"/>
          <w:sz w:val="26"/>
          <w:szCs w:val="26"/>
          <w:rtl/>
        </w:rPr>
        <w:t xml:space="preserve"> תלוי גיל </w:t>
      </w:r>
      <w:r w:rsidRPr="00E814A0">
        <w:rPr>
          <w:rFonts w:ascii="Arial" w:eastAsia="Arial Unicode MS" w:hAnsi="Arial" w:hint="cs"/>
          <w:snapToGrid w:val="0"/>
          <w:sz w:val="26"/>
          <w:szCs w:val="26"/>
          <w:rtl/>
        </w:rPr>
        <w:t xml:space="preserve">המותאם לגילם, </w:t>
      </w:r>
      <w:r>
        <w:rPr>
          <w:rFonts w:ascii="Arial" w:eastAsia="Arial Unicode MS" w:hAnsi="Arial" w:hint="cs"/>
          <w:snapToGrid w:val="0"/>
          <w:sz w:val="26"/>
          <w:szCs w:val="26"/>
          <w:rtl/>
        </w:rPr>
        <w:t>ב</w:t>
      </w:r>
      <w:r w:rsidRPr="00E814A0">
        <w:rPr>
          <w:rFonts w:ascii="Arial" w:eastAsia="Arial Unicode MS" w:hAnsi="Arial" w:hint="eastAsia"/>
          <w:snapToGrid w:val="0"/>
          <w:sz w:val="26"/>
          <w:szCs w:val="26"/>
          <w:rtl/>
        </w:rPr>
        <w:t>מסלול</w:t>
      </w:r>
      <w:r w:rsidRPr="00E814A0">
        <w:rPr>
          <w:rFonts w:ascii="Arial" w:eastAsia="Arial Unicode MS" w:hAnsi="Arial"/>
          <w:snapToGrid w:val="0"/>
          <w:sz w:val="26"/>
          <w:szCs w:val="26"/>
          <w:rtl/>
        </w:rPr>
        <w:t xml:space="preserve"> הכללי</w:t>
      </w:r>
      <w:r w:rsidRPr="00E814A0">
        <w:rPr>
          <w:rFonts w:ascii="Arial" w:eastAsia="Arial Unicode MS" w:hAnsi="Arial" w:hint="cs"/>
          <w:snapToGrid w:val="0"/>
          <w:sz w:val="26"/>
          <w:szCs w:val="26"/>
          <w:rtl/>
        </w:rPr>
        <w:t xml:space="preserve">, </w:t>
      </w:r>
      <w:r>
        <w:rPr>
          <w:rFonts w:ascii="Arial" w:eastAsia="Arial Unicode MS" w:hAnsi="Arial" w:hint="cs"/>
          <w:snapToGrid w:val="0"/>
          <w:sz w:val="26"/>
          <w:szCs w:val="26"/>
          <w:rtl/>
        </w:rPr>
        <w:t>ב</w:t>
      </w:r>
      <w:r w:rsidRPr="00E814A0">
        <w:rPr>
          <w:rFonts w:ascii="Arial" w:eastAsia="Arial Unicode MS" w:hAnsi="Arial" w:hint="cs"/>
          <w:snapToGrid w:val="0"/>
          <w:sz w:val="26"/>
          <w:szCs w:val="26"/>
          <w:rtl/>
        </w:rPr>
        <w:t xml:space="preserve">מסלול הלכה </w:t>
      </w:r>
      <w:r w:rsidRPr="00E814A0">
        <w:rPr>
          <w:rFonts w:ascii="Arial" w:eastAsia="Arial Unicode MS" w:hAnsi="Arial"/>
          <w:snapToGrid w:val="0"/>
          <w:sz w:val="26"/>
          <w:szCs w:val="26"/>
          <w:rtl/>
        </w:rPr>
        <w:t>ו</w:t>
      </w:r>
      <w:r>
        <w:rPr>
          <w:rFonts w:ascii="Arial" w:eastAsia="Arial Unicode MS" w:hAnsi="Arial" w:hint="cs"/>
          <w:snapToGrid w:val="0"/>
          <w:sz w:val="26"/>
          <w:szCs w:val="26"/>
          <w:rtl/>
        </w:rPr>
        <w:t>ב</w:t>
      </w:r>
      <w:r w:rsidRPr="00E814A0">
        <w:rPr>
          <w:rFonts w:ascii="Arial" w:eastAsia="Arial Unicode MS" w:hAnsi="Arial"/>
          <w:snapToGrid w:val="0"/>
          <w:sz w:val="26"/>
          <w:szCs w:val="26"/>
          <w:rtl/>
        </w:rPr>
        <w:t xml:space="preserve">מסלולי השקעה מתמחים שיאושרו על ידי הממונה. </w:t>
      </w:r>
    </w:p>
    <w:p w14:paraId="70143128" w14:textId="77777777" w:rsidR="009A6498" w:rsidRPr="00C36CDE" w:rsidRDefault="009A6498" w:rsidP="009A6498">
      <w:pPr>
        <w:spacing w:before="120" w:after="120"/>
        <w:ind w:left="0"/>
        <w:contextualSpacing w:val="0"/>
        <w:rPr>
          <w:b/>
          <w:bCs/>
          <w:sz w:val="26"/>
          <w:szCs w:val="26"/>
          <w:rtl/>
        </w:rPr>
      </w:pPr>
      <w:r w:rsidRPr="00C36CDE">
        <w:rPr>
          <w:rFonts w:hint="eastAsia"/>
          <w:b/>
          <w:bCs/>
          <w:sz w:val="26"/>
          <w:szCs w:val="26"/>
          <w:rtl/>
        </w:rPr>
        <w:t>לתקנה</w:t>
      </w:r>
      <w:r w:rsidRPr="00C36CDE">
        <w:rPr>
          <w:b/>
          <w:bCs/>
          <w:sz w:val="26"/>
          <w:szCs w:val="26"/>
          <w:rtl/>
        </w:rPr>
        <w:t xml:space="preserve"> </w:t>
      </w:r>
      <w:r>
        <w:rPr>
          <w:rFonts w:hint="cs"/>
          <w:b/>
          <w:bCs/>
          <w:sz w:val="26"/>
          <w:szCs w:val="26"/>
          <w:rtl/>
        </w:rPr>
        <w:t>4</w:t>
      </w:r>
      <w:r w:rsidRPr="00C36CDE">
        <w:rPr>
          <w:b/>
          <w:bCs/>
          <w:sz w:val="26"/>
          <w:szCs w:val="26"/>
          <w:rtl/>
        </w:rPr>
        <w:t xml:space="preserve"> </w:t>
      </w:r>
    </w:p>
    <w:p w14:paraId="51AEBF5F" w14:textId="77777777" w:rsidR="009A6498" w:rsidRDefault="009A6498" w:rsidP="009A6498">
      <w:pPr>
        <w:spacing w:before="120" w:after="120"/>
        <w:ind w:left="0"/>
        <w:contextualSpacing w:val="0"/>
        <w:rPr>
          <w:b/>
          <w:bCs/>
          <w:sz w:val="26"/>
          <w:szCs w:val="26"/>
          <w:rtl/>
        </w:rPr>
      </w:pPr>
      <w:r>
        <w:rPr>
          <w:rFonts w:hint="cs"/>
          <w:sz w:val="26"/>
          <w:szCs w:val="26"/>
          <w:rtl/>
        </w:rPr>
        <w:t xml:space="preserve">לתיקון המוצע יש השלכה שיורית על הגדרת "עמית אחר". בהתאם, מוצע </w:t>
      </w:r>
      <w:r w:rsidRPr="00E1507B">
        <w:rPr>
          <w:rFonts w:hint="cs"/>
          <w:sz w:val="26"/>
          <w:szCs w:val="26"/>
          <w:rtl/>
        </w:rPr>
        <w:t>ל</w:t>
      </w:r>
      <w:r>
        <w:rPr>
          <w:rFonts w:hint="cs"/>
          <w:sz w:val="26"/>
          <w:szCs w:val="26"/>
          <w:rtl/>
        </w:rPr>
        <w:t>תקן את תקנה 5 לתקנות העיקריות שעניינה זקיפת תשואה על נכסי הקרן ל"עמית אחר" ולהבהיר כי הזקיפה תחול לגבי עמיתים החוסכים במסלולים שאינם מסלולים למקבלי קצבאות, ו</w:t>
      </w:r>
      <w:r w:rsidRPr="00E814A0">
        <w:rPr>
          <w:rFonts w:ascii="Arial" w:eastAsia="Arial Unicode MS" w:hAnsi="Arial" w:hint="cs"/>
          <w:snapToGrid w:val="0"/>
          <w:sz w:val="26"/>
          <w:szCs w:val="26"/>
          <w:rtl/>
        </w:rPr>
        <w:t>עמיתים בני 60 ומעלה החוסכים ב</w:t>
      </w:r>
      <w:r w:rsidRPr="00E814A0">
        <w:rPr>
          <w:rFonts w:ascii="Arial" w:eastAsia="Arial Unicode MS" w:hAnsi="Arial" w:hint="eastAsia"/>
          <w:snapToGrid w:val="0"/>
          <w:sz w:val="26"/>
          <w:szCs w:val="26"/>
          <w:rtl/>
        </w:rPr>
        <w:t>מסלול</w:t>
      </w:r>
      <w:r w:rsidRPr="00E814A0">
        <w:rPr>
          <w:rFonts w:ascii="Arial" w:eastAsia="Arial Unicode MS" w:hAnsi="Arial"/>
          <w:snapToGrid w:val="0"/>
          <w:sz w:val="26"/>
          <w:szCs w:val="26"/>
          <w:rtl/>
        </w:rPr>
        <w:t xml:space="preserve"> תלוי גיל </w:t>
      </w:r>
      <w:r w:rsidRPr="00E814A0">
        <w:rPr>
          <w:rFonts w:ascii="Arial" w:eastAsia="Arial Unicode MS" w:hAnsi="Arial" w:hint="cs"/>
          <w:snapToGrid w:val="0"/>
          <w:sz w:val="26"/>
          <w:szCs w:val="26"/>
          <w:rtl/>
        </w:rPr>
        <w:t xml:space="preserve">המותאם לגילם, </w:t>
      </w:r>
      <w:r>
        <w:rPr>
          <w:rFonts w:ascii="Arial" w:eastAsia="Arial Unicode MS" w:hAnsi="Arial" w:hint="cs"/>
          <w:snapToGrid w:val="0"/>
          <w:sz w:val="26"/>
          <w:szCs w:val="26"/>
          <w:rtl/>
        </w:rPr>
        <w:t>ב</w:t>
      </w:r>
      <w:r w:rsidRPr="00E814A0">
        <w:rPr>
          <w:rFonts w:ascii="Arial" w:eastAsia="Arial Unicode MS" w:hAnsi="Arial" w:hint="eastAsia"/>
          <w:snapToGrid w:val="0"/>
          <w:sz w:val="26"/>
          <w:szCs w:val="26"/>
          <w:rtl/>
        </w:rPr>
        <w:t>מסלול</w:t>
      </w:r>
      <w:r w:rsidRPr="00E814A0">
        <w:rPr>
          <w:rFonts w:ascii="Arial" w:eastAsia="Arial Unicode MS" w:hAnsi="Arial"/>
          <w:snapToGrid w:val="0"/>
          <w:sz w:val="26"/>
          <w:szCs w:val="26"/>
          <w:rtl/>
        </w:rPr>
        <w:t xml:space="preserve"> הכללי</w:t>
      </w:r>
      <w:r w:rsidRPr="00E814A0">
        <w:rPr>
          <w:rFonts w:ascii="Arial" w:eastAsia="Arial Unicode MS" w:hAnsi="Arial" w:hint="cs"/>
          <w:snapToGrid w:val="0"/>
          <w:sz w:val="26"/>
          <w:szCs w:val="26"/>
          <w:rtl/>
        </w:rPr>
        <w:t xml:space="preserve">, </w:t>
      </w:r>
      <w:r>
        <w:rPr>
          <w:rFonts w:ascii="Arial" w:eastAsia="Arial Unicode MS" w:hAnsi="Arial" w:hint="cs"/>
          <w:snapToGrid w:val="0"/>
          <w:sz w:val="26"/>
          <w:szCs w:val="26"/>
          <w:rtl/>
        </w:rPr>
        <w:t>ב</w:t>
      </w:r>
      <w:r w:rsidRPr="00E814A0">
        <w:rPr>
          <w:rFonts w:ascii="Arial" w:eastAsia="Arial Unicode MS" w:hAnsi="Arial" w:hint="cs"/>
          <w:snapToGrid w:val="0"/>
          <w:sz w:val="26"/>
          <w:szCs w:val="26"/>
          <w:rtl/>
        </w:rPr>
        <w:t xml:space="preserve">מסלול הלכה </w:t>
      </w:r>
      <w:r>
        <w:rPr>
          <w:rFonts w:ascii="Arial" w:eastAsia="Arial Unicode MS" w:hAnsi="Arial" w:hint="cs"/>
          <w:snapToGrid w:val="0"/>
          <w:sz w:val="26"/>
          <w:szCs w:val="26"/>
          <w:rtl/>
        </w:rPr>
        <w:t>או ב</w:t>
      </w:r>
      <w:r w:rsidRPr="00E814A0">
        <w:rPr>
          <w:rFonts w:ascii="Arial" w:eastAsia="Arial Unicode MS" w:hAnsi="Arial"/>
          <w:snapToGrid w:val="0"/>
          <w:sz w:val="26"/>
          <w:szCs w:val="26"/>
          <w:rtl/>
        </w:rPr>
        <w:t xml:space="preserve">מסלולי השקעה מתמחים שיאושרו על ידי הממונה. </w:t>
      </w:r>
    </w:p>
    <w:p w14:paraId="37F07275" w14:textId="77777777" w:rsidR="009A6498" w:rsidRPr="00E814A0" w:rsidRDefault="009A6498" w:rsidP="009A6498">
      <w:pPr>
        <w:spacing w:before="120" w:after="120"/>
        <w:ind w:left="0"/>
        <w:contextualSpacing w:val="0"/>
        <w:rPr>
          <w:b/>
          <w:bCs/>
          <w:sz w:val="26"/>
          <w:szCs w:val="26"/>
          <w:rtl/>
        </w:rPr>
      </w:pPr>
    </w:p>
    <w:p w14:paraId="1E63CF44" w14:textId="77777777" w:rsidR="009A6498" w:rsidRPr="00C36CDE" w:rsidRDefault="009A6498" w:rsidP="009A6498">
      <w:pPr>
        <w:spacing w:before="120" w:after="120"/>
        <w:ind w:left="0"/>
        <w:contextualSpacing w:val="0"/>
        <w:rPr>
          <w:b/>
          <w:bCs/>
          <w:sz w:val="26"/>
          <w:szCs w:val="26"/>
          <w:rtl/>
        </w:rPr>
      </w:pPr>
      <w:r w:rsidRPr="00C36CDE">
        <w:rPr>
          <w:rFonts w:hint="eastAsia"/>
          <w:b/>
          <w:bCs/>
          <w:sz w:val="26"/>
          <w:szCs w:val="26"/>
          <w:rtl/>
        </w:rPr>
        <w:t>לתקנה</w:t>
      </w:r>
      <w:r w:rsidRPr="00C36CDE">
        <w:rPr>
          <w:b/>
          <w:bCs/>
          <w:sz w:val="26"/>
          <w:szCs w:val="26"/>
          <w:rtl/>
        </w:rPr>
        <w:t xml:space="preserve"> </w:t>
      </w:r>
      <w:r>
        <w:rPr>
          <w:rFonts w:hint="cs"/>
          <w:b/>
          <w:bCs/>
          <w:sz w:val="26"/>
          <w:szCs w:val="26"/>
          <w:rtl/>
        </w:rPr>
        <w:t>5</w:t>
      </w:r>
    </w:p>
    <w:p w14:paraId="76133898" w14:textId="77777777" w:rsidR="009A6498" w:rsidRPr="00E1507B" w:rsidRDefault="009A6498" w:rsidP="009A6498">
      <w:pPr>
        <w:spacing w:before="120" w:after="120"/>
        <w:ind w:left="0"/>
        <w:contextualSpacing w:val="0"/>
        <w:rPr>
          <w:sz w:val="26"/>
          <w:szCs w:val="26"/>
        </w:rPr>
      </w:pPr>
      <w:r>
        <w:rPr>
          <w:rFonts w:hint="cs"/>
          <w:sz w:val="26"/>
          <w:szCs w:val="26"/>
          <w:rtl/>
        </w:rPr>
        <w:t xml:space="preserve">בתקנה 8 לתקנות העיקריות נקבעה הוראת שעה לפיה </w:t>
      </w:r>
      <w:r w:rsidRPr="009B6CDA">
        <w:rPr>
          <w:rFonts w:eastAsia="Arial Unicode MS" w:hint="cs"/>
          <w:snapToGrid w:val="0"/>
          <w:sz w:val="20"/>
          <w:szCs w:val="26"/>
          <w:rtl/>
        </w:rPr>
        <w:t xml:space="preserve">הקצאת </w:t>
      </w:r>
      <w:proofErr w:type="spellStart"/>
      <w:r w:rsidRPr="009B6CDA">
        <w:rPr>
          <w:rFonts w:eastAsia="Arial Unicode MS" w:hint="cs"/>
          <w:snapToGrid w:val="0"/>
          <w:sz w:val="20"/>
          <w:szCs w:val="26"/>
          <w:rtl/>
        </w:rPr>
        <w:t>האג"ח</w:t>
      </w:r>
      <w:proofErr w:type="spellEnd"/>
      <w:r w:rsidRPr="009B6CDA">
        <w:rPr>
          <w:rFonts w:eastAsia="Arial Unicode MS" w:hint="cs"/>
          <w:snapToGrid w:val="0"/>
          <w:sz w:val="20"/>
          <w:szCs w:val="26"/>
          <w:rtl/>
        </w:rPr>
        <w:t xml:space="preserve"> המיועדות לקבוצת העמיתים בני 50 ומטה ולקבוצת </w:t>
      </w:r>
      <w:r w:rsidRPr="009B6CDA">
        <w:rPr>
          <w:rStyle w:val="default"/>
          <w:rFonts w:ascii="David" w:eastAsia="Times New Roman" w:hAnsi="David" w:cs="David" w:hint="cs"/>
          <w:noProof/>
          <w:rtl/>
        </w:rPr>
        <w:t xml:space="preserve">העמיתים בני 50 ומעלה תהיה זהה </w:t>
      </w:r>
      <w:r>
        <w:rPr>
          <w:rFonts w:hint="cs"/>
          <w:sz w:val="26"/>
          <w:szCs w:val="26"/>
          <w:rtl/>
        </w:rPr>
        <w:t xml:space="preserve">עד ליום 31 בדצמבר 2025. במסגרת התיקון הנוכחי, לצורך היערכות השוק לתיקון המוצע, </w:t>
      </w:r>
      <w:r w:rsidRPr="00E1507B">
        <w:rPr>
          <w:rFonts w:hint="cs"/>
          <w:sz w:val="26"/>
          <w:szCs w:val="26"/>
          <w:rtl/>
        </w:rPr>
        <w:t xml:space="preserve">מוצע להאריך את הוראת השעה לתקופה של </w:t>
      </w:r>
      <w:r>
        <w:rPr>
          <w:rFonts w:hint="cs"/>
          <w:sz w:val="26"/>
          <w:szCs w:val="26"/>
          <w:rtl/>
        </w:rPr>
        <w:t>שנה</w:t>
      </w:r>
      <w:r w:rsidRPr="00E1507B">
        <w:rPr>
          <w:rFonts w:hint="cs"/>
          <w:sz w:val="26"/>
          <w:szCs w:val="26"/>
          <w:rtl/>
        </w:rPr>
        <w:t xml:space="preserve"> נוספת עד ליום 31 בדצמבר </w:t>
      </w:r>
      <w:r>
        <w:rPr>
          <w:rFonts w:hint="cs"/>
          <w:sz w:val="26"/>
          <w:szCs w:val="26"/>
          <w:rtl/>
        </w:rPr>
        <w:t>2026.</w:t>
      </w:r>
    </w:p>
    <w:p w14:paraId="2DE889C5" w14:textId="006BEFB5" w:rsidR="0028440E" w:rsidRPr="009A6498" w:rsidRDefault="0028440E" w:rsidP="009A6498">
      <w:pPr>
        <w:pStyle w:val="P00"/>
        <w:tabs>
          <w:tab w:val="clear" w:pos="6259"/>
        </w:tabs>
        <w:spacing w:before="72" w:line="360" w:lineRule="auto"/>
        <w:ind w:left="0" w:right="1134"/>
        <w:rPr>
          <w:sz w:val="26"/>
        </w:rPr>
      </w:pPr>
    </w:p>
    <w:sectPr w:rsidR="0028440E" w:rsidRPr="009A6498" w:rsidSect="0053208F">
      <w:pgSz w:w="11906" w:h="16838"/>
      <w:pgMar w:top="1701" w:right="1134" w:bottom="1417"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C3A21" w14:textId="77777777" w:rsidR="008E5A5D" w:rsidRDefault="008E5A5D" w:rsidP="0053208F">
      <w:pPr>
        <w:spacing w:line="240" w:lineRule="auto"/>
      </w:pPr>
      <w:r>
        <w:separator/>
      </w:r>
    </w:p>
  </w:endnote>
  <w:endnote w:type="continuationSeparator" w:id="0">
    <w:p w14:paraId="7F2A3C11" w14:textId="77777777" w:rsidR="008E5A5D" w:rsidRDefault="008E5A5D" w:rsidP="00532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4D8FF" w14:textId="77777777" w:rsidR="008E5A5D" w:rsidRDefault="008E5A5D" w:rsidP="0053208F">
      <w:pPr>
        <w:spacing w:line="240" w:lineRule="auto"/>
      </w:pPr>
      <w:r>
        <w:separator/>
      </w:r>
    </w:p>
  </w:footnote>
  <w:footnote w:type="continuationSeparator" w:id="0">
    <w:p w14:paraId="79BA6C52" w14:textId="77777777" w:rsidR="008E5A5D" w:rsidRDefault="008E5A5D" w:rsidP="0053208F">
      <w:pPr>
        <w:spacing w:line="240" w:lineRule="auto"/>
      </w:pPr>
      <w:r>
        <w:continuationSeparator/>
      </w:r>
    </w:p>
  </w:footnote>
  <w:footnote w:id="1">
    <w:p w14:paraId="7E8CD8E9" w14:textId="375961FB" w:rsidR="004D2F2C" w:rsidRDefault="004D2F2C" w:rsidP="004F6B41">
      <w:pPr>
        <w:pStyle w:val="a5"/>
        <w:rPr>
          <w:rtl/>
        </w:rPr>
      </w:pPr>
      <w:r>
        <w:rPr>
          <w:rStyle w:val="a7"/>
        </w:rPr>
        <w:footnoteRef/>
      </w:r>
      <w:r>
        <w:rPr>
          <w:rtl/>
        </w:rPr>
        <w:t xml:space="preserve"> </w:t>
      </w:r>
      <w:r w:rsidRPr="00826DC3">
        <w:rPr>
          <w:rFonts w:hint="cs"/>
          <w:rtl/>
        </w:rPr>
        <w:t xml:space="preserve">ס"ח </w:t>
      </w:r>
      <w:proofErr w:type="spellStart"/>
      <w:r w:rsidRPr="00826DC3">
        <w:rPr>
          <w:rFonts w:hint="cs"/>
          <w:rtl/>
        </w:rPr>
        <w:t>התשס"ה</w:t>
      </w:r>
      <w:proofErr w:type="spellEnd"/>
      <w:r w:rsidRPr="00826DC3">
        <w:rPr>
          <w:rFonts w:hint="cs"/>
          <w:rtl/>
        </w:rPr>
        <w:t>, עמ' 889</w:t>
      </w:r>
      <w:r>
        <w:rPr>
          <w:rFonts w:hint="cs"/>
          <w:rtl/>
        </w:rPr>
        <w:t xml:space="preserve">, </w:t>
      </w:r>
      <w:proofErr w:type="spellStart"/>
      <w:r w:rsidR="004F6B41" w:rsidRPr="003927CC">
        <w:rPr>
          <w:rFonts w:hint="cs"/>
          <w:rtl/>
        </w:rPr>
        <w:t>התשפ"ג</w:t>
      </w:r>
      <w:proofErr w:type="spellEnd"/>
      <w:r w:rsidR="004F6B41" w:rsidRPr="003927CC">
        <w:rPr>
          <w:rFonts w:hint="cs"/>
          <w:rtl/>
        </w:rPr>
        <w:t>,</w:t>
      </w:r>
      <w:r w:rsidR="004F6B41">
        <w:rPr>
          <w:rFonts w:hint="cs"/>
          <w:rtl/>
        </w:rPr>
        <w:t xml:space="preserve"> עמ'</w:t>
      </w:r>
      <w:r w:rsidR="004F6B41" w:rsidRPr="003927CC">
        <w:rPr>
          <w:rFonts w:hint="cs"/>
          <w:rtl/>
        </w:rPr>
        <w:t xml:space="preserve"> 350.</w:t>
      </w:r>
    </w:p>
  </w:footnote>
  <w:footnote w:id="2">
    <w:p w14:paraId="54198C05" w14:textId="6E6791C3" w:rsidR="006A0311" w:rsidRDefault="006A0311" w:rsidP="006A0311">
      <w:pPr>
        <w:pStyle w:val="a5"/>
        <w:rPr>
          <w:rtl/>
        </w:rPr>
      </w:pPr>
      <w:r>
        <w:rPr>
          <w:rStyle w:val="a7"/>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התשע"ז</w:t>
      </w:r>
      <w:proofErr w:type="spellEnd"/>
      <w:r>
        <w:rPr>
          <w:rFonts w:hint="cs"/>
          <w:rtl/>
        </w:rPr>
        <w:t>, עמ' 904</w:t>
      </w:r>
      <w:r w:rsidR="004F6B41">
        <w:rPr>
          <w:rFonts w:hint="cs"/>
          <w:rtl/>
        </w:rPr>
        <w:t xml:space="preserve">, </w:t>
      </w:r>
      <w:proofErr w:type="spellStart"/>
      <w:r w:rsidR="004F6B41">
        <w:rPr>
          <w:rFonts w:hint="cs"/>
          <w:rtl/>
        </w:rPr>
        <w:t>התשפ"ב</w:t>
      </w:r>
      <w:proofErr w:type="spellEnd"/>
      <w:r w:rsidR="004F6B41">
        <w:rPr>
          <w:rFonts w:hint="cs"/>
          <w:rtl/>
        </w:rPr>
        <w:t xml:space="preserve"> עמ' 2932</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0520C"/>
    <w:multiLevelType w:val="hybridMultilevel"/>
    <w:tmpl w:val="DB001166"/>
    <w:lvl w:ilvl="0" w:tplc="B47A276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76612"/>
    <w:multiLevelType w:val="hybridMultilevel"/>
    <w:tmpl w:val="25266702"/>
    <w:lvl w:ilvl="0" w:tplc="97DC36C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B2A3B"/>
    <w:multiLevelType w:val="hybridMultilevel"/>
    <w:tmpl w:val="94BA0E78"/>
    <w:lvl w:ilvl="0" w:tplc="A00EA6D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17F5530E"/>
    <w:multiLevelType w:val="hybridMultilevel"/>
    <w:tmpl w:val="0E321918"/>
    <w:lvl w:ilvl="0" w:tplc="A5A40C3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C23948"/>
    <w:multiLevelType w:val="hybridMultilevel"/>
    <w:tmpl w:val="781AE138"/>
    <w:lvl w:ilvl="0" w:tplc="CE1CA8B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71E1F"/>
    <w:multiLevelType w:val="hybridMultilevel"/>
    <w:tmpl w:val="652CB7FE"/>
    <w:lvl w:ilvl="0" w:tplc="B016CFD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1A74C4"/>
    <w:multiLevelType w:val="hybridMultilevel"/>
    <w:tmpl w:val="B39632F2"/>
    <w:lvl w:ilvl="0" w:tplc="1BE6933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4C074C"/>
    <w:multiLevelType w:val="hybridMultilevel"/>
    <w:tmpl w:val="333E3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7D6BAE"/>
    <w:multiLevelType w:val="hybridMultilevel"/>
    <w:tmpl w:val="71F0A0B8"/>
    <w:lvl w:ilvl="0" w:tplc="322411E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675A6"/>
    <w:multiLevelType w:val="hybridMultilevel"/>
    <w:tmpl w:val="6C72E2BA"/>
    <w:lvl w:ilvl="0" w:tplc="C6C89D8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9A1DF1"/>
    <w:multiLevelType w:val="hybridMultilevel"/>
    <w:tmpl w:val="C64A84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4A582B"/>
    <w:multiLevelType w:val="hybridMultilevel"/>
    <w:tmpl w:val="64A0C6D4"/>
    <w:lvl w:ilvl="0" w:tplc="F234774E">
      <w:start w:val="1"/>
      <w:numFmt w:val="hebrew1"/>
      <w:lvlRestart w:val="0"/>
      <w:lvlText w:val="(%1)"/>
      <w:lvlJc w:val="left"/>
      <w:pPr>
        <w:tabs>
          <w:tab w:val="num" w:pos="1049"/>
        </w:tabs>
        <w:ind w:left="425" w:firstLine="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383A4313"/>
    <w:multiLevelType w:val="hybridMultilevel"/>
    <w:tmpl w:val="D8C828E8"/>
    <w:lvl w:ilvl="0" w:tplc="473EAB5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47B9C"/>
    <w:multiLevelType w:val="hybridMultilevel"/>
    <w:tmpl w:val="DD34B0BC"/>
    <w:lvl w:ilvl="0" w:tplc="00063F3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491502"/>
    <w:multiLevelType w:val="hybridMultilevel"/>
    <w:tmpl w:val="3F32B7DA"/>
    <w:lvl w:ilvl="0" w:tplc="2FFC46D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9430B"/>
    <w:multiLevelType w:val="hybridMultilevel"/>
    <w:tmpl w:val="F1CCD288"/>
    <w:lvl w:ilvl="0" w:tplc="784C8D7A">
      <w:start w:val="4"/>
      <w:numFmt w:val="hebrew1"/>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27B2D3E"/>
    <w:multiLevelType w:val="hybridMultilevel"/>
    <w:tmpl w:val="9A4607D6"/>
    <w:lvl w:ilvl="0" w:tplc="5E6818C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67F8D"/>
    <w:multiLevelType w:val="hybridMultilevel"/>
    <w:tmpl w:val="A9AE1144"/>
    <w:lvl w:ilvl="0" w:tplc="AFCE16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764CD"/>
    <w:multiLevelType w:val="hybridMultilevel"/>
    <w:tmpl w:val="BC662002"/>
    <w:lvl w:ilvl="0" w:tplc="88E8A8F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1310E9"/>
    <w:multiLevelType w:val="hybridMultilevel"/>
    <w:tmpl w:val="F698BB54"/>
    <w:lvl w:ilvl="0" w:tplc="117C42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CD4EEB"/>
    <w:multiLevelType w:val="hybridMultilevel"/>
    <w:tmpl w:val="8A1488A4"/>
    <w:lvl w:ilvl="0" w:tplc="FDDA257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B4B18D6"/>
    <w:multiLevelType w:val="hybridMultilevel"/>
    <w:tmpl w:val="DD128FC2"/>
    <w:lvl w:ilvl="0" w:tplc="35B4C66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9685C"/>
    <w:multiLevelType w:val="hybridMultilevel"/>
    <w:tmpl w:val="CA3AC222"/>
    <w:lvl w:ilvl="0" w:tplc="087CE02C">
      <w:start w:val="1"/>
      <w:numFmt w:val="bullet"/>
      <w:lvlText w:val="•"/>
      <w:lvlJc w:val="left"/>
      <w:pPr>
        <w:tabs>
          <w:tab w:val="num" w:pos="1080"/>
        </w:tabs>
        <w:ind w:left="1080" w:hanging="360"/>
      </w:pPr>
      <w:rPr>
        <w:rFonts w:ascii="Arial" w:hAnsi="Arial" w:hint="default"/>
      </w:rPr>
    </w:lvl>
    <w:lvl w:ilvl="1" w:tplc="784C6DBA">
      <w:start w:val="1"/>
      <w:numFmt w:val="bullet"/>
      <w:lvlText w:val="•"/>
      <w:lvlJc w:val="left"/>
      <w:pPr>
        <w:tabs>
          <w:tab w:val="num" w:pos="1800"/>
        </w:tabs>
        <w:ind w:left="1800" w:hanging="360"/>
      </w:pPr>
      <w:rPr>
        <w:rFonts w:ascii="Arial" w:hAnsi="Arial" w:hint="default"/>
      </w:rPr>
    </w:lvl>
    <w:lvl w:ilvl="2" w:tplc="1AB4CE7C">
      <w:numFmt w:val="bullet"/>
      <w:lvlText w:val="•"/>
      <w:lvlJc w:val="left"/>
      <w:pPr>
        <w:tabs>
          <w:tab w:val="num" w:pos="2520"/>
        </w:tabs>
        <w:ind w:left="2520" w:hanging="360"/>
      </w:pPr>
      <w:rPr>
        <w:rFonts w:ascii="Arial" w:hAnsi="Arial" w:hint="default"/>
      </w:rPr>
    </w:lvl>
    <w:lvl w:ilvl="3" w:tplc="20AE3506" w:tentative="1">
      <w:start w:val="1"/>
      <w:numFmt w:val="bullet"/>
      <w:lvlText w:val="•"/>
      <w:lvlJc w:val="left"/>
      <w:pPr>
        <w:tabs>
          <w:tab w:val="num" w:pos="3240"/>
        </w:tabs>
        <w:ind w:left="3240" w:hanging="360"/>
      </w:pPr>
      <w:rPr>
        <w:rFonts w:ascii="Arial" w:hAnsi="Arial" w:hint="default"/>
      </w:rPr>
    </w:lvl>
    <w:lvl w:ilvl="4" w:tplc="8E280F1E" w:tentative="1">
      <w:start w:val="1"/>
      <w:numFmt w:val="bullet"/>
      <w:lvlText w:val="•"/>
      <w:lvlJc w:val="left"/>
      <w:pPr>
        <w:tabs>
          <w:tab w:val="num" w:pos="3960"/>
        </w:tabs>
        <w:ind w:left="3960" w:hanging="360"/>
      </w:pPr>
      <w:rPr>
        <w:rFonts w:ascii="Arial" w:hAnsi="Arial" w:hint="default"/>
      </w:rPr>
    </w:lvl>
    <w:lvl w:ilvl="5" w:tplc="6AC8ED04" w:tentative="1">
      <w:start w:val="1"/>
      <w:numFmt w:val="bullet"/>
      <w:lvlText w:val="•"/>
      <w:lvlJc w:val="left"/>
      <w:pPr>
        <w:tabs>
          <w:tab w:val="num" w:pos="4680"/>
        </w:tabs>
        <w:ind w:left="4680" w:hanging="360"/>
      </w:pPr>
      <w:rPr>
        <w:rFonts w:ascii="Arial" w:hAnsi="Arial" w:hint="default"/>
      </w:rPr>
    </w:lvl>
    <w:lvl w:ilvl="6" w:tplc="7480F124" w:tentative="1">
      <w:start w:val="1"/>
      <w:numFmt w:val="bullet"/>
      <w:lvlText w:val="•"/>
      <w:lvlJc w:val="left"/>
      <w:pPr>
        <w:tabs>
          <w:tab w:val="num" w:pos="5400"/>
        </w:tabs>
        <w:ind w:left="5400" w:hanging="360"/>
      </w:pPr>
      <w:rPr>
        <w:rFonts w:ascii="Arial" w:hAnsi="Arial" w:hint="default"/>
      </w:rPr>
    </w:lvl>
    <w:lvl w:ilvl="7" w:tplc="A56CB662" w:tentative="1">
      <w:start w:val="1"/>
      <w:numFmt w:val="bullet"/>
      <w:lvlText w:val="•"/>
      <w:lvlJc w:val="left"/>
      <w:pPr>
        <w:tabs>
          <w:tab w:val="num" w:pos="6120"/>
        </w:tabs>
        <w:ind w:left="6120" w:hanging="360"/>
      </w:pPr>
      <w:rPr>
        <w:rFonts w:ascii="Arial" w:hAnsi="Arial" w:hint="default"/>
      </w:rPr>
    </w:lvl>
    <w:lvl w:ilvl="8" w:tplc="820A3394" w:tentative="1">
      <w:start w:val="1"/>
      <w:numFmt w:val="bullet"/>
      <w:lvlText w:val="•"/>
      <w:lvlJc w:val="left"/>
      <w:pPr>
        <w:tabs>
          <w:tab w:val="num" w:pos="6840"/>
        </w:tabs>
        <w:ind w:left="6840" w:hanging="360"/>
      </w:pPr>
      <w:rPr>
        <w:rFonts w:ascii="Arial" w:hAnsi="Arial" w:hint="default"/>
      </w:rPr>
    </w:lvl>
  </w:abstractNum>
  <w:abstractNum w:abstractNumId="37" w15:restartNumberingAfterBreak="0">
    <w:nsid w:val="5F5227C2"/>
    <w:multiLevelType w:val="hybridMultilevel"/>
    <w:tmpl w:val="ECEC9728"/>
    <w:lvl w:ilvl="0" w:tplc="D774126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41DE8"/>
    <w:multiLevelType w:val="hybridMultilevel"/>
    <w:tmpl w:val="28F0D74E"/>
    <w:lvl w:ilvl="0" w:tplc="72F2481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E69CB"/>
    <w:multiLevelType w:val="hybridMultilevel"/>
    <w:tmpl w:val="98D48906"/>
    <w:lvl w:ilvl="0" w:tplc="9002FFA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F609A"/>
    <w:multiLevelType w:val="hybridMultilevel"/>
    <w:tmpl w:val="14323C60"/>
    <w:lvl w:ilvl="0" w:tplc="14E6008A">
      <w:start w:val="1"/>
      <w:numFmt w:val="hebrew1"/>
      <w:lvlText w:val="(%1)"/>
      <w:lvlJc w:val="left"/>
      <w:pPr>
        <w:ind w:left="980" w:hanging="360"/>
      </w:pPr>
      <w:rPr>
        <w:rFonts w:ascii="Times New Roman" w:hAnsi="Times New Roman"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41" w15:restartNumberingAfterBreak="0">
    <w:nsid w:val="6DCC07D4"/>
    <w:multiLevelType w:val="hybridMultilevel"/>
    <w:tmpl w:val="1CD45280"/>
    <w:lvl w:ilvl="0" w:tplc="3FEA845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755A0"/>
    <w:multiLevelType w:val="hybridMultilevel"/>
    <w:tmpl w:val="4530D386"/>
    <w:lvl w:ilvl="0" w:tplc="9760D42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E17DE2"/>
    <w:multiLevelType w:val="hybridMultilevel"/>
    <w:tmpl w:val="56848812"/>
    <w:lvl w:ilvl="0" w:tplc="34D2CAC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3"/>
  </w:num>
  <w:num w:numId="5">
    <w:abstractNumId w:val="15"/>
  </w:num>
  <w:num w:numId="6">
    <w:abstractNumId w:val="44"/>
  </w:num>
  <w:num w:numId="7">
    <w:abstractNumId w:val="8"/>
  </w:num>
  <w:num w:numId="8">
    <w:abstractNumId w:val="3"/>
  </w:num>
  <w:num w:numId="9">
    <w:abstractNumId w:val="2"/>
  </w:num>
  <w:num w:numId="10">
    <w:abstractNumId w:val="1"/>
  </w:num>
  <w:num w:numId="11">
    <w:abstractNumId w:val="9"/>
  </w:num>
  <w:num w:numId="12">
    <w:abstractNumId w:val="7"/>
  </w:num>
  <w:num w:numId="13">
    <w:abstractNumId w:val="6"/>
  </w:num>
  <w:num w:numId="14">
    <w:abstractNumId w:val="5"/>
  </w:num>
  <w:num w:numId="15">
    <w:abstractNumId w:val="4"/>
  </w:num>
  <w:num w:numId="16">
    <w:abstractNumId w:val="32"/>
  </w:num>
  <w:num w:numId="17">
    <w:abstractNumId w:val="32"/>
    <w:lvlOverride w:ilvl="0">
      <w:startOverride w:val="1"/>
    </w:lvlOverride>
  </w:num>
  <w:num w:numId="18">
    <w:abstractNumId w:val="13"/>
  </w:num>
  <w:num w:numId="19">
    <w:abstractNumId w:val="34"/>
  </w:num>
  <w:num w:numId="20">
    <w:abstractNumId w:val="20"/>
  </w:num>
  <w:num w:numId="21">
    <w:abstractNumId w:val="21"/>
  </w:num>
  <w:num w:numId="22">
    <w:abstractNumId w:val="16"/>
  </w:num>
  <w:num w:numId="23">
    <w:abstractNumId w:val="35"/>
  </w:num>
  <w:num w:numId="24">
    <w:abstractNumId w:val="26"/>
  </w:num>
  <w:num w:numId="25">
    <w:abstractNumId w:val="17"/>
  </w:num>
  <w:num w:numId="26">
    <w:abstractNumId w:val="31"/>
  </w:num>
  <w:num w:numId="27">
    <w:abstractNumId w:val="30"/>
  </w:num>
  <w:num w:numId="28">
    <w:abstractNumId w:val="41"/>
  </w:num>
  <w:num w:numId="29">
    <w:abstractNumId w:val="14"/>
  </w:num>
  <w:num w:numId="30">
    <w:abstractNumId w:val="18"/>
  </w:num>
  <w:num w:numId="31">
    <w:abstractNumId w:val="25"/>
  </w:num>
  <w:num w:numId="32">
    <w:abstractNumId w:val="27"/>
  </w:num>
  <w:num w:numId="33">
    <w:abstractNumId w:val="42"/>
  </w:num>
  <w:num w:numId="34">
    <w:abstractNumId w:val="24"/>
  </w:num>
  <w:num w:numId="35">
    <w:abstractNumId w:val="37"/>
  </w:num>
  <w:num w:numId="36">
    <w:abstractNumId w:val="39"/>
  </w:num>
  <w:num w:numId="37">
    <w:abstractNumId w:val="12"/>
  </w:num>
  <w:num w:numId="38">
    <w:abstractNumId w:val="23"/>
  </w:num>
  <w:num w:numId="39">
    <w:abstractNumId w:val="11"/>
  </w:num>
  <w:num w:numId="40">
    <w:abstractNumId w:val="45"/>
  </w:num>
  <w:num w:numId="41">
    <w:abstractNumId w:val="38"/>
  </w:num>
  <w:num w:numId="42">
    <w:abstractNumId w:val="40"/>
  </w:num>
  <w:num w:numId="43">
    <w:abstractNumId w:val="10"/>
  </w:num>
  <w:num w:numId="44">
    <w:abstractNumId w:val="28"/>
  </w:num>
  <w:num w:numId="45">
    <w:abstractNumId w:val="33"/>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29"/>
  </w:num>
  <w:num w:numId="49">
    <w:abstractNumId w:val="36"/>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8F"/>
    <w:rsid w:val="00002104"/>
    <w:rsid w:val="00014777"/>
    <w:rsid w:val="0001488D"/>
    <w:rsid w:val="000211C4"/>
    <w:rsid w:val="00021D7B"/>
    <w:rsid w:val="00024808"/>
    <w:rsid w:val="00024C76"/>
    <w:rsid w:val="000277C7"/>
    <w:rsid w:val="00030D32"/>
    <w:rsid w:val="0004374D"/>
    <w:rsid w:val="00045FBA"/>
    <w:rsid w:val="00046E63"/>
    <w:rsid w:val="000470B6"/>
    <w:rsid w:val="0007478A"/>
    <w:rsid w:val="000833BC"/>
    <w:rsid w:val="00086F1E"/>
    <w:rsid w:val="00087587"/>
    <w:rsid w:val="000B5C35"/>
    <w:rsid w:val="000D0DC5"/>
    <w:rsid w:val="000D59A9"/>
    <w:rsid w:val="000E49C9"/>
    <w:rsid w:val="000E5E0B"/>
    <w:rsid w:val="000E645D"/>
    <w:rsid w:val="000F086C"/>
    <w:rsid w:val="000F253A"/>
    <w:rsid w:val="000F7737"/>
    <w:rsid w:val="00101BCB"/>
    <w:rsid w:val="00102C3F"/>
    <w:rsid w:val="001125A5"/>
    <w:rsid w:val="00112677"/>
    <w:rsid w:val="0011724D"/>
    <w:rsid w:val="00121D88"/>
    <w:rsid w:val="0012376C"/>
    <w:rsid w:val="00124FE9"/>
    <w:rsid w:val="00130531"/>
    <w:rsid w:val="0013293D"/>
    <w:rsid w:val="0013749F"/>
    <w:rsid w:val="0014354C"/>
    <w:rsid w:val="00146D3E"/>
    <w:rsid w:val="00173C2D"/>
    <w:rsid w:val="00175553"/>
    <w:rsid w:val="00180AAD"/>
    <w:rsid w:val="00181B7A"/>
    <w:rsid w:val="0018304A"/>
    <w:rsid w:val="00186252"/>
    <w:rsid w:val="00187D50"/>
    <w:rsid w:val="0019287A"/>
    <w:rsid w:val="00195B7C"/>
    <w:rsid w:val="001A21A0"/>
    <w:rsid w:val="001A52B8"/>
    <w:rsid w:val="001B46ED"/>
    <w:rsid w:val="001C476D"/>
    <w:rsid w:val="001C5D4E"/>
    <w:rsid w:val="001C6743"/>
    <w:rsid w:val="001C7BEB"/>
    <w:rsid w:val="001D058D"/>
    <w:rsid w:val="001D4BC9"/>
    <w:rsid w:val="001D7F4C"/>
    <w:rsid w:val="001E3F6B"/>
    <w:rsid w:val="001E577C"/>
    <w:rsid w:val="001E5BE1"/>
    <w:rsid w:val="001E68AF"/>
    <w:rsid w:val="001F3043"/>
    <w:rsid w:val="001F70D9"/>
    <w:rsid w:val="002029C3"/>
    <w:rsid w:val="00211B12"/>
    <w:rsid w:val="00212188"/>
    <w:rsid w:val="002158B8"/>
    <w:rsid w:val="00215DA3"/>
    <w:rsid w:val="002162AC"/>
    <w:rsid w:val="00216374"/>
    <w:rsid w:val="00217A64"/>
    <w:rsid w:val="00223950"/>
    <w:rsid w:val="00232688"/>
    <w:rsid w:val="00244E8D"/>
    <w:rsid w:val="00270375"/>
    <w:rsid w:val="0028379F"/>
    <w:rsid w:val="0028422A"/>
    <w:rsid w:val="0028440E"/>
    <w:rsid w:val="002960D3"/>
    <w:rsid w:val="002A51C7"/>
    <w:rsid w:val="002A7D7F"/>
    <w:rsid w:val="002B1B1A"/>
    <w:rsid w:val="002B33C0"/>
    <w:rsid w:val="002B655D"/>
    <w:rsid w:val="002C5C2D"/>
    <w:rsid w:val="002E23CF"/>
    <w:rsid w:val="002E5165"/>
    <w:rsid w:val="002E57CE"/>
    <w:rsid w:val="002F1535"/>
    <w:rsid w:val="002F67DC"/>
    <w:rsid w:val="00305B61"/>
    <w:rsid w:val="0031083F"/>
    <w:rsid w:val="003114F8"/>
    <w:rsid w:val="00313F92"/>
    <w:rsid w:val="00315312"/>
    <w:rsid w:val="00335243"/>
    <w:rsid w:val="00344DE1"/>
    <w:rsid w:val="003452DD"/>
    <w:rsid w:val="003462BC"/>
    <w:rsid w:val="003509C1"/>
    <w:rsid w:val="0035624D"/>
    <w:rsid w:val="00364F59"/>
    <w:rsid w:val="00371EBF"/>
    <w:rsid w:val="00376D6F"/>
    <w:rsid w:val="00377CCB"/>
    <w:rsid w:val="00384B83"/>
    <w:rsid w:val="00392AD5"/>
    <w:rsid w:val="00394C4B"/>
    <w:rsid w:val="003A1329"/>
    <w:rsid w:val="003A1A82"/>
    <w:rsid w:val="003A20F5"/>
    <w:rsid w:val="003A4174"/>
    <w:rsid w:val="003A7E35"/>
    <w:rsid w:val="003B02FF"/>
    <w:rsid w:val="003B0C7A"/>
    <w:rsid w:val="003D2802"/>
    <w:rsid w:val="003D3F6A"/>
    <w:rsid w:val="003D7251"/>
    <w:rsid w:val="003E1AD5"/>
    <w:rsid w:val="003F19E4"/>
    <w:rsid w:val="003F3947"/>
    <w:rsid w:val="003F50C7"/>
    <w:rsid w:val="00402DA4"/>
    <w:rsid w:val="00406C14"/>
    <w:rsid w:val="00410B23"/>
    <w:rsid w:val="00412D7E"/>
    <w:rsid w:val="00420872"/>
    <w:rsid w:val="004219F5"/>
    <w:rsid w:val="0042290F"/>
    <w:rsid w:val="00424AF1"/>
    <w:rsid w:val="00432A87"/>
    <w:rsid w:val="0047367C"/>
    <w:rsid w:val="00482D64"/>
    <w:rsid w:val="00492D7D"/>
    <w:rsid w:val="00496D68"/>
    <w:rsid w:val="004A34FD"/>
    <w:rsid w:val="004A743B"/>
    <w:rsid w:val="004A7547"/>
    <w:rsid w:val="004C40B9"/>
    <w:rsid w:val="004C53D0"/>
    <w:rsid w:val="004D0FF4"/>
    <w:rsid w:val="004D23CF"/>
    <w:rsid w:val="004D2F2C"/>
    <w:rsid w:val="004E0632"/>
    <w:rsid w:val="004E1F36"/>
    <w:rsid w:val="004F572F"/>
    <w:rsid w:val="004F6B41"/>
    <w:rsid w:val="005061C6"/>
    <w:rsid w:val="00511EEB"/>
    <w:rsid w:val="005167E9"/>
    <w:rsid w:val="0053208F"/>
    <w:rsid w:val="00540905"/>
    <w:rsid w:val="00541B5C"/>
    <w:rsid w:val="0054468E"/>
    <w:rsid w:val="00544860"/>
    <w:rsid w:val="0055280B"/>
    <w:rsid w:val="00553D17"/>
    <w:rsid w:val="00573391"/>
    <w:rsid w:val="00580875"/>
    <w:rsid w:val="00585A11"/>
    <w:rsid w:val="00586354"/>
    <w:rsid w:val="00591D9B"/>
    <w:rsid w:val="005931BB"/>
    <w:rsid w:val="00595B3E"/>
    <w:rsid w:val="005A7184"/>
    <w:rsid w:val="005C1C1E"/>
    <w:rsid w:val="005C5591"/>
    <w:rsid w:val="005D1555"/>
    <w:rsid w:val="005D22E3"/>
    <w:rsid w:val="005E4E28"/>
    <w:rsid w:val="00614973"/>
    <w:rsid w:val="00614F35"/>
    <w:rsid w:val="00623CB0"/>
    <w:rsid w:val="0062757B"/>
    <w:rsid w:val="00635343"/>
    <w:rsid w:val="00641C43"/>
    <w:rsid w:val="00644BA6"/>
    <w:rsid w:val="00651B95"/>
    <w:rsid w:val="00657CDF"/>
    <w:rsid w:val="00667E90"/>
    <w:rsid w:val="00671FAD"/>
    <w:rsid w:val="00673E45"/>
    <w:rsid w:val="00681B61"/>
    <w:rsid w:val="00683D7D"/>
    <w:rsid w:val="00685FDD"/>
    <w:rsid w:val="006938FD"/>
    <w:rsid w:val="006A0311"/>
    <w:rsid w:val="006A0BF8"/>
    <w:rsid w:val="006A2C30"/>
    <w:rsid w:val="006A6016"/>
    <w:rsid w:val="006B1CE9"/>
    <w:rsid w:val="006D1446"/>
    <w:rsid w:val="006D7B5A"/>
    <w:rsid w:val="006E3C6E"/>
    <w:rsid w:val="006E671A"/>
    <w:rsid w:val="006F0B16"/>
    <w:rsid w:val="006F21D5"/>
    <w:rsid w:val="006F38CC"/>
    <w:rsid w:val="006F7248"/>
    <w:rsid w:val="00721D40"/>
    <w:rsid w:val="0072759A"/>
    <w:rsid w:val="00736E23"/>
    <w:rsid w:val="00742DA4"/>
    <w:rsid w:val="00753F46"/>
    <w:rsid w:val="0075513C"/>
    <w:rsid w:val="00757269"/>
    <w:rsid w:val="00762CCD"/>
    <w:rsid w:val="00782E16"/>
    <w:rsid w:val="00786263"/>
    <w:rsid w:val="00790E59"/>
    <w:rsid w:val="007A043C"/>
    <w:rsid w:val="007B108D"/>
    <w:rsid w:val="007B72B6"/>
    <w:rsid w:val="007C1239"/>
    <w:rsid w:val="007C4245"/>
    <w:rsid w:val="007E550E"/>
    <w:rsid w:val="007E6987"/>
    <w:rsid w:val="007F3883"/>
    <w:rsid w:val="0080537A"/>
    <w:rsid w:val="00824B44"/>
    <w:rsid w:val="00826BD3"/>
    <w:rsid w:val="00843B10"/>
    <w:rsid w:val="008444F5"/>
    <w:rsid w:val="00846BD9"/>
    <w:rsid w:val="00846C76"/>
    <w:rsid w:val="00853EC7"/>
    <w:rsid w:val="0087107D"/>
    <w:rsid w:val="00874AA5"/>
    <w:rsid w:val="0088331B"/>
    <w:rsid w:val="008B553C"/>
    <w:rsid w:val="008B5AB1"/>
    <w:rsid w:val="008C68D3"/>
    <w:rsid w:val="008C6BA7"/>
    <w:rsid w:val="008D7C2B"/>
    <w:rsid w:val="008E5A5D"/>
    <w:rsid w:val="008E5DDE"/>
    <w:rsid w:val="008F17CC"/>
    <w:rsid w:val="008F6B7B"/>
    <w:rsid w:val="009015AF"/>
    <w:rsid w:val="00905BE5"/>
    <w:rsid w:val="0091684E"/>
    <w:rsid w:val="00916B0C"/>
    <w:rsid w:val="00917FA8"/>
    <w:rsid w:val="0093131A"/>
    <w:rsid w:val="009412BE"/>
    <w:rsid w:val="00942CFA"/>
    <w:rsid w:val="00943F20"/>
    <w:rsid w:val="0095580D"/>
    <w:rsid w:val="009563C0"/>
    <w:rsid w:val="00957644"/>
    <w:rsid w:val="00962886"/>
    <w:rsid w:val="00970FD2"/>
    <w:rsid w:val="0097556E"/>
    <w:rsid w:val="00975637"/>
    <w:rsid w:val="009819EA"/>
    <w:rsid w:val="0098607E"/>
    <w:rsid w:val="00994799"/>
    <w:rsid w:val="009968EC"/>
    <w:rsid w:val="00997047"/>
    <w:rsid w:val="009A145E"/>
    <w:rsid w:val="009A181F"/>
    <w:rsid w:val="009A6498"/>
    <w:rsid w:val="009B028F"/>
    <w:rsid w:val="009D3ADA"/>
    <w:rsid w:val="009D5629"/>
    <w:rsid w:val="009D5662"/>
    <w:rsid w:val="009D62D8"/>
    <w:rsid w:val="009D7AB9"/>
    <w:rsid w:val="009E1273"/>
    <w:rsid w:val="009E42D2"/>
    <w:rsid w:val="009F03FA"/>
    <w:rsid w:val="009F44DA"/>
    <w:rsid w:val="00A0480A"/>
    <w:rsid w:val="00A1260F"/>
    <w:rsid w:val="00A12995"/>
    <w:rsid w:val="00A15AAF"/>
    <w:rsid w:val="00A21B62"/>
    <w:rsid w:val="00A248F9"/>
    <w:rsid w:val="00A26FA3"/>
    <w:rsid w:val="00A37124"/>
    <w:rsid w:val="00A4196A"/>
    <w:rsid w:val="00A647D5"/>
    <w:rsid w:val="00A82FC9"/>
    <w:rsid w:val="00A851AF"/>
    <w:rsid w:val="00A96294"/>
    <w:rsid w:val="00AB6D29"/>
    <w:rsid w:val="00AC175D"/>
    <w:rsid w:val="00AC1A8F"/>
    <w:rsid w:val="00AC465C"/>
    <w:rsid w:val="00AD59F9"/>
    <w:rsid w:val="00B05BE1"/>
    <w:rsid w:val="00B13902"/>
    <w:rsid w:val="00B201CD"/>
    <w:rsid w:val="00B33256"/>
    <w:rsid w:val="00B366E9"/>
    <w:rsid w:val="00B47EA4"/>
    <w:rsid w:val="00B64C05"/>
    <w:rsid w:val="00B87553"/>
    <w:rsid w:val="00B92F5C"/>
    <w:rsid w:val="00B94558"/>
    <w:rsid w:val="00BA1160"/>
    <w:rsid w:val="00BD28B2"/>
    <w:rsid w:val="00BD5826"/>
    <w:rsid w:val="00BF04A1"/>
    <w:rsid w:val="00BF126A"/>
    <w:rsid w:val="00BF4A10"/>
    <w:rsid w:val="00BF5267"/>
    <w:rsid w:val="00BF5965"/>
    <w:rsid w:val="00BF7DBE"/>
    <w:rsid w:val="00C10228"/>
    <w:rsid w:val="00C27C6D"/>
    <w:rsid w:val="00C27D92"/>
    <w:rsid w:val="00C378D0"/>
    <w:rsid w:val="00C4045E"/>
    <w:rsid w:val="00C448D2"/>
    <w:rsid w:val="00C503A8"/>
    <w:rsid w:val="00C522D7"/>
    <w:rsid w:val="00C53FB1"/>
    <w:rsid w:val="00C557CF"/>
    <w:rsid w:val="00C57A9D"/>
    <w:rsid w:val="00C66797"/>
    <w:rsid w:val="00C80051"/>
    <w:rsid w:val="00C8676E"/>
    <w:rsid w:val="00C92110"/>
    <w:rsid w:val="00CA1043"/>
    <w:rsid w:val="00CA4585"/>
    <w:rsid w:val="00CB0B48"/>
    <w:rsid w:val="00CB17DD"/>
    <w:rsid w:val="00CB458E"/>
    <w:rsid w:val="00CC1134"/>
    <w:rsid w:val="00CD255D"/>
    <w:rsid w:val="00CE55AD"/>
    <w:rsid w:val="00CE6DD9"/>
    <w:rsid w:val="00CF0F79"/>
    <w:rsid w:val="00CF7071"/>
    <w:rsid w:val="00D00828"/>
    <w:rsid w:val="00D07008"/>
    <w:rsid w:val="00D143F6"/>
    <w:rsid w:val="00D20CF1"/>
    <w:rsid w:val="00D34E9C"/>
    <w:rsid w:val="00D449BF"/>
    <w:rsid w:val="00D553BB"/>
    <w:rsid w:val="00D55D2F"/>
    <w:rsid w:val="00D567BA"/>
    <w:rsid w:val="00D6122D"/>
    <w:rsid w:val="00D6291A"/>
    <w:rsid w:val="00D64903"/>
    <w:rsid w:val="00D6685E"/>
    <w:rsid w:val="00D776E8"/>
    <w:rsid w:val="00D77BE1"/>
    <w:rsid w:val="00DB55F0"/>
    <w:rsid w:val="00DC33B7"/>
    <w:rsid w:val="00DC65A1"/>
    <w:rsid w:val="00DD385A"/>
    <w:rsid w:val="00DE0C22"/>
    <w:rsid w:val="00DE0DF6"/>
    <w:rsid w:val="00DE1F90"/>
    <w:rsid w:val="00DF07B5"/>
    <w:rsid w:val="00E025E6"/>
    <w:rsid w:val="00E1507B"/>
    <w:rsid w:val="00E214CD"/>
    <w:rsid w:val="00E319D7"/>
    <w:rsid w:val="00E42E4F"/>
    <w:rsid w:val="00E54B62"/>
    <w:rsid w:val="00E54C47"/>
    <w:rsid w:val="00E61C40"/>
    <w:rsid w:val="00E67AA6"/>
    <w:rsid w:val="00E70416"/>
    <w:rsid w:val="00E763C6"/>
    <w:rsid w:val="00E840EA"/>
    <w:rsid w:val="00E8613A"/>
    <w:rsid w:val="00E92665"/>
    <w:rsid w:val="00EA18FB"/>
    <w:rsid w:val="00EA230D"/>
    <w:rsid w:val="00ED02F0"/>
    <w:rsid w:val="00EF775C"/>
    <w:rsid w:val="00EF77D1"/>
    <w:rsid w:val="00F02CE9"/>
    <w:rsid w:val="00F06EEA"/>
    <w:rsid w:val="00F10875"/>
    <w:rsid w:val="00F13CE9"/>
    <w:rsid w:val="00F13D1F"/>
    <w:rsid w:val="00F1576E"/>
    <w:rsid w:val="00F20637"/>
    <w:rsid w:val="00F33E35"/>
    <w:rsid w:val="00F3643E"/>
    <w:rsid w:val="00F37ADA"/>
    <w:rsid w:val="00F40F1C"/>
    <w:rsid w:val="00F624E3"/>
    <w:rsid w:val="00F6542A"/>
    <w:rsid w:val="00F65F2F"/>
    <w:rsid w:val="00F72F45"/>
    <w:rsid w:val="00F777C6"/>
    <w:rsid w:val="00F829E8"/>
    <w:rsid w:val="00FA1096"/>
    <w:rsid w:val="00FA2E86"/>
    <w:rsid w:val="00FC5D0D"/>
    <w:rsid w:val="00FD0120"/>
    <w:rsid w:val="00FE22E3"/>
    <w:rsid w:val="00FF03C3"/>
    <w:rsid w:val="00FF0B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3B80"/>
  <w15:chartTrackingRefBased/>
  <w15:docId w15:val="{20A4313F-9CBE-47CD-B66D-46E3DF5D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4FD"/>
    <w:pPr>
      <w:widowControl w:val="0"/>
      <w:bidi/>
      <w:spacing w:after="0" w:line="360" w:lineRule="auto"/>
      <w:ind w:left="340"/>
      <w:contextualSpacing/>
      <w:jc w:val="both"/>
    </w:pPr>
    <w:rPr>
      <w:rFonts w:ascii="David" w:hAnsi="David" w:cs="David"/>
      <w:sz w:val="24"/>
      <w:szCs w:val="24"/>
    </w:rPr>
  </w:style>
  <w:style w:type="paragraph" w:styleId="1">
    <w:name w:val="heading 1"/>
    <w:basedOn w:val="a"/>
    <w:next w:val="a"/>
    <w:link w:val="10"/>
    <w:uiPriority w:val="9"/>
    <w:qFormat/>
    <w:rsid w:val="004A34FD"/>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4A34FD"/>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4A34FD"/>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4A34FD"/>
    <w:pPr>
      <w:numPr>
        <w:numId w:val="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4A34FD"/>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A34FD"/>
    <w:rPr>
      <w:rFonts w:asciiTheme="majorHAnsi" w:eastAsiaTheme="majorEastAsia" w:hAnsiTheme="majorHAnsi" w:cs="David"/>
      <w:bCs/>
      <w:sz w:val="32"/>
      <w:szCs w:val="36"/>
    </w:rPr>
  </w:style>
  <w:style w:type="character" w:customStyle="1" w:styleId="40">
    <w:name w:val="כותרת 4 תו"/>
    <w:basedOn w:val="a0"/>
    <w:link w:val="4"/>
    <w:uiPriority w:val="9"/>
    <w:rsid w:val="004A34FD"/>
    <w:rPr>
      <w:rFonts w:ascii="David" w:hAnsi="David" w:cs="David"/>
      <w:b/>
      <w:bCs/>
      <w:color w:val="000000" w:themeColor="text1"/>
      <w:sz w:val="24"/>
      <w:szCs w:val="28"/>
    </w:rPr>
  </w:style>
  <w:style w:type="paragraph" w:customStyle="1" w:styleId="TableText">
    <w:name w:val="Table Text"/>
    <w:basedOn w:val="a"/>
    <w:rsid w:val="004A34FD"/>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4A34FD"/>
    <w:pPr>
      <w:outlineLvl w:val="2"/>
    </w:pPr>
  </w:style>
  <w:style w:type="paragraph" w:customStyle="1" w:styleId="TableBlock">
    <w:name w:val="Table Block"/>
    <w:basedOn w:val="TableText"/>
    <w:rsid w:val="004A34FD"/>
    <w:pPr>
      <w:jc w:val="both"/>
    </w:pPr>
  </w:style>
  <w:style w:type="paragraph" w:customStyle="1" w:styleId="TableHead">
    <w:name w:val="Table Head"/>
    <w:basedOn w:val="TableText"/>
    <w:rsid w:val="004A34FD"/>
    <w:pPr>
      <w:jc w:val="center"/>
      <w:outlineLvl w:val="1"/>
    </w:pPr>
    <w:rPr>
      <w:b/>
      <w:bCs/>
    </w:rPr>
  </w:style>
  <w:style w:type="paragraph" w:customStyle="1" w:styleId="HeadMitparsemetBaze">
    <w:name w:val="Head MitparsemetBaze"/>
    <w:basedOn w:val="a"/>
    <w:rsid w:val="004A34FD"/>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4A34FD"/>
    <w:pPr>
      <w:keepNext/>
      <w:keepLines/>
      <w:snapToGrid w:val="0"/>
      <w:spacing w:before="240"/>
      <w:jc w:val="center"/>
      <w:outlineLvl w:val="0"/>
    </w:pPr>
    <w:rPr>
      <w:rFonts w:ascii="Arial" w:eastAsia="Arial Unicode MS" w:hAnsi="Arial"/>
      <w:b/>
      <w:bCs/>
      <w:snapToGrid w:val="0"/>
      <w:sz w:val="20"/>
      <w:szCs w:val="26"/>
    </w:rPr>
  </w:style>
  <w:style w:type="paragraph" w:customStyle="1" w:styleId="Hesber1st">
    <w:name w:val="Hesber 1st"/>
    <w:basedOn w:val="Hesber"/>
    <w:rsid w:val="004A34FD"/>
    <w:pPr>
      <w:tabs>
        <w:tab w:val="left" w:pos="680"/>
        <w:tab w:val="left" w:pos="1020"/>
      </w:tabs>
      <w:ind w:firstLine="0"/>
    </w:pPr>
  </w:style>
  <w:style w:type="paragraph" w:customStyle="1" w:styleId="HeadDivreiHesber">
    <w:name w:val="Head DivreiHesber"/>
    <w:basedOn w:val="a"/>
    <w:rsid w:val="004A34FD"/>
    <w:pPr>
      <w:snapToGrid w:val="0"/>
      <w:spacing w:before="360" w:after="120"/>
      <w:jc w:val="center"/>
      <w:outlineLvl w:val="1"/>
    </w:pPr>
    <w:rPr>
      <w:rFonts w:ascii="Arial" w:eastAsia="Arial Unicode MS" w:hAnsi="Arial"/>
      <w:b/>
      <w:snapToGrid w:val="0"/>
      <w:spacing w:val="40"/>
      <w:sz w:val="20"/>
      <w:szCs w:val="26"/>
    </w:rPr>
  </w:style>
  <w:style w:type="character" w:customStyle="1" w:styleId="20">
    <w:name w:val="כותרת 2 תו"/>
    <w:basedOn w:val="a0"/>
    <w:link w:val="2"/>
    <w:rsid w:val="004A34FD"/>
    <w:rPr>
      <w:rFonts w:asciiTheme="majorHAnsi" w:eastAsiaTheme="majorEastAsia" w:hAnsiTheme="majorHAnsi" w:cs="David"/>
      <w:bCs/>
      <w:sz w:val="26"/>
      <w:szCs w:val="36"/>
      <w:u w:val="single"/>
    </w:rPr>
  </w:style>
  <w:style w:type="character" w:customStyle="1" w:styleId="30">
    <w:name w:val="כותרת 3 תו"/>
    <w:basedOn w:val="a0"/>
    <w:link w:val="3"/>
    <w:rsid w:val="004A34FD"/>
    <w:rPr>
      <w:rFonts w:asciiTheme="majorHAnsi" w:eastAsiaTheme="majorEastAsia" w:hAnsiTheme="majorHAnsi" w:cs="David"/>
      <w:sz w:val="24"/>
      <w:szCs w:val="28"/>
      <w:u w:val="double"/>
    </w:rPr>
  </w:style>
  <w:style w:type="character" w:customStyle="1" w:styleId="50">
    <w:name w:val="כותרת 5 תו"/>
    <w:basedOn w:val="a0"/>
    <w:link w:val="5"/>
    <w:uiPriority w:val="9"/>
    <w:rsid w:val="004A34FD"/>
    <w:rPr>
      <w:rFonts w:ascii="David" w:hAnsi="David" w:cs="David"/>
      <w:color w:val="000000" w:themeColor="text1"/>
      <w:sz w:val="24"/>
      <w:szCs w:val="24"/>
    </w:rPr>
  </w:style>
  <w:style w:type="paragraph" w:customStyle="1" w:styleId="HeadHatzaotHok4Futer">
    <w:name w:val="Head HatzaotHok4Futer"/>
    <w:basedOn w:val="HeadHatzaotHok"/>
    <w:rsid w:val="004A34FD"/>
    <w:pPr>
      <w:spacing w:before="120" w:after="120"/>
    </w:pPr>
    <w:rPr>
      <w:color w:val="FF0000"/>
      <w:w w:val="80"/>
    </w:rPr>
  </w:style>
  <w:style w:type="paragraph" w:styleId="a3">
    <w:name w:val="endnote text"/>
    <w:basedOn w:val="a"/>
    <w:link w:val="a4"/>
    <w:semiHidden/>
    <w:rsid w:val="004A34FD"/>
    <w:pPr>
      <w:ind w:left="227" w:hanging="227"/>
    </w:pPr>
    <w:rPr>
      <w:sz w:val="14"/>
      <w:szCs w:val="22"/>
    </w:rPr>
  </w:style>
  <w:style w:type="character" w:customStyle="1" w:styleId="a4">
    <w:name w:val="טקסט הערת סיום תו"/>
    <w:basedOn w:val="a0"/>
    <w:link w:val="a3"/>
    <w:semiHidden/>
    <w:rsid w:val="0053208F"/>
    <w:rPr>
      <w:rFonts w:ascii="David" w:hAnsi="David" w:cs="David"/>
      <w:sz w:val="14"/>
    </w:rPr>
  </w:style>
  <w:style w:type="paragraph" w:customStyle="1" w:styleId="TableInnerSideHeading">
    <w:name w:val="Table InnerSideHeading"/>
    <w:basedOn w:val="TableSideHeading"/>
    <w:rsid w:val="004A34FD"/>
    <w:pPr>
      <w:outlineLvl w:val="9"/>
    </w:pPr>
  </w:style>
  <w:style w:type="paragraph" w:customStyle="1" w:styleId="Hesber">
    <w:name w:val="Hesber"/>
    <w:basedOn w:val="a"/>
    <w:rsid w:val="004A34FD"/>
    <w:pPr>
      <w:snapToGrid w:val="0"/>
      <w:ind w:left="0" w:firstLine="340"/>
    </w:pPr>
    <w:rPr>
      <w:rFonts w:ascii="Arial" w:eastAsia="Arial Unicode MS" w:hAnsi="Arial"/>
      <w:snapToGrid w:val="0"/>
      <w:sz w:val="20"/>
      <w:szCs w:val="26"/>
    </w:rPr>
  </w:style>
  <w:style w:type="paragraph" w:styleId="a5">
    <w:name w:val="footnote text"/>
    <w:basedOn w:val="a"/>
    <w:link w:val="a6"/>
    <w:autoRedefine/>
    <w:rsid w:val="004A34FD"/>
    <w:pPr>
      <w:snapToGrid w:val="0"/>
      <w:spacing w:line="240" w:lineRule="auto"/>
      <w:ind w:left="0"/>
      <w:jc w:val="left"/>
    </w:pPr>
    <w:rPr>
      <w:rFonts w:ascii="Arial" w:eastAsia="Arial Unicode MS" w:hAnsi="Arial"/>
      <w:snapToGrid w:val="0"/>
      <w:sz w:val="14"/>
      <w:szCs w:val="20"/>
    </w:rPr>
  </w:style>
  <w:style w:type="character" w:customStyle="1" w:styleId="a6">
    <w:name w:val="טקסט הערת שוליים תו"/>
    <w:basedOn w:val="a0"/>
    <w:link w:val="a5"/>
    <w:rsid w:val="0053208F"/>
    <w:rPr>
      <w:rFonts w:ascii="Arial" w:eastAsia="Arial Unicode MS" w:hAnsi="Arial" w:cs="David"/>
      <w:snapToGrid w:val="0"/>
      <w:sz w:val="14"/>
      <w:szCs w:val="20"/>
    </w:rPr>
  </w:style>
  <w:style w:type="character" w:styleId="a7">
    <w:name w:val="footnote reference"/>
    <w:aliases w:val="Footnote Reference_0,Footnote Reference"/>
    <w:basedOn w:val="a0"/>
    <w:rsid w:val="004A34FD"/>
    <w:rPr>
      <w:vertAlign w:val="superscript"/>
    </w:rPr>
  </w:style>
  <w:style w:type="paragraph" w:customStyle="1" w:styleId="HesberHeading">
    <w:name w:val="Hesber Heading"/>
    <w:basedOn w:val="Hesber"/>
    <w:rsid w:val="004A34FD"/>
    <w:pPr>
      <w:tabs>
        <w:tab w:val="left" w:pos="624"/>
        <w:tab w:val="left" w:pos="1247"/>
      </w:tabs>
    </w:pPr>
    <w:rPr>
      <w:b/>
      <w:bCs/>
    </w:rPr>
  </w:style>
  <w:style w:type="paragraph" w:customStyle="1" w:styleId="HesberWriters">
    <w:name w:val="Hesber Writers"/>
    <w:basedOn w:val="Hesber"/>
    <w:rsid w:val="004A34FD"/>
    <w:pPr>
      <w:spacing w:before="120" w:after="120"/>
      <w:ind w:left="1418"/>
      <w:jc w:val="right"/>
    </w:pPr>
    <w:rPr>
      <w:b/>
      <w:bCs/>
    </w:rPr>
  </w:style>
  <w:style w:type="character" w:styleId="a8">
    <w:name w:val="endnote reference"/>
    <w:basedOn w:val="a0"/>
    <w:semiHidden/>
    <w:rsid w:val="004A34FD"/>
    <w:rPr>
      <w:vertAlign w:val="superscript"/>
    </w:rPr>
  </w:style>
  <w:style w:type="paragraph" w:customStyle="1" w:styleId="TableBlockOutdent">
    <w:name w:val="Table BlockOutdent"/>
    <w:basedOn w:val="TableBlock"/>
    <w:rsid w:val="004A34FD"/>
    <w:pPr>
      <w:ind w:left="624" w:hanging="624"/>
    </w:pPr>
  </w:style>
  <w:style w:type="paragraph" w:styleId="a9">
    <w:name w:val="header"/>
    <w:basedOn w:val="a"/>
    <w:link w:val="aa"/>
    <w:rsid w:val="004A34FD"/>
    <w:pPr>
      <w:tabs>
        <w:tab w:val="center" w:pos="4153"/>
        <w:tab w:val="right" w:pos="8306"/>
      </w:tabs>
    </w:pPr>
  </w:style>
  <w:style w:type="character" w:customStyle="1" w:styleId="aa">
    <w:name w:val="כותרת עליונה תו"/>
    <w:basedOn w:val="a0"/>
    <w:link w:val="a9"/>
    <w:rsid w:val="0053208F"/>
    <w:rPr>
      <w:rFonts w:ascii="David" w:hAnsi="David" w:cs="David"/>
      <w:sz w:val="24"/>
      <w:szCs w:val="24"/>
    </w:rPr>
  </w:style>
  <w:style w:type="paragraph" w:styleId="ab">
    <w:name w:val="footer"/>
    <w:basedOn w:val="a"/>
    <w:link w:val="ac"/>
    <w:rsid w:val="004A34FD"/>
    <w:pPr>
      <w:tabs>
        <w:tab w:val="center" w:pos="4153"/>
        <w:tab w:val="right" w:pos="8306"/>
      </w:tabs>
    </w:pPr>
  </w:style>
  <w:style w:type="character" w:customStyle="1" w:styleId="ac">
    <w:name w:val="כותרת תחתונה תו"/>
    <w:basedOn w:val="a0"/>
    <w:link w:val="ab"/>
    <w:rsid w:val="0053208F"/>
    <w:rPr>
      <w:rFonts w:ascii="David" w:hAnsi="David" w:cs="David"/>
      <w:sz w:val="24"/>
      <w:szCs w:val="24"/>
    </w:rPr>
  </w:style>
  <w:style w:type="character" w:styleId="ad">
    <w:name w:val="page number"/>
    <w:basedOn w:val="a0"/>
    <w:rsid w:val="004A34FD"/>
  </w:style>
  <w:style w:type="paragraph" w:customStyle="1" w:styleId="Cover1-Reshumot">
    <w:name w:val="Cover 1-Reshumot"/>
    <w:basedOn w:val="a"/>
    <w:rsid w:val="004A34FD"/>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4A34FD"/>
    <w:rPr>
      <w:sz w:val="36"/>
      <w:szCs w:val="52"/>
    </w:rPr>
  </w:style>
  <w:style w:type="paragraph" w:customStyle="1" w:styleId="Cover3-Haknesset">
    <w:name w:val="Cover 3-Haknesset"/>
    <w:basedOn w:val="Cover1-Reshumot"/>
    <w:rsid w:val="004A34FD"/>
    <w:rPr>
      <w:b/>
      <w:bCs/>
      <w:spacing w:val="60"/>
    </w:rPr>
  </w:style>
  <w:style w:type="paragraph" w:customStyle="1" w:styleId="Cover4-Date">
    <w:name w:val="Cover 4-Date"/>
    <w:basedOn w:val="a"/>
    <w:rsid w:val="004A34FD"/>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4A34FD"/>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4A34FD"/>
    <w:pPr>
      <w:widowControl/>
      <w:spacing w:before="120" w:after="120"/>
      <w:outlineLvl w:val="9"/>
    </w:pPr>
    <w:rPr>
      <w:rtl/>
      <w:cs/>
    </w:rPr>
  </w:style>
  <w:style w:type="paragraph" w:styleId="TOC1">
    <w:name w:val="toc 1"/>
    <w:basedOn w:val="a"/>
    <w:next w:val="a"/>
    <w:autoRedefine/>
    <w:uiPriority w:val="39"/>
    <w:unhideWhenUsed/>
    <w:rsid w:val="004A34FD"/>
    <w:pPr>
      <w:tabs>
        <w:tab w:val="right" w:leader="dot" w:pos="9629"/>
      </w:tabs>
      <w:spacing w:after="100"/>
    </w:pPr>
    <w:rPr>
      <w:bCs/>
      <w:szCs w:val="22"/>
    </w:rPr>
  </w:style>
  <w:style w:type="paragraph" w:styleId="TOC2">
    <w:name w:val="toc 2"/>
    <w:basedOn w:val="a"/>
    <w:next w:val="a"/>
    <w:uiPriority w:val="39"/>
    <w:unhideWhenUsed/>
    <w:rsid w:val="004A34FD"/>
    <w:pPr>
      <w:tabs>
        <w:tab w:val="right" w:leader="dot" w:pos="9628"/>
      </w:tabs>
      <w:spacing w:after="100"/>
    </w:pPr>
    <w:rPr>
      <w:szCs w:val="22"/>
    </w:rPr>
  </w:style>
  <w:style w:type="character" w:styleId="Hyperlink">
    <w:name w:val="Hyperlink"/>
    <w:basedOn w:val="a0"/>
    <w:uiPriority w:val="99"/>
    <w:unhideWhenUsed/>
    <w:rsid w:val="004A34FD"/>
    <w:rPr>
      <w:color w:val="0563C1" w:themeColor="hyperlink"/>
      <w:u w:val="single"/>
    </w:rPr>
  </w:style>
  <w:style w:type="paragraph" w:styleId="TOC3">
    <w:name w:val="toc 3"/>
    <w:basedOn w:val="a"/>
    <w:next w:val="a"/>
    <w:uiPriority w:val="39"/>
    <w:unhideWhenUsed/>
    <w:rsid w:val="004A34FD"/>
    <w:pPr>
      <w:numPr>
        <w:numId w:val="19"/>
      </w:numPr>
      <w:tabs>
        <w:tab w:val="num" w:pos="360"/>
        <w:tab w:val="right" w:leader="dot" w:pos="9629"/>
      </w:tabs>
      <w:spacing w:after="100"/>
      <w:ind w:left="811" w:hanging="357"/>
    </w:pPr>
    <w:rPr>
      <w:szCs w:val="22"/>
    </w:rPr>
  </w:style>
  <w:style w:type="paragraph" w:styleId="TOC4">
    <w:name w:val="toc 4"/>
    <w:basedOn w:val="a"/>
    <w:next w:val="a"/>
    <w:autoRedefine/>
    <w:uiPriority w:val="39"/>
    <w:unhideWhenUsed/>
    <w:qFormat/>
    <w:rsid w:val="004A34FD"/>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4A34FD"/>
    <w:pPr>
      <w:tabs>
        <w:tab w:val="right" w:leader="dot" w:pos="9628"/>
      </w:tabs>
      <w:spacing w:after="100"/>
      <w:ind w:left="567"/>
    </w:pPr>
    <w:rPr>
      <w:szCs w:val="22"/>
    </w:rPr>
  </w:style>
  <w:style w:type="paragraph" w:styleId="TOC6">
    <w:name w:val="toc 6"/>
    <w:basedOn w:val="a"/>
    <w:next w:val="a"/>
    <w:autoRedefine/>
    <w:semiHidden/>
    <w:unhideWhenUsed/>
    <w:rsid w:val="004A34FD"/>
    <w:pPr>
      <w:spacing w:after="100"/>
      <w:ind w:left="850"/>
    </w:pPr>
  </w:style>
  <w:style w:type="paragraph" w:styleId="TOC7">
    <w:name w:val="toc 7"/>
    <w:basedOn w:val="a"/>
    <w:next w:val="a"/>
    <w:autoRedefine/>
    <w:semiHidden/>
    <w:unhideWhenUsed/>
    <w:rsid w:val="004A34FD"/>
    <w:pPr>
      <w:spacing w:after="100"/>
      <w:ind w:left="1020"/>
    </w:pPr>
  </w:style>
  <w:style w:type="paragraph" w:styleId="TOC8">
    <w:name w:val="toc 8"/>
    <w:basedOn w:val="a"/>
    <w:next w:val="a"/>
    <w:autoRedefine/>
    <w:semiHidden/>
    <w:unhideWhenUsed/>
    <w:rsid w:val="004A34FD"/>
    <w:pPr>
      <w:spacing w:after="100"/>
      <w:ind w:left="1190"/>
    </w:pPr>
  </w:style>
  <w:style w:type="paragraph" w:styleId="TOC9">
    <w:name w:val="toc 9"/>
    <w:basedOn w:val="a"/>
    <w:next w:val="a"/>
    <w:autoRedefine/>
    <w:semiHidden/>
    <w:unhideWhenUsed/>
    <w:rsid w:val="004A34FD"/>
    <w:pPr>
      <w:spacing w:after="100"/>
      <w:ind w:left="1360"/>
    </w:pPr>
  </w:style>
  <w:style w:type="paragraph" w:customStyle="1" w:styleId="TableHead2">
    <w:name w:val="Table Head2"/>
    <w:basedOn w:val="TableHead"/>
    <w:qFormat/>
    <w:rsid w:val="004A34FD"/>
    <w:pPr>
      <w:outlineLvl w:val="9"/>
    </w:pPr>
  </w:style>
  <w:style w:type="paragraph" w:customStyle="1" w:styleId="TableSideHeading2">
    <w:name w:val="Table SideHeading2"/>
    <w:basedOn w:val="TableSideHeading"/>
    <w:autoRedefine/>
    <w:qFormat/>
    <w:rsid w:val="004A34FD"/>
    <w:pPr>
      <w:keepLines w:val="0"/>
      <w:outlineLvl w:val="9"/>
    </w:pPr>
  </w:style>
  <w:style w:type="paragraph" w:customStyle="1" w:styleId="0">
    <w:name w:val="סגנון שורה ראשונה:  0  ס''מ"/>
    <w:basedOn w:val="2"/>
    <w:rsid w:val="004A34FD"/>
    <w:rPr>
      <w:rFonts w:eastAsia="Times New Roman"/>
    </w:rPr>
  </w:style>
  <w:style w:type="paragraph" w:styleId="af">
    <w:name w:val="List Paragraph"/>
    <w:aliases w:val="LP1,lp1,Bullet List,FooterText,numbered,Paragraphe de liste1,פיסקת bullets"/>
    <w:basedOn w:val="a"/>
    <w:link w:val="af0"/>
    <w:uiPriority w:val="34"/>
    <w:qFormat/>
    <w:rsid w:val="004A34FD"/>
    <w:pPr>
      <w:widowControl/>
      <w:spacing w:line="259" w:lineRule="auto"/>
    </w:pPr>
    <w:rPr>
      <w:rFonts w:asciiTheme="minorHAnsi" w:hAnsiTheme="minorHAnsi"/>
      <w:sz w:val="22"/>
    </w:rPr>
  </w:style>
  <w:style w:type="table" w:styleId="af1">
    <w:name w:val="Table Grid"/>
    <w:basedOn w:val="a1"/>
    <w:rsid w:val="004A34FD"/>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4A34F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4A34FD"/>
    <w:pPr>
      <w:spacing w:after="0" w:line="240" w:lineRule="auto"/>
    </w:pPr>
    <w:rPr>
      <w:rFonts w:ascii="Times New Roman" w:eastAsia="MS Mincho"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2">
    <w:name w:val="טבלת חקיקה"/>
    <w:basedOn w:val="a1"/>
    <w:uiPriority w:val="99"/>
    <w:rsid w:val="004A34FD"/>
    <w:pPr>
      <w:spacing w:after="0" w:line="240" w:lineRule="auto"/>
      <w:jc w:val="center"/>
    </w:pPr>
    <w:rPr>
      <w:rFonts w:ascii="Times New Roman" w:eastAsia="MS Mincho" w:hAnsi="Times New Roman"/>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4A34FD"/>
    <w:pPr>
      <w:spacing w:after="0" w:line="240" w:lineRule="auto"/>
    </w:pPr>
    <w:rPr>
      <w:rFonts w:ascii="Times New Roman" w:eastAsia="MS Mincho" w:hAnsi="Times New Roman" w:cs="Times New Roman"/>
      <w:sz w:val="20"/>
      <w:szCs w:val="20"/>
    </w:rPr>
    <w:tblPr/>
    <w:tblStylePr w:type="firstCol">
      <w:pPr>
        <w:keepNext w:val="0"/>
        <w:keepLines/>
        <w:pageBreakBefore w:val="0"/>
        <w:widowControl w:val="0"/>
        <w:suppressLineNumbers w:val="0"/>
        <w:suppressAutoHyphens w:val="0"/>
        <w:wordWrap/>
      </w:pPr>
    </w:tblStylePr>
  </w:style>
  <w:style w:type="character" w:styleId="af3">
    <w:name w:val="annotation reference"/>
    <w:basedOn w:val="a0"/>
    <w:unhideWhenUsed/>
    <w:rsid w:val="0053208F"/>
    <w:rPr>
      <w:sz w:val="16"/>
      <w:szCs w:val="16"/>
    </w:rPr>
  </w:style>
  <w:style w:type="paragraph" w:styleId="af4">
    <w:name w:val="annotation text"/>
    <w:basedOn w:val="a"/>
    <w:link w:val="af5"/>
    <w:uiPriority w:val="99"/>
    <w:unhideWhenUsed/>
    <w:rsid w:val="0053208F"/>
    <w:pPr>
      <w:spacing w:line="240" w:lineRule="auto"/>
    </w:pPr>
    <w:rPr>
      <w:sz w:val="20"/>
      <w:szCs w:val="20"/>
    </w:rPr>
  </w:style>
  <w:style w:type="character" w:customStyle="1" w:styleId="af5">
    <w:name w:val="טקסט הערה תו"/>
    <w:basedOn w:val="a0"/>
    <w:link w:val="af4"/>
    <w:uiPriority w:val="99"/>
    <w:rsid w:val="0053208F"/>
    <w:rPr>
      <w:rFonts w:ascii="David" w:hAnsi="David" w:cs="David"/>
      <w:sz w:val="20"/>
      <w:szCs w:val="20"/>
    </w:rPr>
  </w:style>
  <w:style w:type="paragraph" w:styleId="af6">
    <w:name w:val="Balloon Text"/>
    <w:basedOn w:val="a"/>
    <w:link w:val="af7"/>
    <w:uiPriority w:val="99"/>
    <w:semiHidden/>
    <w:unhideWhenUsed/>
    <w:rsid w:val="0053208F"/>
    <w:pPr>
      <w:spacing w:line="240" w:lineRule="auto"/>
    </w:pPr>
    <w:rPr>
      <w:rFonts w:ascii="Tahoma" w:hAnsi="Tahoma" w:cs="Tahoma"/>
      <w:sz w:val="18"/>
      <w:szCs w:val="18"/>
    </w:rPr>
  </w:style>
  <w:style w:type="character" w:customStyle="1" w:styleId="af7">
    <w:name w:val="טקסט בלונים תו"/>
    <w:basedOn w:val="a0"/>
    <w:link w:val="af6"/>
    <w:uiPriority w:val="99"/>
    <w:semiHidden/>
    <w:rsid w:val="0053208F"/>
    <w:rPr>
      <w:rFonts w:ascii="Tahoma" w:hAnsi="Tahoma" w:cs="Tahoma"/>
      <w:sz w:val="18"/>
      <w:szCs w:val="18"/>
    </w:rPr>
  </w:style>
  <w:style w:type="character" w:customStyle="1" w:styleId="default">
    <w:name w:val="default"/>
    <w:rsid w:val="005061C6"/>
    <w:rPr>
      <w:rFonts w:ascii="Times New Roman" w:hAnsi="Times New Roman" w:cs="Times New Roman"/>
      <w:sz w:val="26"/>
      <w:szCs w:val="26"/>
    </w:rPr>
  </w:style>
  <w:style w:type="paragraph" w:customStyle="1" w:styleId="P00">
    <w:name w:val="P00"/>
    <w:link w:val="P000"/>
    <w:rsid w:val="00377CC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377CCB"/>
    <w:pPr>
      <w:tabs>
        <w:tab w:val="clear" w:pos="624"/>
        <w:tab w:val="clear" w:pos="1021"/>
      </w:tabs>
      <w:ind w:right="1021"/>
    </w:pPr>
  </w:style>
  <w:style w:type="paragraph" w:customStyle="1" w:styleId="P33">
    <w:name w:val="P33"/>
    <w:basedOn w:val="P00"/>
    <w:rsid w:val="00EA230D"/>
    <w:pPr>
      <w:tabs>
        <w:tab w:val="clear" w:pos="624"/>
        <w:tab w:val="clear" w:pos="1021"/>
        <w:tab w:val="clear" w:pos="1474"/>
      </w:tabs>
      <w:ind w:right="1474"/>
    </w:pPr>
  </w:style>
  <w:style w:type="paragraph" w:styleId="af8">
    <w:name w:val="annotation subject"/>
    <w:basedOn w:val="af4"/>
    <w:next w:val="af4"/>
    <w:link w:val="af9"/>
    <w:uiPriority w:val="99"/>
    <w:semiHidden/>
    <w:unhideWhenUsed/>
    <w:rsid w:val="00173C2D"/>
    <w:rPr>
      <w:b/>
      <w:bCs/>
    </w:rPr>
  </w:style>
  <w:style w:type="character" w:customStyle="1" w:styleId="af9">
    <w:name w:val="נושא הערה תו"/>
    <w:basedOn w:val="af5"/>
    <w:link w:val="af8"/>
    <w:uiPriority w:val="99"/>
    <w:semiHidden/>
    <w:rsid w:val="00173C2D"/>
    <w:rPr>
      <w:rFonts w:ascii="David" w:hAnsi="David" w:cs="David"/>
      <w:b/>
      <w:bCs/>
      <w:sz w:val="20"/>
      <w:szCs w:val="20"/>
    </w:rPr>
  </w:style>
  <w:style w:type="paragraph" w:customStyle="1" w:styleId="p02">
    <w:name w:val="p02"/>
    <w:basedOn w:val="a"/>
    <w:rsid w:val="00A851AF"/>
    <w:pPr>
      <w:widowControl/>
      <w:bidi w:val="0"/>
      <w:spacing w:before="100" w:beforeAutospacing="1" w:after="100" w:afterAutospacing="1" w:line="240" w:lineRule="auto"/>
      <w:ind w:left="0"/>
      <w:contextualSpacing w:val="0"/>
      <w:jc w:val="left"/>
    </w:pPr>
    <w:rPr>
      <w:rFonts w:ascii="Times New Roman" w:eastAsia="Times New Roman" w:hAnsi="Times New Roman" w:cs="Times New Roman"/>
    </w:rPr>
  </w:style>
  <w:style w:type="character" w:customStyle="1" w:styleId="P000">
    <w:name w:val="P00 תו"/>
    <w:link w:val="P00"/>
    <w:rsid w:val="00F10875"/>
    <w:rPr>
      <w:rFonts w:ascii="Times New Roman" w:eastAsia="Times New Roman" w:hAnsi="Times New Roman" w:cs="Times New Roman"/>
      <w:noProof/>
      <w:sz w:val="20"/>
      <w:szCs w:val="26"/>
      <w:lang w:eastAsia="he-IL"/>
    </w:rPr>
  </w:style>
  <w:style w:type="character" w:customStyle="1" w:styleId="af0">
    <w:name w:val="פיסקת רשימה תו"/>
    <w:aliases w:val="LP1 תו,lp1 תו,Bullet List תו,FooterText תו,numbered תו,Paragraphe de liste1 תו,פיסקת bullets תו"/>
    <w:basedOn w:val="a0"/>
    <w:link w:val="af"/>
    <w:uiPriority w:val="34"/>
    <w:rsid w:val="009F03FA"/>
    <w:rPr>
      <w:rFonts w:cs="David"/>
      <w:szCs w:val="24"/>
    </w:rPr>
  </w:style>
  <w:style w:type="paragraph" w:styleId="afa">
    <w:name w:val="Revision"/>
    <w:hidden/>
    <w:uiPriority w:val="99"/>
    <w:semiHidden/>
    <w:rsid w:val="00E1507B"/>
    <w:pPr>
      <w:spacing w:after="0" w:line="240" w:lineRule="auto"/>
    </w:pPr>
    <w:rPr>
      <w:rFonts w:ascii="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3912">
      <w:bodyDiv w:val="1"/>
      <w:marLeft w:val="0"/>
      <w:marRight w:val="0"/>
      <w:marTop w:val="0"/>
      <w:marBottom w:val="0"/>
      <w:divBdr>
        <w:top w:val="none" w:sz="0" w:space="0" w:color="auto"/>
        <w:left w:val="none" w:sz="0" w:space="0" w:color="auto"/>
        <w:bottom w:val="none" w:sz="0" w:space="0" w:color="auto"/>
        <w:right w:val="none" w:sz="0" w:space="0" w:color="auto"/>
      </w:divBdr>
    </w:div>
    <w:div w:id="881946580">
      <w:bodyDiv w:val="1"/>
      <w:marLeft w:val="0"/>
      <w:marRight w:val="0"/>
      <w:marTop w:val="0"/>
      <w:marBottom w:val="0"/>
      <w:divBdr>
        <w:top w:val="none" w:sz="0" w:space="0" w:color="auto"/>
        <w:left w:val="none" w:sz="0" w:space="0" w:color="auto"/>
        <w:bottom w:val="none" w:sz="0" w:space="0" w:color="auto"/>
        <w:right w:val="none" w:sz="0" w:space="0" w:color="auto"/>
      </w:divBdr>
    </w:div>
    <w:div w:id="1161970664">
      <w:bodyDiv w:val="1"/>
      <w:marLeft w:val="0"/>
      <w:marRight w:val="0"/>
      <w:marTop w:val="0"/>
      <w:marBottom w:val="0"/>
      <w:divBdr>
        <w:top w:val="none" w:sz="0" w:space="0" w:color="auto"/>
        <w:left w:val="none" w:sz="0" w:space="0" w:color="auto"/>
        <w:bottom w:val="none" w:sz="0" w:space="0" w:color="auto"/>
        <w:right w:val="none" w:sz="0" w:space="0" w:color="auto"/>
      </w:divBdr>
    </w:div>
    <w:div w:id="1318266848">
      <w:bodyDiv w:val="1"/>
      <w:marLeft w:val="0"/>
      <w:marRight w:val="0"/>
      <w:marTop w:val="0"/>
      <w:marBottom w:val="0"/>
      <w:divBdr>
        <w:top w:val="none" w:sz="0" w:space="0" w:color="auto"/>
        <w:left w:val="none" w:sz="0" w:space="0" w:color="auto"/>
        <w:bottom w:val="none" w:sz="0" w:space="0" w:color="auto"/>
        <w:right w:val="none" w:sz="0" w:space="0" w:color="auto"/>
      </w:divBdr>
    </w:div>
    <w:div w:id="1813403238">
      <w:bodyDiv w:val="1"/>
      <w:marLeft w:val="0"/>
      <w:marRight w:val="0"/>
      <w:marTop w:val="0"/>
      <w:marBottom w:val="0"/>
      <w:divBdr>
        <w:top w:val="none" w:sz="0" w:space="0" w:color="auto"/>
        <w:left w:val="none" w:sz="0" w:space="0" w:color="auto"/>
        <w:bottom w:val="none" w:sz="0" w:space="0" w:color="auto"/>
        <w:right w:val="none" w:sz="0" w:space="0" w:color="auto"/>
      </w:divBdr>
    </w:div>
    <w:div w:id="191666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1909</Words>
  <Characters>9545</Characters>
  <Application>Microsoft Office Word</Application>
  <DocSecurity>0</DocSecurity>
  <Lines>79</Lines>
  <Paragraphs>22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Office 2019 Pro</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דודי קופל</dc:creator>
  <cp:keywords/>
  <dc:description/>
  <cp:lastModifiedBy>שני סולטן</cp:lastModifiedBy>
  <cp:revision>2</cp:revision>
  <cp:lastPrinted>2024-08-04T11:02:00Z</cp:lastPrinted>
  <dcterms:created xsi:type="dcterms:W3CDTF">2025-09-25T05:54:00Z</dcterms:created>
  <dcterms:modified xsi:type="dcterms:W3CDTF">2025-09-25T05:54:00Z</dcterms:modified>
</cp:coreProperties>
</file>