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5A5" w:rsidRDefault="009435A5" w:rsidP="00E34D1B">
      <w:pPr>
        <w:spacing w:line="360" w:lineRule="auto"/>
        <w:rPr>
          <w:rtl/>
        </w:rPr>
      </w:pPr>
    </w:p>
    <w:p w:rsidR="00E34D1B" w:rsidRDefault="00E34D1B" w:rsidP="00E34D1B">
      <w:pPr>
        <w:spacing w:line="360" w:lineRule="auto"/>
        <w:rPr>
          <w:rtl/>
        </w:rPr>
      </w:pPr>
      <w:bookmarkStart w:id="0" w:name="_GoBack"/>
      <w:bookmarkEnd w:id="0"/>
    </w:p>
    <w:p w:rsidR="00176999" w:rsidRDefault="00176999" w:rsidP="00E34D1B">
      <w:pPr>
        <w:ind w:left="7370"/>
        <w:rPr>
          <w:sz w:val="24"/>
          <w:rtl/>
        </w:rPr>
      </w:pPr>
      <w:bookmarkStart w:id="1" w:name="Date"/>
      <w:bookmarkEnd w:id="1"/>
      <w:r>
        <w:rPr>
          <w:rFonts w:hint="eastAsia"/>
          <w:sz w:val="24"/>
          <w:rtl/>
        </w:rPr>
        <w:t>כ</w:t>
      </w:r>
      <w:r>
        <w:rPr>
          <w:sz w:val="24"/>
          <w:rtl/>
        </w:rPr>
        <w:t xml:space="preserve">"ב בטבת </w:t>
      </w:r>
      <w:proofErr w:type="spellStart"/>
      <w:r>
        <w:rPr>
          <w:sz w:val="24"/>
          <w:rtl/>
        </w:rPr>
        <w:t>התשפ"ג</w:t>
      </w:r>
      <w:proofErr w:type="spellEnd"/>
      <w:r>
        <w:rPr>
          <w:sz w:val="24"/>
          <w:rtl/>
        </w:rPr>
        <w:br/>
        <w:t>15 בינואר 2023</w:t>
      </w:r>
    </w:p>
    <w:p w:rsidR="00E456C2" w:rsidRDefault="00E456C2" w:rsidP="003C217D">
      <w:pPr>
        <w:spacing w:before="120" w:after="120"/>
        <w:rPr>
          <w:rFonts w:ascii="Arial" w:eastAsia="Arial Unicode MS" w:hAnsi="Arial"/>
          <w:b/>
          <w:bCs/>
          <w:snapToGrid w:val="0"/>
          <w:szCs w:val="26"/>
          <w:rtl/>
        </w:rPr>
      </w:pPr>
      <w:bookmarkStart w:id="2" w:name="DocNum"/>
      <w:bookmarkStart w:id="3" w:name="Start"/>
      <w:bookmarkEnd w:id="2"/>
      <w:bookmarkEnd w:id="3"/>
    </w:p>
    <w:p w:rsidR="00E456C2" w:rsidRPr="007B6967" w:rsidRDefault="00E456C2" w:rsidP="00E456C2">
      <w:pPr>
        <w:spacing w:before="120" w:after="120"/>
        <w:jc w:val="center"/>
        <w:rPr>
          <w:rFonts w:ascii="Arial" w:eastAsia="Arial Unicode MS" w:hAnsi="Arial"/>
          <w:b/>
          <w:bCs/>
          <w:snapToGrid w:val="0"/>
          <w:szCs w:val="26"/>
        </w:rPr>
      </w:pPr>
      <w:r>
        <w:rPr>
          <w:rFonts w:ascii="Arial" w:eastAsia="Arial Unicode MS" w:hAnsi="Arial" w:hint="cs"/>
          <w:b/>
          <w:bCs/>
          <w:snapToGrid w:val="0"/>
          <w:szCs w:val="26"/>
          <w:rtl/>
        </w:rPr>
        <w:t xml:space="preserve">טיוטת </w:t>
      </w:r>
      <w:r w:rsidRPr="007B6967">
        <w:rPr>
          <w:rFonts w:ascii="Arial" w:eastAsia="Arial Unicode MS" w:hAnsi="Arial" w:hint="cs"/>
          <w:b/>
          <w:bCs/>
          <w:snapToGrid w:val="0"/>
          <w:szCs w:val="26"/>
          <w:rtl/>
        </w:rPr>
        <w:t xml:space="preserve">הוראות הפיקוח על שירותים פיננסיים (ביטוח) (תנאים בחוזה ביטוח </w:t>
      </w:r>
      <w:r>
        <w:rPr>
          <w:rFonts w:ascii="Arial" w:eastAsia="Arial Unicode MS" w:hAnsi="Arial" w:hint="cs"/>
          <w:b/>
          <w:bCs/>
          <w:snapToGrid w:val="0"/>
          <w:szCs w:val="26"/>
          <w:rtl/>
        </w:rPr>
        <w:t>לפוליסת בריאות בסיסית)</w:t>
      </w:r>
      <w:r w:rsidRPr="007B6967">
        <w:rPr>
          <w:rFonts w:ascii="Arial" w:eastAsia="Arial Unicode MS" w:hAnsi="Arial"/>
          <w:b/>
          <w:bCs/>
          <w:snapToGrid w:val="0"/>
          <w:szCs w:val="26"/>
          <w:rtl/>
        </w:rPr>
        <w:t xml:space="preserve">, </w:t>
      </w:r>
      <w:proofErr w:type="spellStart"/>
      <w:r w:rsidRPr="007B6967">
        <w:rPr>
          <w:rFonts w:ascii="Arial" w:eastAsia="Arial Unicode MS" w:hAnsi="Arial" w:hint="cs"/>
          <w:b/>
          <w:bCs/>
          <w:snapToGrid w:val="0"/>
          <w:szCs w:val="26"/>
          <w:rtl/>
        </w:rPr>
        <w:t>ה</w:t>
      </w:r>
      <w:r>
        <w:rPr>
          <w:rFonts w:ascii="Arial" w:eastAsia="Arial Unicode MS" w:hAnsi="Arial"/>
          <w:b/>
          <w:bCs/>
          <w:snapToGrid w:val="0"/>
          <w:szCs w:val="26"/>
          <w:rtl/>
        </w:rPr>
        <w:t>תשפ"</w:t>
      </w:r>
      <w:r>
        <w:rPr>
          <w:rFonts w:ascii="Arial" w:eastAsia="Arial Unicode MS" w:hAnsi="Arial" w:hint="cs"/>
          <w:b/>
          <w:bCs/>
          <w:snapToGrid w:val="0"/>
          <w:szCs w:val="26"/>
          <w:rtl/>
        </w:rPr>
        <w:t>ג</w:t>
      </w:r>
      <w:proofErr w:type="spellEnd"/>
      <w:r w:rsidRPr="007B6967">
        <w:rPr>
          <w:rFonts w:ascii="Arial" w:eastAsia="Arial Unicode MS" w:hAnsi="Arial"/>
          <w:b/>
          <w:bCs/>
          <w:snapToGrid w:val="0"/>
          <w:szCs w:val="26"/>
          <w:rtl/>
        </w:rPr>
        <w:t xml:space="preserve"> - 202</w:t>
      </w:r>
      <w:r>
        <w:rPr>
          <w:rFonts w:ascii="Arial" w:eastAsia="Arial Unicode MS" w:hAnsi="Arial" w:hint="cs"/>
          <w:b/>
          <w:bCs/>
          <w:snapToGrid w:val="0"/>
          <w:szCs w:val="26"/>
          <w:rtl/>
        </w:rPr>
        <w:t>2</w:t>
      </w:r>
    </w:p>
    <w:p w:rsidR="00E456C2" w:rsidRPr="00771B64" w:rsidRDefault="00E456C2" w:rsidP="00E456C2">
      <w:pPr>
        <w:spacing w:before="200" w:after="200" w:line="276" w:lineRule="auto"/>
        <w:jc w:val="center"/>
        <w:rPr>
          <w:rFonts w:ascii="Arial" w:eastAsia="Arial Unicode MS" w:hAnsi="Arial"/>
          <w:b/>
          <w:bCs/>
          <w:snapToGrid w:val="0"/>
          <w:szCs w:val="26"/>
        </w:rPr>
      </w:pPr>
    </w:p>
    <w:p w:rsidR="00E456C2" w:rsidRPr="007B6967" w:rsidRDefault="00E456C2" w:rsidP="00E456C2">
      <w:pPr>
        <w:spacing w:before="200" w:after="200" w:line="276" w:lineRule="auto"/>
        <w:rPr>
          <w:rFonts w:ascii="Arial" w:eastAsia="Arial Unicode MS" w:hAnsi="Arial"/>
          <w:b/>
          <w:bCs/>
          <w:snapToGrid w:val="0"/>
          <w:szCs w:val="26"/>
          <w:rtl/>
        </w:rPr>
      </w:pPr>
      <w:r w:rsidRPr="007B6967">
        <w:rPr>
          <w:rFonts w:ascii="Arial" w:eastAsia="Arial Unicode MS" w:hAnsi="Arial"/>
          <w:b/>
          <w:bCs/>
          <w:snapToGrid w:val="0"/>
          <w:szCs w:val="26"/>
          <w:rtl/>
        </w:rPr>
        <w:t xml:space="preserve">א. שם </w:t>
      </w:r>
      <w:r>
        <w:rPr>
          <w:rFonts w:ascii="Arial" w:eastAsia="Arial Unicode MS" w:hAnsi="Arial" w:hint="cs"/>
          <w:b/>
          <w:bCs/>
          <w:snapToGrid w:val="0"/>
          <w:szCs w:val="26"/>
          <w:rtl/>
        </w:rPr>
        <w:t>ההוראות</w:t>
      </w:r>
      <w:r w:rsidRPr="007B6967">
        <w:rPr>
          <w:rFonts w:ascii="Arial" w:eastAsia="Arial Unicode MS" w:hAnsi="Arial"/>
          <w:b/>
          <w:bCs/>
          <w:snapToGrid w:val="0"/>
          <w:szCs w:val="26"/>
          <w:rtl/>
        </w:rPr>
        <w:t xml:space="preserve"> </w:t>
      </w:r>
    </w:p>
    <w:p w:rsidR="00E456C2" w:rsidRPr="005B4CD1" w:rsidRDefault="00E456C2" w:rsidP="003C217D">
      <w:pPr>
        <w:spacing w:before="120" w:after="120" w:line="360" w:lineRule="auto"/>
        <w:jc w:val="both"/>
      </w:pPr>
      <w:r>
        <w:rPr>
          <w:rFonts w:hint="cs"/>
          <w:rtl/>
        </w:rPr>
        <w:t>טיוטת הוראות הפיקוח על שירותים פיננסיים (ביטוח) (תנאים בחוזה ביטוח לפוליסת בריאות בסיסית)</w:t>
      </w:r>
      <w:r w:rsidRPr="005B4CD1">
        <w:rPr>
          <w:rtl/>
        </w:rPr>
        <w:t xml:space="preserve">, </w:t>
      </w:r>
      <w:proofErr w:type="spellStart"/>
      <w:r>
        <w:rPr>
          <w:rFonts w:hint="cs"/>
          <w:rtl/>
        </w:rPr>
        <w:t>ה</w:t>
      </w:r>
      <w:r>
        <w:rPr>
          <w:rtl/>
        </w:rPr>
        <w:t>תשפ"</w:t>
      </w:r>
      <w:r>
        <w:rPr>
          <w:rFonts w:hint="cs"/>
          <w:rtl/>
        </w:rPr>
        <w:t>ג</w:t>
      </w:r>
      <w:proofErr w:type="spellEnd"/>
      <w:r>
        <w:rPr>
          <w:rtl/>
        </w:rPr>
        <w:t xml:space="preserve"> - 202</w:t>
      </w:r>
      <w:r>
        <w:rPr>
          <w:rFonts w:hint="cs"/>
          <w:rtl/>
        </w:rPr>
        <w:t>2</w:t>
      </w:r>
    </w:p>
    <w:p w:rsidR="00E456C2" w:rsidRPr="007B6967" w:rsidRDefault="00E456C2" w:rsidP="00E456C2">
      <w:pPr>
        <w:spacing w:before="200" w:after="200" w:line="276" w:lineRule="auto"/>
        <w:rPr>
          <w:rFonts w:ascii="Arial" w:eastAsia="Arial Unicode MS" w:hAnsi="Arial"/>
          <w:b/>
          <w:bCs/>
          <w:snapToGrid w:val="0"/>
          <w:szCs w:val="26"/>
        </w:rPr>
      </w:pPr>
    </w:p>
    <w:p w:rsidR="00E456C2" w:rsidRDefault="00E456C2" w:rsidP="00E456C2">
      <w:pPr>
        <w:spacing w:before="200" w:after="200" w:line="276" w:lineRule="auto"/>
        <w:rPr>
          <w:rFonts w:ascii="Arial" w:eastAsia="Arial Unicode MS" w:hAnsi="Arial"/>
          <w:b/>
          <w:bCs/>
          <w:snapToGrid w:val="0"/>
          <w:szCs w:val="26"/>
          <w:rtl/>
        </w:rPr>
      </w:pPr>
      <w:r w:rsidRPr="007B6967">
        <w:rPr>
          <w:rFonts w:ascii="Arial" w:eastAsia="Arial Unicode MS" w:hAnsi="Arial"/>
          <w:b/>
          <w:bCs/>
          <w:snapToGrid w:val="0"/>
          <w:szCs w:val="26"/>
          <w:rtl/>
        </w:rPr>
        <w:t xml:space="preserve">ב. מטרת </w:t>
      </w:r>
      <w:r>
        <w:rPr>
          <w:rFonts w:ascii="Arial" w:eastAsia="Arial Unicode MS" w:hAnsi="Arial" w:hint="cs"/>
          <w:b/>
          <w:bCs/>
          <w:snapToGrid w:val="0"/>
          <w:szCs w:val="26"/>
          <w:rtl/>
        </w:rPr>
        <w:t>ההוראות</w:t>
      </w:r>
      <w:r w:rsidRPr="007B6967">
        <w:rPr>
          <w:rFonts w:ascii="Arial" w:eastAsia="Arial Unicode MS" w:hAnsi="Arial"/>
          <w:b/>
          <w:bCs/>
          <w:snapToGrid w:val="0"/>
          <w:szCs w:val="26"/>
          <w:rtl/>
        </w:rPr>
        <w:t xml:space="preserve"> והצורך בהן </w:t>
      </w:r>
    </w:p>
    <w:p w:rsidR="00E456C2" w:rsidRDefault="00E456C2" w:rsidP="003C217D">
      <w:pPr>
        <w:spacing w:before="120" w:after="120" w:line="360" w:lineRule="auto"/>
        <w:jc w:val="both"/>
        <w:rPr>
          <w:rtl/>
        </w:rPr>
      </w:pPr>
      <w:r>
        <w:rPr>
          <w:rFonts w:hint="cs"/>
          <w:rtl/>
        </w:rPr>
        <w:t>ביום 19 בספטמבר 2022, פורסמו ה</w:t>
      </w:r>
      <w:r>
        <w:rPr>
          <w:rtl/>
        </w:rPr>
        <w:t xml:space="preserve">וראות הפיקוח על שירותים פיננסיים </w:t>
      </w:r>
      <w:r>
        <w:rPr>
          <w:rFonts w:hint="cs"/>
          <w:rtl/>
        </w:rPr>
        <w:t>(</w:t>
      </w:r>
      <w:r>
        <w:rPr>
          <w:rtl/>
        </w:rPr>
        <w:t>ביטוח</w:t>
      </w:r>
      <w:r>
        <w:rPr>
          <w:rFonts w:hint="cs"/>
          <w:rtl/>
        </w:rPr>
        <w:t>)</w:t>
      </w:r>
      <w:r>
        <w:rPr>
          <w:rtl/>
        </w:rPr>
        <w:t xml:space="preserve"> </w:t>
      </w:r>
      <w:r>
        <w:rPr>
          <w:rFonts w:hint="cs"/>
          <w:rtl/>
        </w:rPr>
        <w:t>(</w:t>
      </w:r>
      <w:r>
        <w:rPr>
          <w:rtl/>
        </w:rPr>
        <w:t>תנאים בחוזה ביטוח לפוליסת בריאות בסיסית</w:t>
      </w:r>
      <w:r>
        <w:rPr>
          <w:rFonts w:hint="cs"/>
          <w:rtl/>
        </w:rPr>
        <w:t>)</w:t>
      </w:r>
      <w:r>
        <w:rPr>
          <w:rtl/>
        </w:rPr>
        <w:t>, התשפ"ג-2022</w:t>
      </w:r>
      <w:r>
        <w:rPr>
          <w:rFonts w:hint="cs"/>
          <w:rtl/>
        </w:rPr>
        <w:t xml:space="preserve">. במסגרת ההוראות נקבעו הוראות אחידות </w:t>
      </w:r>
      <w:r w:rsidRPr="001055C9">
        <w:rPr>
          <w:rtl/>
        </w:rPr>
        <w:t>המגדירות כיסוי אחיד ומקיף</w:t>
      </w:r>
      <w:r w:rsidRPr="001055C9">
        <w:rPr>
          <w:rFonts w:hint="cs"/>
          <w:rtl/>
        </w:rPr>
        <w:t xml:space="preserve"> </w:t>
      </w:r>
      <w:r w:rsidR="003C217D">
        <w:rPr>
          <w:rFonts w:hint="cs"/>
          <w:rtl/>
        </w:rPr>
        <w:t>ל</w:t>
      </w:r>
      <w:r w:rsidRPr="001055C9">
        <w:rPr>
          <w:rtl/>
        </w:rPr>
        <w:t>פוליסת בריאות בסיסית שתורכב למעשה משלוש פוליסות אחידות: פוליסת השתלות וטיפולים מיוחדים מחוץ לישראל, פוליסת תרופות מחוץ לסל ופוליסת ניתוחים וטיפולים מחליפי ניתוח מחוץ לישראל</w:t>
      </w:r>
      <w:r>
        <w:rPr>
          <w:rFonts w:hint="cs"/>
          <w:rtl/>
        </w:rPr>
        <w:t>.</w:t>
      </w:r>
    </w:p>
    <w:p w:rsidR="00E456C2" w:rsidRDefault="00E456C2" w:rsidP="003C217D">
      <w:pPr>
        <w:spacing w:before="120" w:after="120" w:line="360" w:lineRule="auto"/>
        <w:jc w:val="both"/>
        <w:rPr>
          <w:rtl/>
        </w:rPr>
      </w:pPr>
      <w:r>
        <w:rPr>
          <w:rFonts w:hint="cs"/>
          <w:rtl/>
        </w:rPr>
        <w:t>נוכח הערות השוק מוצע לבצע בהוראות את התיקונים הבאים:</w:t>
      </w:r>
    </w:p>
    <w:p w:rsidR="00E456C2" w:rsidRPr="007F3451" w:rsidRDefault="00E456C2" w:rsidP="00E456C2">
      <w:pPr>
        <w:spacing w:before="120" w:after="120"/>
        <w:jc w:val="both"/>
      </w:pPr>
    </w:p>
    <w:p w:rsidR="00E456C2" w:rsidRDefault="00E456C2" w:rsidP="00E456C2">
      <w:pPr>
        <w:overflowPunct/>
        <w:autoSpaceDE/>
        <w:autoSpaceDN/>
        <w:bidi w:val="0"/>
        <w:adjustRightInd/>
        <w:spacing w:before="200" w:after="200" w:line="276" w:lineRule="auto"/>
        <w:textAlignment w:val="auto"/>
        <w:rPr>
          <w:rFonts w:ascii="Arial" w:eastAsia="Arial Unicode MS" w:hAnsi="Arial"/>
          <w:snapToGrid w:val="0"/>
          <w:sz w:val="24"/>
          <w:lang w:eastAsia="en-US"/>
        </w:rPr>
      </w:pPr>
      <w:r>
        <w:rPr>
          <w:sz w:val="24"/>
          <w:rtl/>
        </w:rPr>
        <w:br w:type="page"/>
      </w:r>
    </w:p>
    <w:p w:rsidR="00E456C2" w:rsidRPr="007520B4" w:rsidRDefault="00E456C2" w:rsidP="00E456C2">
      <w:pPr>
        <w:spacing w:before="200" w:after="200" w:line="276" w:lineRule="auto"/>
        <w:rPr>
          <w:rFonts w:ascii="David" w:eastAsia="Arial Unicode MS" w:hAnsi="David"/>
          <w:b/>
          <w:bCs/>
          <w:snapToGrid w:val="0"/>
          <w:sz w:val="26"/>
          <w:szCs w:val="26"/>
        </w:rPr>
      </w:pPr>
      <w:r w:rsidRPr="007520B4">
        <w:rPr>
          <w:rFonts w:ascii="David" w:eastAsia="Arial Unicode MS" w:hAnsi="David"/>
          <w:b/>
          <w:bCs/>
          <w:snapToGrid w:val="0"/>
          <w:sz w:val="26"/>
          <w:szCs w:val="26"/>
          <w:rtl/>
        </w:rPr>
        <w:lastRenderedPageBreak/>
        <w:t xml:space="preserve">ג. להלן נוסח ההוראות: </w:t>
      </w:r>
    </w:p>
    <w:p w:rsidR="00E456C2" w:rsidRPr="007520B4" w:rsidRDefault="00E456C2" w:rsidP="00E456C2">
      <w:pPr>
        <w:pStyle w:val="HeadMitparsemetBaze"/>
        <w:keepNext w:val="0"/>
        <w:keepLines w:val="0"/>
        <w:pageBreakBefore w:val="0"/>
        <w:ind w:left="0"/>
        <w:rPr>
          <w:rFonts w:ascii="David" w:hAnsi="David"/>
          <w:sz w:val="26"/>
          <w:rtl/>
        </w:rPr>
      </w:pPr>
      <w:r w:rsidRPr="007520B4">
        <w:rPr>
          <w:rFonts w:ascii="David" w:hAnsi="David"/>
          <w:sz w:val="26"/>
          <w:rtl/>
        </w:rPr>
        <w:t xml:space="preserve">הוראות מטעם רשות שוק ההון, ביטוח וחיסכון: </w:t>
      </w:r>
    </w:p>
    <w:p w:rsidR="00E456C2" w:rsidRPr="007520B4" w:rsidRDefault="00E456C2" w:rsidP="00E456C2">
      <w:pPr>
        <w:spacing w:before="120" w:after="120"/>
        <w:rPr>
          <w:rFonts w:ascii="David" w:hAnsi="David"/>
          <w:sz w:val="24"/>
        </w:rPr>
      </w:pPr>
      <w:r w:rsidRPr="007520B4">
        <w:rPr>
          <w:rFonts w:ascii="David" w:hAnsi="David"/>
          <w:sz w:val="24"/>
          <w:rtl/>
        </w:rPr>
        <w:t xml:space="preserve">הוראות הפיקוח על שירותים פיננסיים (ביטוח) (תנאים בחוזה ביטוח לפוליסת בריאות בסיסית), </w:t>
      </w:r>
      <w:proofErr w:type="spellStart"/>
      <w:r w:rsidRPr="007520B4">
        <w:rPr>
          <w:rFonts w:ascii="David" w:hAnsi="David"/>
          <w:sz w:val="24"/>
          <w:rtl/>
        </w:rPr>
        <w:t>התשפ"</w:t>
      </w:r>
      <w:r>
        <w:rPr>
          <w:rFonts w:ascii="David" w:hAnsi="David" w:hint="cs"/>
          <w:sz w:val="24"/>
          <w:rtl/>
        </w:rPr>
        <w:t>ג</w:t>
      </w:r>
      <w:proofErr w:type="spellEnd"/>
      <w:r w:rsidRPr="007520B4">
        <w:rPr>
          <w:rFonts w:ascii="David" w:hAnsi="David"/>
          <w:sz w:val="24"/>
          <w:rtl/>
        </w:rPr>
        <w:t xml:space="preserve"> - 2022</w:t>
      </w:r>
    </w:p>
    <w:p w:rsidR="00E456C2" w:rsidRPr="007520B4" w:rsidRDefault="00E456C2" w:rsidP="00E456C2">
      <w:pPr>
        <w:pStyle w:val="HeadHatzaotHok"/>
        <w:keepNext w:val="0"/>
        <w:keepLines w:val="0"/>
        <w:jc w:val="both"/>
        <w:rPr>
          <w:rFonts w:ascii="David" w:hAnsi="David"/>
          <w:sz w:val="24"/>
          <w:szCs w:val="24"/>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E456C2" w:rsidRPr="007520B4" w:rsidTr="0079038F">
        <w:trPr>
          <w:cantSplit/>
          <w:trHeight w:val="60"/>
        </w:trPr>
        <w:tc>
          <w:tcPr>
            <w:tcW w:w="9641" w:type="dxa"/>
            <w:gridSpan w:val="3"/>
          </w:tcPr>
          <w:p w:rsidR="00E456C2" w:rsidRPr="007520B4" w:rsidRDefault="00E456C2" w:rsidP="0079038F">
            <w:pPr>
              <w:pStyle w:val="TableBlock"/>
              <w:rPr>
                <w:rFonts w:ascii="David" w:hAnsi="David"/>
                <w:color w:val="FF0000"/>
                <w:sz w:val="24"/>
                <w:szCs w:val="24"/>
              </w:rPr>
            </w:pPr>
            <w:r w:rsidRPr="007520B4">
              <w:rPr>
                <w:rFonts w:ascii="David" w:hAnsi="David"/>
                <w:sz w:val="24"/>
                <w:szCs w:val="24"/>
                <w:rtl/>
              </w:rPr>
              <w:t>בתוקף סמכותי לפי סעיף 38 לחוק הפיקוח על שירותים פיננסיים (ביטוח), התשמ"א-1981</w:t>
            </w:r>
            <w:r w:rsidRPr="007520B4">
              <w:rPr>
                <w:rStyle w:val="af1"/>
                <w:rFonts w:ascii="David" w:hAnsi="David"/>
                <w:sz w:val="24"/>
                <w:szCs w:val="24"/>
                <w:rtl/>
              </w:rPr>
              <w:footnoteReference w:id="1"/>
            </w:r>
            <w:r w:rsidRPr="007520B4">
              <w:rPr>
                <w:rFonts w:ascii="David" w:hAnsi="David"/>
                <w:sz w:val="24"/>
                <w:szCs w:val="24"/>
                <w:rtl/>
              </w:rPr>
              <w:t xml:space="preserve"> (להלן – החוק), ואחרי התייעצות עם הוועדה המייעצת, אני מורה </w:t>
            </w:r>
            <w:proofErr w:type="spellStart"/>
            <w:r w:rsidRPr="007520B4">
              <w:rPr>
                <w:rFonts w:ascii="David" w:hAnsi="David"/>
                <w:sz w:val="24"/>
                <w:szCs w:val="24"/>
                <w:rtl/>
              </w:rPr>
              <w:t>לאמר</w:t>
            </w:r>
            <w:proofErr w:type="spellEnd"/>
            <w:r w:rsidRPr="007520B4">
              <w:rPr>
                <w:rFonts w:ascii="David" w:hAnsi="David"/>
                <w:sz w:val="24"/>
                <w:szCs w:val="24"/>
                <w:rtl/>
              </w:rPr>
              <w:t>:</w:t>
            </w:r>
          </w:p>
        </w:tc>
      </w:tr>
      <w:tr w:rsidR="00E456C2" w:rsidRPr="007520B4" w:rsidTr="0079038F">
        <w:trPr>
          <w:cantSplit/>
          <w:trHeight w:val="60"/>
        </w:trPr>
        <w:tc>
          <w:tcPr>
            <w:tcW w:w="1871" w:type="dxa"/>
          </w:tcPr>
          <w:p w:rsidR="00E456C2" w:rsidRPr="007520B4" w:rsidRDefault="00E456C2" w:rsidP="0079038F">
            <w:pPr>
              <w:pStyle w:val="TableSideHeading"/>
              <w:keepLines w:val="0"/>
              <w:jc w:val="both"/>
              <w:rPr>
                <w:rFonts w:ascii="David" w:hAnsi="David"/>
                <w:sz w:val="24"/>
                <w:szCs w:val="24"/>
              </w:rPr>
            </w:pPr>
            <w:r>
              <w:rPr>
                <w:rFonts w:ascii="David" w:hAnsi="David" w:hint="cs"/>
                <w:sz w:val="24"/>
                <w:szCs w:val="24"/>
                <w:rtl/>
              </w:rPr>
              <w:t>תיקון סעיף 4</w:t>
            </w:r>
          </w:p>
        </w:tc>
        <w:tc>
          <w:tcPr>
            <w:tcW w:w="624" w:type="dxa"/>
          </w:tcPr>
          <w:p w:rsidR="00E456C2" w:rsidRPr="007520B4" w:rsidRDefault="00E456C2" w:rsidP="00E456C2">
            <w:pPr>
              <w:pStyle w:val="TableText"/>
              <w:keepLines w:val="0"/>
              <w:numPr>
                <w:ilvl w:val="0"/>
                <w:numId w:val="8"/>
              </w:numPr>
              <w:jc w:val="both"/>
              <w:rPr>
                <w:rFonts w:ascii="David" w:hAnsi="David"/>
                <w:sz w:val="24"/>
                <w:szCs w:val="24"/>
              </w:rPr>
            </w:pPr>
            <w:r w:rsidRPr="007520B4">
              <w:rPr>
                <w:rFonts w:ascii="David" w:hAnsi="David"/>
                <w:sz w:val="24"/>
                <w:szCs w:val="24"/>
                <w:rtl/>
              </w:rPr>
              <w:t>(</w:t>
            </w:r>
          </w:p>
        </w:tc>
        <w:tc>
          <w:tcPr>
            <w:tcW w:w="7146" w:type="dxa"/>
          </w:tcPr>
          <w:p w:rsidR="00E456C2" w:rsidRPr="007520B4" w:rsidRDefault="00E456C2" w:rsidP="003C217D">
            <w:pPr>
              <w:pStyle w:val="TableBlock"/>
              <w:tabs>
                <w:tab w:val="clear" w:pos="624"/>
              </w:tabs>
              <w:rPr>
                <w:rFonts w:ascii="David" w:hAnsi="David"/>
                <w:sz w:val="24"/>
                <w:szCs w:val="24"/>
              </w:rPr>
            </w:pPr>
            <w:r>
              <w:rPr>
                <w:rFonts w:ascii="David" w:hAnsi="David" w:hint="cs"/>
                <w:sz w:val="24"/>
                <w:szCs w:val="24"/>
                <w:rtl/>
              </w:rPr>
              <w:t xml:space="preserve">בהוראות </w:t>
            </w:r>
            <w:r w:rsidRPr="007F3451">
              <w:rPr>
                <w:rFonts w:ascii="David" w:hAnsi="David"/>
                <w:sz w:val="24"/>
                <w:szCs w:val="24"/>
                <w:rtl/>
              </w:rPr>
              <w:t xml:space="preserve">הפיקוח על שירותים פיננסיים (ביטוח) (תנאים בחוזה ביטוח לפוליסת בריאות בסיסית), </w:t>
            </w:r>
            <w:proofErr w:type="spellStart"/>
            <w:r w:rsidRPr="007F3451">
              <w:rPr>
                <w:rFonts w:ascii="David" w:hAnsi="David"/>
                <w:sz w:val="24"/>
                <w:szCs w:val="24"/>
                <w:rtl/>
              </w:rPr>
              <w:t>התשפ"ב</w:t>
            </w:r>
            <w:proofErr w:type="spellEnd"/>
            <w:r w:rsidRPr="007F3451">
              <w:rPr>
                <w:rFonts w:ascii="David" w:hAnsi="David"/>
                <w:sz w:val="24"/>
                <w:szCs w:val="24"/>
                <w:rtl/>
              </w:rPr>
              <w:t xml:space="preserve"> </w:t>
            </w:r>
            <w:r>
              <w:rPr>
                <w:rFonts w:ascii="David" w:hAnsi="David"/>
                <w:sz w:val="24"/>
                <w:szCs w:val="24"/>
                <w:rtl/>
              </w:rPr>
              <w:t>–</w:t>
            </w:r>
            <w:r w:rsidRPr="007F3451">
              <w:rPr>
                <w:rFonts w:ascii="David" w:hAnsi="David"/>
                <w:sz w:val="24"/>
                <w:szCs w:val="24"/>
                <w:rtl/>
              </w:rPr>
              <w:t xml:space="preserve"> 2022</w:t>
            </w:r>
            <w:r>
              <w:rPr>
                <w:rFonts w:ascii="David" w:hAnsi="David" w:hint="cs"/>
                <w:sz w:val="24"/>
                <w:szCs w:val="24"/>
                <w:rtl/>
              </w:rPr>
              <w:t xml:space="preserve"> (להלן </w:t>
            </w:r>
            <w:r>
              <w:rPr>
                <w:rFonts w:ascii="David" w:hAnsi="David"/>
                <w:sz w:val="24"/>
                <w:szCs w:val="24"/>
                <w:rtl/>
              </w:rPr>
              <w:t>–</w:t>
            </w:r>
            <w:r>
              <w:rPr>
                <w:rFonts w:ascii="David" w:hAnsi="David" w:hint="cs"/>
                <w:sz w:val="24"/>
                <w:szCs w:val="24"/>
                <w:rtl/>
              </w:rPr>
              <w:t xml:space="preserve"> </w:t>
            </w:r>
            <w:r w:rsidRPr="007F3451">
              <w:rPr>
                <w:rFonts w:ascii="David" w:hAnsi="David" w:hint="cs"/>
                <w:b/>
                <w:bCs/>
                <w:sz w:val="24"/>
                <w:szCs w:val="24"/>
                <w:rtl/>
              </w:rPr>
              <w:t xml:space="preserve">ההוראות </w:t>
            </w:r>
            <w:r>
              <w:rPr>
                <w:rFonts w:ascii="David" w:hAnsi="David" w:hint="cs"/>
                <w:b/>
                <w:bCs/>
                <w:sz w:val="24"/>
                <w:szCs w:val="24"/>
                <w:rtl/>
              </w:rPr>
              <w:t>העיקריות</w:t>
            </w:r>
            <w:r>
              <w:rPr>
                <w:rFonts w:ascii="David" w:hAnsi="David" w:hint="cs"/>
                <w:sz w:val="24"/>
                <w:szCs w:val="24"/>
                <w:rtl/>
              </w:rPr>
              <w:t>), במקום "</w:t>
            </w:r>
            <w:r w:rsidRPr="007F3451">
              <w:rPr>
                <w:rFonts w:ascii="David" w:hAnsi="David"/>
                <w:sz w:val="24"/>
                <w:szCs w:val="24"/>
                <w:rtl/>
              </w:rPr>
              <w:t xml:space="preserve">י' בשבט </w:t>
            </w:r>
            <w:proofErr w:type="spellStart"/>
            <w:r w:rsidRPr="007F3451">
              <w:rPr>
                <w:rFonts w:ascii="David" w:hAnsi="David"/>
                <w:sz w:val="24"/>
                <w:szCs w:val="24"/>
                <w:rtl/>
              </w:rPr>
              <w:t>התשפ"ג</w:t>
            </w:r>
            <w:proofErr w:type="spellEnd"/>
            <w:r w:rsidRPr="007F3451">
              <w:rPr>
                <w:rFonts w:ascii="David" w:hAnsi="David"/>
                <w:sz w:val="24"/>
                <w:szCs w:val="24"/>
                <w:rtl/>
              </w:rPr>
              <w:t xml:space="preserve"> (1 בפברואר 2023)</w:t>
            </w:r>
            <w:r>
              <w:rPr>
                <w:rFonts w:ascii="David" w:hAnsi="David" w:hint="cs"/>
                <w:sz w:val="24"/>
                <w:szCs w:val="24"/>
                <w:rtl/>
              </w:rPr>
              <w:t>" יבוא "</w:t>
            </w:r>
            <w:r w:rsidRPr="00637F72">
              <w:rPr>
                <w:rFonts w:ascii="David" w:hAnsi="David"/>
                <w:sz w:val="24"/>
                <w:szCs w:val="24"/>
                <w:rtl/>
              </w:rPr>
              <w:t xml:space="preserve">י' </w:t>
            </w:r>
            <w:r w:rsidRPr="007F3451">
              <w:rPr>
                <w:rFonts w:ascii="David" w:hAnsi="David" w:hint="cs"/>
                <w:sz w:val="24"/>
                <w:szCs w:val="24"/>
                <w:rtl/>
              </w:rPr>
              <w:t xml:space="preserve">באייר </w:t>
            </w:r>
            <w:proofErr w:type="spellStart"/>
            <w:r w:rsidRPr="00637F72">
              <w:rPr>
                <w:rFonts w:ascii="David" w:hAnsi="David"/>
                <w:sz w:val="24"/>
                <w:szCs w:val="24"/>
                <w:rtl/>
              </w:rPr>
              <w:t>התשפ"ג</w:t>
            </w:r>
            <w:proofErr w:type="spellEnd"/>
            <w:r w:rsidRPr="007520B4">
              <w:rPr>
                <w:rFonts w:ascii="David" w:hAnsi="David"/>
                <w:sz w:val="24"/>
                <w:szCs w:val="24"/>
                <w:rtl/>
              </w:rPr>
              <w:t xml:space="preserve"> (1 </w:t>
            </w:r>
            <w:r w:rsidRPr="007F3451">
              <w:rPr>
                <w:rFonts w:ascii="David" w:hAnsi="David" w:hint="cs"/>
                <w:sz w:val="24"/>
                <w:szCs w:val="24"/>
                <w:rtl/>
              </w:rPr>
              <w:t>במאי</w:t>
            </w:r>
            <w:r w:rsidRPr="007520B4">
              <w:rPr>
                <w:rFonts w:ascii="David" w:hAnsi="David"/>
                <w:sz w:val="24"/>
                <w:szCs w:val="24"/>
                <w:rtl/>
              </w:rPr>
              <w:t xml:space="preserve"> 2023)</w:t>
            </w:r>
            <w:r w:rsidR="00FD0BC5">
              <w:rPr>
                <w:rFonts w:ascii="David" w:hAnsi="David" w:hint="cs"/>
                <w:sz w:val="24"/>
                <w:szCs w:val="24"/>
                <w:rtl/>
              </w:rPr>
              <w:t>"</w:t>
            </w:r>
            <w:r w:rsidRPr="007520B4">
              <w:rPr>
                <w:rFonts w:ascii="David" w:hAnsi="David"/>
                <w:sz w:val="24"/>
                <w:szCs w:val="24"/>
                <w:rtl/>
              </w:rPr>
              <w:t>.</w:t>
            </w:r>
            <w:r>
              <w:rPr>
                <w:rFonts w:ascii="David" w:hAnsi="David" w:hint="cs"/>
                <w:sz w:val="24"/>
                <w:szCs w:val="24"/>
                <w:rtl/>
              </w:rPr>
              <w:t xml:space="preserve"> </w:t>
            </w:r>
          </w:p>
        </w:tc>
      </w:tr>
      <w:tr w:rsidR="00E456C2" w:rsidRPr="007520B4" w:rsidTr="0079038F">
        <w:trPr>
          <w:cantSplit/>
          <w:trHeight w:val="60"/>
        </w:trPr>
        <w:tc>
          <w:tcPr>
            <w:tcW w:w="1871" w:type="dxa"/>
          </w:tcPr>
          <w:p w:rsidR="00E456C2" w:rsidRPr="007520B4" w:rsidRDefault="00E456C2" w:rsidP="0079038F">
            <w:pPr>
              <w:pStyle w:val="TableSideHeading"/>
              <w:keepLines w:val="0"/>
              <w:rPr>
                <w:rFonts w:ascii="David" w:hAnsi="David"/>
                <w:sz w:val="24"/>
                <w:szCs w:val="24"/>
              </w:rPr>
            </w:pPr>
            <w:r>
              <w:rPr>
                <w:rFonts w:ascii="David" w:hAnsi="David" w:hint="cs"/>
                <w:sz w:val="24"/>
                <w:szCs w:val="24"/>
                <w:rtl/>
              </w:rPr>
              <w:t>תיקון התוספת הראשונה</w:t>
            </w:r>
          </w:p>
        </w:tc>
        <w:tc>
          <w:tcPr>
            <w:tcW w:w="624" w:type="dxa"/>
          </w:tcPr>
          <w:p w:rsidR="00E456C2" w:rsidRPr="007520B4" w:rsidRDefault="00E456C2" w:rsidP="00E456C2">
            <w:pPr>
              <w:pStyle w:val="TableText"/>
              <w:keepLines w:val="0"/>
              <w:numPr>
                <w:ilvl w:val="0"/>
                <w:numId w:val="8"/>
              </w:numPr>
              <w:rPr>
                <w:rFonts w:ascii="David" w:hAnsi="David"/>
                <w:sz w:val="24"/>
                <w:szCs w:val="24"/>
              </w:rPr>
            </w:pPr>
          </w:p>
        </w:tc>
        <w:tc>
          <w:tcPr>
            <w:tcW w:w="7146" w:type="dxa"/>
          </w:tcPr>
          <w:p w:rsidR="00E456C2" w:rsidRPr="007520B4" w:rsidRDefault="00E456C2" w:rsidP="0079038F">
            <w:pPr>
              <w:pStyle w:val="TableBlock"/>
              <w:tabs>
                <w:tab w:val="clear" w:pos="624"/>
              </w:tabs>
              <w:rPr>
                <w:rFonts w:ascii="David" w:hAnsi="David"/>
                <w:sz w:val="24"/>
                <w:szCs w:val="24"/>
              </w:rPr>
            </w:pPr>
            <w:r w:rsidRPr="00A26303">
              <w:rPr>
                <w:rFonts w:ascii="David" w:hAnsi="David" w:hint="cs"/>
                <w:sz w:val="24"/>
                <w:szCs w:val="24"/>
                <w:rtl/>
              </w:rPr>
              <w:t>בהוראות העיקריות</w:t>
            </w:r>
            <w:r>
              <w:rPr>
                <w:rFonts w:ascii="David" w:hAnsi="David" w:hint="cs"/>
                <w:sz w:val="24"/>
                <w:szCs w:val="24"/>
                <w:rtl/>
              </w:rPr>
              <w:t xml:space="preserve"> בתוספת הראשונה להוראות, בפרט 5 - </w:t>
            </w:r>
          </w:p>
        </w:tc>
      </w:tr>
      <w:tr w:rsidR="00E456C2" w:rsidRPr="007520B4" w:rsidTr="0079038F">
        <w:trPr>
          <w:cantSplit/>
          <w:trHeight w:val="60"/>
        </w:trPr>
        <w:tc>
          <w:tcPr>
            <w:tcW w:w="1871" w:type="dxa"/>
          </w:tcPr>
          <w:p w:rsidR="00E456C2" w:rsidRDefault="00E456C2" w:rsidP="0079038F">
            <w:pPr>
              <w:pStyle w:val="TableSideHeading"/>
              <w:keepLines w:val="0"/>
              <w:rPr>
                <w:rFonts w:ascii="David" w:hAnsi="David"/>
                <w:sz w:val="24"/>
                <w:szCs w:val="24"/>
                <w:rtl/>
              </w:rPr>
            </w:pPr>
          </w:p>
        </w:tc>
        <w:tc>
          <w:tcPr>
            <w:tcW w:w="624" w:type="dxa"/>
          </w:tcPr>
          <w:p w:rsidR="00E456C2" w:rsidRPr="007520B4" w:rsidRDefault="00E456C2" w:rsidP="0079038F">
            <w:pPr>
              <w:pStyle w:val="TableText"/>
            </w:pPr>
          </w:p>
        </w:tc>
        <w:tc>
          <w:tcPr>
            <w:tcW w:w="7146" w:type="dxa"/>
          </w:tcPr>
          <w:p w:rsidR="00E456C2" w:rsidRDefault="00E456C2" w:rsidP="00E456C2">
            <w:pPr>
              <w:pStyle w:val="TableBlock"/>
              <w:numPr>
                <w:ilvl w:val="0"/>
                <w:numId w:val="9"/>
              </w:numPr>
              <w:tabs>
                <w:tab w:val="left" w:pos="624"/>
              </w:tabs>
              <w:rPr>
                <w:rFonts w:ascii="David" w:hAnsi="David"/>
                <w:sz w:val="24"/>
                <w:szCs w:val="24"/>
                <w:rtl/>
              </w:rPr>
            </w:pPr>
            <w:r>
              <w:rPr>
                <w:rFonts w:ascii="David" w:hAnsi="David" w:hint="cs"/>
                <w:sz w:val="24"/>
                <w:szCs w:val="24"/>
                <w:rtl/>
              </w:rPr>
              <w:t>בפרט משנה 2, אחרי "מקרה ביטוח שאירע</w:t>
            </w:r>
            <w:r w:rsidR="003C217D">
              <w:rPr>
                <w:rFonts w:ascii="David" w:hAnsi="David" w:hint="cs"/>
                <w:sz w:val="24"/>
                <w:szCs w:val="24"/>
                <w:rtl/>
              </w:rPr>
              <w:t>"</w:t>
            </w:r>
            <w:r>
              <w:rPr>
                <w:rFonts w:ascii="David" w:hAnsi="David" w:hint="cs"/>
                <w:sz w:val="24"/>
                <w:szCs w:val="24"/>
                <w:rtl/>
              </w:rPr>
              <w:t xml:space="preserve"> יבוא "באופן ישיר" ואחרי "או פעילות" יבוא "ישירה";</w:t>
            </w:r>
          </w:p>
        </w:tc>
      </w:tr>
      <w:tr w:rsidR="00E456C2" w:rsidRPr="007520B4" w:rsidTr="0079038F">
        <w:trPr>
          <w:cantSplit/>
          <w:trHeight w:val="60"/>
        </w:trPr>
        <w:tc>
          <w:tcPr>
            <w:tcW w:w="1871" w:type="dxa"/>
          </w:tcPr>
          <w:p w:rsidR="00E456C2" w:rsidRDefault="00E456C2" w:rsidP="0079038F">
            <w:pPr>
              <w:pStyle w:val="TableSideHeading"/>
              <w:keepLines w:val="0"/>
              <w:rPr>
                <w:rFonts w:ascii="David" w:hAnsi="David"/>
                <w:sz w:val="24"/>
                <w:szCs w:val="24"/>
                <w:rtl/>
              </w:rPr>
            </w:pPr>
          </w:p>
        </w:tc>
        <w:tc>
          <w:tcPr>
            <w:tcW w:w="624" w:type="dxa"/>
          </w:tcPr>
          <w:p w:rsidR="00E456C2" w:rsidRPr="007520B4" w:rsidRDefault="00E456C2" w:rsidP="0079038F">
            <w:pPr>
              <w:pStyle w:val="TableText"/>
            </w:pPr>
          </w:p>
        </w:tc>
        <w:tc>
          <w:tcPr>
            <w:tcW w:w="7146" w:type="dxa"/>
          </w:tcPr>
          <w:p w:rsidR="00E456C2" w:rsidRDefault="00E456C2" w:rsidP="00E456C2">
            <w:pPr>
              <w:pStyle w:val="TableBlock"/>
              <w:numPr>
                <w:ilvl w:val="0"/>
                <w:numId w:val="9"/>
              </w:numPr>
              <w:tabs>
                <w:tab w:val="left" w:pos="624"/>
              </w:tabs>
              <w:rPr>
                <w:rFonts w:ascii="David" w:hAnsi="David"/>
                <w:sz w:val="24"/>
                <w:szCs w:val="24"/>
                <w:rtl/>
              </w:rPr>
            </w:pPr>
            <w:r>
              <w:rPr>
                <w:rFonts w:ascii="David" w:hAnsi="David" w:hint="cs"/>
                <w:sz w:val="24"/>
                <w:szCs w:val="24"/>
                <w:rtl/>
              </w:rPr>
              <w:t xml:space="preserve">אחרי פרט משנה 13 יבוא - </w:t>
            </w:r>
          </w:p>
        </w:tc>
      </w:tr>
      <w:tr w:rsidR="00E456C2" w:rsidRPr="007520B4" w:rsidTr="0079038F">
        <w:trPr>
          <w:cantSplit/>
          <w:trHeight w:val="60"/>
        </w:trPr>
        <w:tc>
          <w:tcPr>
            <w:tcW w:w="1871" w:type="dxa"/>
          </w:tcPr>
          <w:p w:rsidR="00E456C2" w:rsidRDefault="00E456C2" w:rsidP="0079038F">
            <w:pPr>
              <w:pStyle w:val="TableSideHeading"/>
              <w:keepLines w:val="0"/>
              <w:rPr>
                <w:rFonts w:ascii="David" w:hAnsi="David"/>
                <w:sz w:val="24"/>
                <w:szCs w:val="24"/>
                <w:rtl/>
              </w:rPr>
            </w:pPr>
          </w:p>
        </w:tc>
        <w:tc>
          <w:tcPr>
            <w:tcW w:w="624" w:type="dxa"/>
          </w:tcPr>
          <w:p w:rsidR="00E456C2" w:rsidRPr="007520B4" w:rsidRDefault="00E456C2" w:rsidP="0079038F">
            <w:pPr>
              <w:pStyle w:val="TableText"/>
            </w:pPr>
          </w:p>
        </w:tc>
        <w:tc>
          <w:tcPr>
            <w:tcW w:w="7146" w:type="dxa"/>
          </w:tcPr>
          <w:p w:rsidR="00E456C2" w:rsidRDefault="00E456C2" w:rsidP="0079038F">
            <w:pPr>
              <w:pStyle w:val="TableBlock"/>
              <w:tabs>
                <w:tab w:val="clear" w:pos="624"/>
              </w:tabs>
              <w:rPr>
                <w:rFonts w:ascii="David" w:hAnsi="David"/>
                <w:sz w:val="24"/>
                <w:szCs w:val="24"/>
                <w:rtl/>
              </w:rPr>
            </w:pPr>
            <w:r>
              <w:rPr>
                <w:rFonts w:ascii="David" w:hAnsi="David" w:hint="cs"/>
                <w:sz w:val="24"/>
                <w:szCs w:val="24"/>
                <w:rtl/>
              </w:rPr>
              <w:t xml:space="preserve">"(14) </w:t>
            </w:r>
            <w:r w:rsidRPr="007F3451">
              <w:rPr>
                <w:rFonts w:ascii="David" w:hAnsi="David"/>
                <w:sz w:val="24"/>
                <w:szCs w:val="24"/>
                <w:rtl/>
              </w:rPr>
              <w:t>קנבוס - כהגדרתו בתוספת הראשונה לפקודת הסמים המסוכנים, [נוסח חדש], התשל"ג-1973; יובהר כי החריג לא יכלול תרופה הנכללת ברשימת התרופות המאושרות באחת מהמדינות המוכרות, אשר מכילה אחד או יותר מרכיבי הקנבוס או נגזרות קנבוס.</w:t>
            </w:r>
            <w:r>
              <w:rPr>
                <w:rFonts w:ascii="David" w:hAnsi="David" w:hint="cs"/>
                <w:sz w:val="24"/>
                <w:szCs w:val="24"/>
                <w:rtl/>
              </w:rPr>
              <w:t>"</w:t>
            </w:r>
            <w:r w:rsidR="00FC1FF5">
              <w:rPr>
                <w:rFonts w:ascii="David" w:hAnsi="David" w:hint="cs"/>
                <w:sz w:val="24"/>
                <w:szCs w:val="24"/>
                <w:rtl/>
              </w:rPr>
              <w:t>.</w:t>
            </w:r>
          </w:p>
        </w:tc>
      </w:tr>
      <w:tr w:rsidR="00E456C2" w:rsidRPr="007520B4" w:rsidTr="0079038F">
        <w:trPr>
          <w:cantSplit/>
          <w:trHeight w:val="60"/>
        </w:trPr>
        <w:tc>
          <w:tcPr>
            <w:tcW w:w="1871" w:type="dxa"/>
          </w:tcPr>
          <w:p w:rsidR="00E456C2" w:rsidRDefault="00E456C2" w:rsidP="0079038F">
            <w:pPr>
              <w:pStyle w:val="TableSideHeading"/>
              <w:keepLines w:val="0"/>
              <w:rPr>
                <w:rFonts w:ascii="David" w:hAnsi="David"/>
                <w:sz w:val="24"/>
                <w:szCs w:val="24"/>
                <w:rtl/>
              </w:rPr>
            </w:pPr>
            <w:r>
              <w:rPr>
                <w:rFonts w:ascii="David" w:hAnsi="David" w:hint="cs"/>
                <w:sz w:val="24"/>
                <w:szCs w:val="24"/>
                <w:rtl/>
              </w:rPr>
              <w:t>תיקון התוספת השנייה</w:t>
            </w:r>
          </w:p>
        </w:tc>
        <w:tc>
          <w:tcPr>
            <w:tcW w:w="624" w:type="dxa"/>
          </w:tcPr>
          <w:p w:rsidR="00E456C2" w:rsidRPr="007520B4" w:rsidRDefault="00E456C2" w:rsidP="00E456C2">
            <w:pPr>
              <w:pStyle w:val="TableText"/>
              <w:keepLines w:val="0"/>
              <w:numPr>
                <w:ilvl w:val="0"/>
                <w:numId w:val="8"/>
              </w:numPr>
              <w:rPr>
                <w:rFonts w:ascii="David" w:hAnsi="David"/>
                <w:sz w:val="24"/>
                <w:szCs w:val="24"/>
              </w:rPr>
            </w:pPr>
          </w:p>
        </w:tc>
        <w:tc>
          <w:tcPr>
            <w:tcW w:w="7146" w:type="dxa"/>
          </w:tcPr>
          <w:p w:rsidR="00E456C2" w:rsidRDefault="00E456C2" w:rsidP="0079038F">
            <w:pPr>
              <w:pStyle w:val="TableBlock"/>
              <w:tabs>
                <w:tab w:val="clear" w:pos="624"/>
              </w:tabs>
              <w:rPr>
                <w:rFonts w:ascii="David" w:hAnsi="David"/>
                <w:sz w:val="24"/>
                <w:szCs w:val="24"/>
                <w:rtl/>
              </w:rPr>
            </w:pPr>
            <w:r w:rsidRPr="00A26303">
              <w:rPr>
                <w:rFonts w:ascii="David" w:hAnsi="David" w:hint="cs"/>
                <w:sz w:val="24"/>
                <w:szCs w:val="24"/>
                <w:rtl/>
              </w:rPr>
              <w:t>בהוראות העיקריות</w:t>
            </w:r>
            <w:r>
              <w:rPr>
                <w:rFonts w:ascii="David" w:hAnsi="David" w:hint="cs"/>
                <w:sz w:val="24"/>
                <w:szCs w:val="24"/>
                <w:rtl/>
              </w:rPr>
              <w:t xml:space="preserve"> בתוספת השנייה להוראות, בפרט 5, בפרט משנה 4, אחרי "מקרה ביטוח שאירע</w:t>
            </w:r>
            <w:r w:rsidR="003C217D">
              <w:rPr>
                <w:rFonts w:ascii="David" w:hAnsi="David" w:hint="cs"/>
                <w:sz w:val="24"/>
                <w:szCs w:val="24"/>
                <w:rtl/>
              </w:rPr>
              <w:t>"</w:t>
            </w:r>
            <w:r>
              <w:rPr>
                <w:rFonts w:ascii="David" w:hAnsi="David" w:hint="cs"/>
                <w:sz w:val="24"/>
                <w:szCs w:val="24"/>
                <w:rtl/>
              </w:rPr>
              <w:t xml:space="preserve"> יבוא "באופן ישיר" ואחרי "או פעילות" יבוא "ישירה".</w:t>
            </w:r>
          </w:p>
        </w:tc>
      </w:tr>
      <w:tr w:rsidR="00E456C2" w:rsidRPr="007520B4" w:rsidTr="0079038F">
        <w:trPr>
          <w:cantSplit/>
          <w:trHeight w:val="60"/>
        </w:trPr>
        <w:tc>
          <w:tcPr>
            <w:tcW w:w="1871" w:type="dxa"/>
          </w:tcPr>
          <w:p w:rsidR="00E456C2" w:rsidRDefault="00E456C2" w:rsidP="0079038F">
            <w:pPr>
              <w:pStyle w:val="TableSideHeading"/>
              <w:keepLines w:val="0"/>
              <w:rPr>
                <w:rFonts w:ascii="David" w:hAnsi="David"/>
                <w:sz w:val="24"/>
                <w:szCs w:val="24"/>
                <w:rtl/>
              </w:rPr>
            </w:pPr>
            <w:r>
              <w:rPr>
                <w:rFonts w:ascii="David" w:hAnsi="David" w:hint="cs"/>
                <w:sz w:val="24"/>
                <w:szCs w:val="24"/>
                <w:rtl/>
              </w:rPr>
              <w:t>תיקון התוספת השלישית</w:t>
            </w:r>
          </w:p>
        </w:tc>
        <w:tc>
          <w:tcPr>
            <w:tcW w:w="624" w:type="dxa"/>
          </w:tcPr>
          <w:p w:rsidR="00E456C2" w:rsidRPr="007520B4" w:rsidRDefault="00E456C2" w:rsidP="00E456C2">
            <w:pPr>
              <w:pStyle w:val="TableText"/>
              <w:keepLines w:val="0"/>
              <w:numPr>
                <w:ilvl w:val="0"/>
                <w:numId w:val="8"/>
              </w:numPr>
              <w:rPr>
                <w:rFonts w:ascii="David" w:hAnsi="David"/>
                <w:sz w:val="24"/>
                <w:szCs w:val="24"/>
              </w:rPr>
            </w:pPr>
          </w:p>
        </w:tc>
        <w:tc>
          <w:tcPr>
            <w:tcW w:w="7146" w:type="dxa"/>
          </w:tcPr>
          <w:p w:rsidR="00E456C2" w:rsidRDefault="00E456C2" w:rsidP="0079038F">
            <w:pPr>
              <w:pStyle w:val="TableBlock"/>
              <w:tabs>
                <w:tab w:val="clear" w:pos="624"/>
              </w:tabs>
              <w:rPr>
                <w:rFonts w:ascii="David" w:hAnsi="David"/>
                <w:sz w:val="24"/>
                <w:szCs w:val="24"/>
                <w:rtl/>
              </w:rPr>
            </w:pPr>
            <w:r w:rsidRPr="00A26303">
              <w:rPr>
                <w:rFonts w:ascii="David" w:hAnsi="David" w:hint="cs"/>
                <w:sz w:val="24"/>
                <w:szCs w:val="24"/>
                <w:rtl/>
              </w:rPr>
              <w:t>בהוראות העיקריות</w:t>
            </w:r>
            <w:r>
              <w:rPr>
                <w:rFonts w:ascii="David" w:hAnsi="David" w:hint="cs"/>
                <w:sz w:val="24"/>
                <w:szCs w:val="24"/>
                <w:rtl/>
              </w:rPr>
              <w:t xml:space="preserve"> בתוספת השלישית להוראות, בפרט 5, בפרט משנה 3, אחרי "מקרה ביטוח שאירע</w:t>
            </w:r>
            <w:r w:rsidR="003C217D">
              <w:rPr>
                <w:rFonts w:ascii="David" w:hAnsi="David" w:hint="cs"/>
                <w:sz w:val="24"/>
                <w:szCs w:val="24"/>
                <w:rtl/>
              </w:rPr>
              <w:t>"</w:t>
            </w:r>
            <w:r>
              <w:rPr>
                <w:rFonts w:ascii="David" w:hAnsi="David" w:hint="cs"/>
                <w:sz w:val="24"/>
                <w:szCs w:val="24"/>
                <w:rtl/>
              </w:rPr>
              <w:t xml:space="preserve"> יבוא "באופן ישיר" ואחרי "או פעילות" יבוא "ישירה".</w:t>
            </w:r>
          </w:p>
        </w:tc>
      </w:tr>
      <w:tr w:rsidR="00E456C2" w:rsidRPr="007520B4" w:rsidTr="0079038F">
        <w:trPr>
          <w:cantSplit/>
          <w:trHeight w:val="60"/>
        </w:trPr>
        <w:tc>
          <w:tcPr>
            <w:tcW w:w="1871" w:type="dxa"/>
          </w:tcPr>
          <w:p w:rsidR="00E456C2" w:rsidRDefault="00E456C2" w:rsidP="0079038F">
            <w:pPr>
              <w:pStyle w:val="TableSideHeading"/>
              <w:keepLines w:val="0"/>
              <w:rPr>
                <w:rFonts w:ascii="David" w:hAnsi="David"/>
                <w:sz w:val="24"/>
                <w:szCs w:val="24"/>
                <w:rtl/>
              </w:rPr>
            </w:pPr>
            <w:r>
              <w:rPr>
                <w:rFonts w:ascii="David" w:hAnsi="David" w:hint="cs"/>
                <w:sz w:val="24"/>
                <w:szCs w:val="24"/>
                <w:rtl/>
              </w:rPr>
              <w:t>תיקון התוספת הרביעית</w:t>
            </w:r>
          </w:p>
        </w:tc>
        <w:tc>
          <w:tcPr>
            <w:tcW w:w="624" w:type="dxa"/>
          </w:tcPr>
          <w:p w:rsidR="00E456C2" w:rsidRPr="007F3451" w:rsidRDefault="00E456C2" w:rsidP="00E456C2">
            <w:pPr>
              <w:pStyle w:val="TableText"/>
              <w:keepLines w:val="0"/>
              <w:numPr>
                <w:ilvl w:val="0"/>
                <w:numId w:val="8"/>
              </w:numPr>
              <w:rPr>
                <w:rFonts w:ascii="David" w:hAnsi="David"/>
                <w:sz w:val="24"/>
                <w:szCs w:val="24"/>
              </w:rPr>
            </w:pPr>
          </w:p>
        </w:tc>
        <w:tc>
          <w:tcPr>
            <w:tcW w:w="7146" w:type="dxa"/>
          </w:tcPr>
          <w:p w:rsidR="00E456C2" w:rsidRDefault="00E456C2" w:rsidP="0079038F">
            <w:pPr>
              <w:pStyle w:val="TableText"/>
              <w:keepLines w:val="0"/>
              <w:rPr>
                <w:rFonts w:ascii="David" w:hAnsi="David"/>
                <w:sz w:val="24"/>
                <w:szCs w:val="24"/>
                <w:rtl/>
              </w:rPr>
            </w:pPr>
            <w:r w:rsidRPr="003C217D">
              <w:rPr>
                <w:rFonts w:ascii="David" w:hAnsi="David" w:hint="cs"/>
                <w:sz w:val="24"/>
                <w:szCs w:val="24"/>
                <w:rtl/>
              </w:rPr>
              <w:t>בהוראות העיקריות</w:t>
            </w:r>
            <w:r>
              <w:rPr>
                <w:rFonts w:ascii="David" w:hAnsi="David" w:hint="cs"/>
                <w:sz w:val="24"/>
                <w:szCs w:val="24"/>
                <w:rtl/>
              </w:rPr>
              <w:t xml:space="preserve"> בתוספת </w:t>
            </w:r>
            <w:r w:rsidR="003C217D">
              <w:rPr>
                <w:rFonts w:ascii="David" w:hAnsi="David" w:hint="cs"/>
                <w:sz w:val="24"/>
                <w:szCs w:val="24"/>
                <w:rtl/>
              </w:rPr>
              <w:t>ה</w:t>
            </w:r>
            <w:r>
              <w:rPr>
                <w:rFonts w:ascii="David" w:hAnsi="David" w:hint="cs"/>
                <w:sz w:val="24"/>
                <w:szCs w:val="24"/>
                <w:rtl/>
              </w:rPr>
              <w:t>רביעית -</w:t>
            </w:r>
          </w:p>
        </w:tc>
      </w:tr>
      <w:tr w:rsidR="00E456C2" w:rsidRPr="007520B4" w:rsidTr="0079038F">
        <w:trPr>
          <w:cantSplit/>
          <w:trHeight w:val="60"/>
        </w:trPr>
        <w:tc>
          <w:tcPr>
            <w:tcW w:w="1871" w:type="dxa"/>
          </w:tcPr>
          <w:p w:rsidR="00E456C2" w:rsidRDefault="00E456C2" w:rsidP="0079038F">
            <w:pPr>
              <w:pStyle w:val="TableSideHeading"/>
              <w:keepLines w:val="0"/>
              <w:rPr>
                <w:rFonts w:ascii="David" w:hAnsi="David"/>
                <w:sz w:val="24"/>
                <w:szCs w:val="24"/>
                <w:rtl/>
              </w:rPr>
            </w:pPr>
          </w:p>
        </w:tc>
        <w:tc>
          <w:tcPr>
            <w:tcW w:w="624" w:type="dxa"/>
          </w:tcPr>
          <w:p w:rsidR="00E456C2" w:rsidRPr="007F3451" w:rsidRDefault="00E456C2" w:rsidP="0079038F">
            <w:pPr>
              <w:pStyle w:val="TableText"/>
              <w:keepLines w:val="0"/>
              <w:rPr>
                <w:rFonts w:ascii="David" w:hAnsi="David"/>
                <w:sz w:val="24"/>
                <w:szCs w:val="24"/>
              </w:rPr>
            </w:pPr>
          </w:p>
        </w:tc>
        <w:tc>
          <w:tcPr>
            <w:tcW w:w="7146" w:type="dxa"/>
          </w:tcPr>
          <w:p w:rsidR="00E456C2" w:rsidRPr="00111E40" w:rsidRDefault="00E456C2" w:rsidP="00E456C2">
            <w:pPr>
              <w:pStyle w:val="TableBlock"/>
              <w:numPr>
                <w:ilvl w:val="0"/>
                <w:numId w:val="10"/>
              </w:numPr>
              <w:tabs>
                <w:tab w:val="left" w:pos="624"/>
              </w:tabs>
              <w:autoSpaceDE w:val="0"/>
              <w:autoSpaceDN w:val="0"/>
              <w:adjustRightInd w:val="0"/>
              <w:contextualSpacing w:val="0"/>
              <w:textAlignment w:val="center"/>
              <w:rPr>
                <w:rFonts w:ascii="David" w:hAnsi="David"/>
                <w:sz w:val="24"/>
                <w:szCs w:val="24"/>
                <w:rtl/>
              </w:rPr>
            </w:pPr>
            <w:r>
              <w:rPr>
                <w:rFonts w:ascii="David" w:hAnsi="David" w:hint="cs"/>
                <w:sz w:val="24"/>
                <w:szCs w:val="24"/>
                <w:rtl/>
              </w:rPr>
              <w:t>בפסקה (2), במקום "מעל 20" יבוא "מגיל 21";</w:t>
            </w:r>
          </w:p>
        </w:tc>
      </w:tr>
      <w:tr w:rsidR="00E456C2" w:rsidRPr="007520B4" w:rsidTr="0079038F">
        <w:trPr>
          <w:cantSplit/>
          <w:trHeight w:val="60"/>
        </w:trPr>
        <w:tc>
          <w:tcPr>
            <w:tcW w:w="1871" w:type="dxa"/>
          </w:tcPr>
          <w:p w:rsidR="00E456C2" w:rsidRDefault="00E456C2" w:rsidP="0079038F">
            <w:pPr>
              <w:pStyle w:val="TableSideHeading"/>
              <w:keepLines w:val="0"/>
              <w:rPr>
                <w:rFonts w:ascii="David" w:hAnsi="David"/>
                <w:sz w:val="24"/>
                <w:szCs w:val="24"/>
                <w:rtl/>
              </w:rPr>
            </w:pPr>
          </w:p>
        </w:tc>
        <w:tc>
          <w:tcPr>
            <w:tcW w:w="624" w:type="dxa"/>
          </w:tcPr>
          <w:p w:rsidR="00E456C2" w:rsidRPr="007F3451" w:rsidRDefault="00E456C2" w:rsidP="0079038F">
            <w:pPr>
              <w:pStyle w:val="TableText"/>
              <w:keepLines w:val="0"/>
              <w:rPr>
                <w:rFonts w:ascii="David" w:hAnsi="David"/>
                <w:sz w:val="24"/>
                <w:szCs w:val="24"/>
              </w:rPr>
            </w:pPr>
          </w:p>
        </w:tc>
        <w:tc>
          <w:tcPr>
            <w:tcW w:w="7146" w:type="dxa"/>
          </w:tcPr>
          <w:p w:rsidR="00E456C2" w:rsidRDefault="00E456C2" w:rsidP="00E456C2">
            <w:pPr>
              <w:pStyle w:val="TableBlock"/>
              <w:numPr>
                <w:ilvl w:val="0"/>
                <w:numId w:val="10"/>
              </w:numPr>
              <w:tabs>
                <w:tab w:val="left" w:pos="624"/>
              </w:tabs>
              <w:autoSpaceDE w:val="0"/>
              <w:autoSpaceDN w:val="0"/>
              <w:adjustRightInd w:val="0"/>
              <w:contextualSpacing w:val="0"/>
              <w:textAlignment w:val="center"/>
              <w:rPr>
                <w:rFonts w:ascii="David" w:hAnsi="David"/>
                <w:sz w:val="24"/>
                <w:szCs w:val="24"/>
                <w:rtl/>
              </w:rPr>
            </w:pPr>
            <w:r>
              <w:rPr>
                <w:rFonts w:ascii="David" w:hAnsi="David" w:hint="cs"/>
                <w:sz w:val="24"/>
                <w:szCs w:val="24"/>
                <w:rtl/>
              </w:rPr>
              <w:t>בפסקה (3), במקום "מעל 30" יבוא "מגיל 31";</w:t>
            </w:r>
          </w:p>
        </w:tc>
      </w:tr>
      <w:tr w:rsidR="00E456C2" w:rsidRPr="007520B4" w:rsidTr="0079038F">
        <w:trPr>
          <w:cantSplit/>
          <w:trHeight w:val="60"/>
        </w:trPr>
        <w:tc>
          <w:tcPr>
            <w:tcW w:w="1871" w:type="dxa"/>
          </w:tcPr>
          <w:p w:rsidR="00E456C2" w:rsidRDefault="00E456C2" w:rsidP="0079038F">
            <w:pPr>
              <w:pStyle w:val="TableSideHeading"/>
              <w:keepLines w:val="0"/>
              <w:rPr>
                <w:rFonts w:ascii="David" w:hAnsi="David"/>
                <w:sz w:val="24"/>
                <w:szCs w:val="24"/>
                <w:rtl/>
              </w:rPr>
            </w:pPr>
          </w:p>
        </w:tc>
        <w:tc>
          <w:tcPr>
            <w:tcW w:w="624" w:type="dxa"/>
          </w:tcPr>
          <w:p w:rsidR="00E456C2" w:rsidRPr="007F3451" w:rsidRDefault="00E456C2" w:rsidP="0079038F">
            <w:pPr>
              <w:pStyle w:val="TableText"/>
              <w:keepLines w:val="0"/>
              <w:rPr>
                <w:rFonts w:ascii="David" w:hAnsi="David"/>
                <w:sz w:val="24"/>
                <w:szCs w:val="24"/>
              </w:rPr>
            </w:pPr>
          </w:p>
        </w:tc>
        <w:tc>
          <w:tcPr>
            <w:tcW w:w="7146" w:type="dxa"/>
          </w:tcPr>
          <w:p w:rsidR="00E456C2" w:rsidRDefault="00E456C2" w:rsidP="00E456C2">
            <w:pPr>
              <w:pStyle w:val="TableBlock"/>
              <w:numPr>
                <w:ilvl w:val="0"/>
                <w:numId w:val="10"/>
              </w:numPr>
              <w:tabs>
                <w:tab w:val="left" w:pos="624"/>
              </w:tabs>
              <w:autoSpaceDE w:val="0"/>
              <w:autoSpaceDN w:val="0"/>
              <w:adjustRightInd w:val="0"/>
              <w:contextualSpacing w:val="0"/>
              <w:textAlignment w:val="center"/>
              <w:rPr>
                <w:rFonts w:ascii="David" w:hAnsi="David"/>
                <w:sz w:val="24"/>
                <w:szCs w:val="24"/>
                <w:rtl/>
              </w:rPr>
            </w:pPr>
            <w:r>
              <w:rPr>
                <w:rFonts w:ascii="David" w:hAnsi="David" w:hint="cs"/>
                <w:sz w:val="24"/>
                <w:szCs w:val="24"/>
                <w:rtl/>
              </w:rPr>
              <w:t>בפסקה (4) במקום "מעל 40" יבוא "מגיל 41";</w:t>
            </w:r>
          </w:p>
        </w:tc>
      </w:tr>
      <w:tr w:rsidR="00E456C2" w:rsidRPr="007520B4" w:rsidTr="0079038F">
        <w:trPr>
          <w:cantSplit/>
          <w:trHeight w:val="60"/>
        </w:trPr>
        <w:tc>
          <w:tcPr>
            <w:tcW w:w="1871" w:type="dxa"/>
          </w:tcPr>
          <w:p w:rsidR="00E456C2" w:rsidRDefault="00E456C2" w:rsidP="0079038F">
            <w:pPr>
              <w:pStyle w:val="TableSideHeading"/>
              <w:keepLines w:val="0"/>
              <w:rPr>
                <w:rFonts w:ascii="David" w:hAnsi="David"/>
                <w:sz w:val="24"/>
                <w:szCs w:val="24"/>
                <w:rtl/>
              </w:rPr>
            </w:pPr>
          </w:p>
        </w:tc>
        <w:tc>
          <w:tcPr>
            <w:tcW w:w="624" w:type="dxa"/>
          </w:tcPr>
          <w:p w:rsidR="00E456C2" w:rsidRPr="007F3451" w:rsidRDefault="00E456C2" w:rsidP="0079038F">
            <w:pPr>
              <w:pStyle w:val="TableText"/>
              <w:keepLines w:val="0"/>
              <w:rPr>
                <w:rFonts w:ascii="David" w:hAnsi="David"/>
                <w:sz w:val="24"/>
                <w:szCs w:val="24"/>
              </w:rPr>
            </w:pPr>
          </w:p>
        </w:tc>
        <w:tc>
          <w:tcPr>
            <w:tcW w:w="7146" w:type="dxa"/>
          </w:tcPr>
          <w:p w:rsidR="00E456C2" w:rsidRDefault="00E456C2" w:rsidP="00E456C2">
            <w:pPr>
              <w:pStyle w:val="TableBlock"/>
              <w:numPr>
                <w:ilvl w:val="0"/>
                <w:numId w:val="10"/>
              </w:numPr>
              <w:tabs>
                <w:tab w:val="left" w:pos="624"/>
              </w:tabs>
              <w:autoSpaceDE w:val="0"/>
              <w:autoSpaceDN w:val="0"/>
              <w:adjustRightInd w:val="0"/>
              <w:contextualSpacing w:val="0"/>
              <w:textAlignment w:val="center"/>
              <w:rPr>
                <w:rFonts w:ascii="David" w:hAnsi="David"/>
                <w:sz w:val="24"/>
                <w:szCs w:val="24"/>
                <w:rtl/>
              </w:rPr>
            </w:pPr>
            <w:r>
              <w:rPr>
                <w:rFonts w:ascii="David" w:hAnsi="David" w:hint="cs"/>
                <w:sz w:val="24"/>
                <w:szCs w:val="24"/>
                <w:rtl/>
              </w:rPr>
              <w:t>בפסקה (5) במקום "מעל 50" יבוא "מגיל 51";</w:t>
            </w:r>
          </w:p>
        </w:tc>
      </w:tr>
      <w:tr w:rsidR="00E456C2" w:rsidRPr="007520B4" w:rsidTr="0079038F">
        <w:trPr>
          <w:cantSplit/>
          <w:trHeight w:val="60"/>
        </w:trPr>
        <w:tc>
          <w:tcPr>
            <w:tcW w:w="1871" w:type="dxa"/>
          </w:tcPr>
          <w:p w:rsidR="00E456C2" w:rsidRDefault="00E456C2" w:rsidP="0079038F">
            <w:pPr>
              <w:pStyle w:val="TableSideHeading"/>
              <w:keepLines w:val="0"/>
              <w:rPr>
                <w:rFonts w:ascii="David" w:hAnsi="David"/>
                <w:sz w:val="24"/>
                <w:szCs w:val="24"/>
                <w:rtl/>
              </w:rPr>
            </w:pPr>
          </w:p>
        </w:tc>
        <w:tc>
          <w:tcPr>
            <w:tcW w:w="624" w:type="dxa"/>
          </w:tcPr>
          <w:p w:rsidR="00E456C2" w:rsidRPr="007F3451" w:rsidRDefault="00E456C2" w:rsidP="0079038F">
            <w:pPr>
              <w:pStyle w:val="TableText"/>
              <w:keepLines w:val="0"/>
              <w:rPr>
                <w:rFonts w:ascii="David" w:hAnsi="David"/>
                <w:sz w:val="24"/>
                <w:szCs w:val="24"/>
              </w:rPr>
            </w:pPr>
          </w:p>
        </w:tc>
        <w:tc>
          <w:tcPr>
            <w:tcW w:w="7146" w:type="dxa"/>
          </w:tcPr>
          <w:p w:rsidR="00E456C2" w:rsidRDefault="00E456C2" w:rsidP="00E456C2">
            <w:pPr>
              <w:pStyle w:val="TableBlock"/>
              <w:numPr>
                <w:ilvl w:val="0"/>
                <w:numId w:val="10"/>
              </w:numPr>
              <w:tabs>
                <w:tab w:val="left" w:pos="624"/>
              </w:tabs>
              <w:autoSpaceDE w:val="0"/>
              <w:autoSpaceDN w:val="0"/>
              <w:adjustRightInd w:val="0"/>
              <w:contextualSpacing w:val="0"/>
              <w:textAlignment w:val="center"/>
              <w:rPr>
                <w:rFonts w:ascii="David" w:hAnsi="David"/>
                <w:sz w:val="24"/>
                <w:szCs w:val="24"/>
                <w:rtl/>
              </w:rPr>
            </w:pPr>
            <w:r>
              <w:rPr>
                <w:rFonts w:ascii="David" w:hAnsi="David" w:hint="cs"/>
                <w:sz w:val="24"/>
                <w:szCs w:val="24"/>
                <w:rtl/>
              </w:rPr>
              <w:t>בפסקה (6) במקום "מעל 55" יבוא "מגיל 56"</w:t>
            </w:r>
            <w:r w:rsidR="00FD0BC5">
              <w:rPr>
                <w:rFonts w:ascii="David" w:hAnsi="David" w:hint="cs"/>
                <w:sz w:val="24"/>
                <w:szCs w:val="24"/>
                <w:rtl/>
              </w:rPr>
              <w:t>.</w:t>
            </w:r>
          </w:p>
        </w:tc>
      </w:tr>
      <w:tr w:rsidR="00B979F9">
        <w:trPr>
          <w:cantSplit/>
          <w:trHeight w:val="60"/>
        </w:trPr>
        <w:tc>
          <w:tcPr>
            <w:tcW w:w="1871" w:type="dxa"/>
          </w:tcPr>
          <w:p w:rsidR="00B979F9" w:rsidRPr="00111E40" w:rsidRDefault="00B979F9" w:rsidP="00B979F9">
            <w:pPr>
              <w:pStyle w:val="TableSideHeading"/>
              <w:keepLines w:val="0"/>
              <w:rPr>
                <w:rFonts w:ascii="David" w:hAnsi="David"/>
                <w:sz w:val="24"/>
                <w:szCs w:val="24"/>
              </w:rPr>
            </w:pPr>
            <w:r w:rsidRPr="00111E40">
              <w:rPr>
                <w:rFonts w:ascii="David" w:hAnsi="David"/>
                <w:sz w:val="24"/>
                <w:szCs w:val="24"/>
                <w:rtl/>
              </w:rPr>
              <w:t xml:space="preserve">תחילה </w:t>
            </w:r>
          </w:p>
        </w:tc>
        <w:tc>
          <w:tcPr>
            <w:tcW w:w="624" w:type="dxa"/>
          </w:tcPr>
          <w:p w:rsidR="00B979F9" w:rsidRPr="00111E40" w:rsidRDefault="00B979F9" w:rsidP="00B979F9">
            <w:pPr>
              <w:pStyle w:val="TableText"/>
              <w:keepLines w:val="0"/>
              <w:numPr>
                <w:ilvl w:val="0"/>
                <w:numId w:val="8"/>
              </w:numPr>
              <w:rPr>
                <w:rFonts w:ascii="David" w:hAnsi="David"/>
                <w:sz w:val="24"/>
                <w:szCs w:val="24"/>
              </w:rPr>
            </w:pPr>
          </w:p>
        </w:tc>
        <w:tc>
          <w:tcPr>
            <w:tcW w:w="7146" w:type="dxa"/>
          </w:tcPr>
          <w:p w:rsidR="00B979F9" w:rsidRPr="00111E40" w:rsidRDefault="00B979F9" w:rsidP="00B979F9">
            <w:pPr>
              <w:pStyle w:val="TableBlock"/>
              <w:keepLines w:val="0"/>
              <w:rPr>
                <w:rFonts w:ascii="David" w:hAnsi="David"/>
                <w:sz w:val="24"/>
                <w:szCs w:val="24"/>
                <w:rtl/>
              </w:rPr>
            </w:pPr>
            <w:r w:rsidRPr="00111E40">
              <w:rPr>
                <w:rFonts w:ascii="David" w:hAnsi="David"/>
                <w:sz w:val="24"/>
                <w:szCs w:val="24"/>
                <w:rtl/>
              </w:rPr>
              <w:t xml:space="preserve">תחילתן של הוראות </w:t>
            </w:r>
            <w:r w:rsidRPr="004A2CBC">
              <w:rPr>
                <w:rFonts w:ascii="David" w:hAnsi="David"/>
                <w:sz w:val="24"/>
                <w:szCs w:val="24"/>
                <w:rtl/>
              </w:rPr>
              <w:t>אלה ביום י' ב</w:t>
            </w:r>
            <w:r w:rsidRPr="006277C0">
              <w:rPr>
                <w:rFonts w:ascii="David" w:hAnsi="David" w:hint="eastAsia"/>
                <w:sz w:val="24"/>
                <w:szCs w:val="24"/>
                <w:rtl/>
              </w:rPr>
              <w:t>אייר</w:t>
            </w:r>
            <w:r w:rsidRPr="004A2CBC">
              <w:rPr>
                <w:rFonts w:ascii="David" w:hAnsi="David"/>
                <w:sz w:val="24"/>
                <w:szCs w:val="24"/>
                <w:rtl/>
              </w:rPr>
              <w:t xml:space="preserve"> </w:t>
            </w:r>
            <w:proofErr w:type="spellStart"/>
            <w:r w:rsidRPr="004A2CBC">
              <w:rPr>
                <w:rFonts w:ascii="David" w:hAnsi="David"/>
                <w:sz w:val="24"/>
                <w:szCs w:val="24"/>
                <w:rtl/>
              </w:rPr>
              <w:t>התשפ"</w:t>
            </w:r>
            <w:r w:rsidRPr="00111E40">
              <w:rPr>
                <w:rFonts w:ascii="David" w:hAnsi="David"/>
                <w:sz w:val="24"/>
                <w:szCs w:val="24"/>
                <w:rtl/>
              </w:rPr>
              <w:t>ג</w:t>
            </w:r>
            <w:proofErr w:type="spellEnd"/>
            <w:r w:rsidRPr="00111E40">
              <w:rPr>
                <w:rFonts w:ascii="David" w:hAnsi="David"/>
                <w:sz w:val="24"/>
                <w:szCs w:val="24"/>
                <w:rtl/>
              </w:rPr>
              <w:t xml:space="preserve"> (1 </w:t>
            </w:r>
            <w:r>
              <w:rPr>
                <w:rFonts w:ascii="David" w:hAnsi="David" w:hint="cs"/>
                <w:sz w:val="24"/>
                <w:szCs w:val="24"/>
                <w:rtl/>
              </w:rPr>
              <w:t>במאי</w:t>
            </w:r>
            <w:r w:rsidRPr="00111E40">
              <w:rPr>
                <w:rFonts w:ascii="David" w:hAnsi="David"/>
                <w:sz w:val="24"/>
                <w:szCs w:val="24"/>
                <w:rtl/>
              </w:rPr>
              <w:t xml:space="preserve"> 2023).</w:t>
            </w:r>
          </w:p>
        </w:tc>
      </w:tr>
      <w:tr w:rsidR="00B979F9">
        <w:trPr>
          <w:cantSplit/>
          <w:trHeight w:val="60"/>
        </w:trPr>
        <w:tc>
          <w:tcPr>
            <w:tcW w:w="1871" w:type="dxa"/>
          </w:tcPr>
          <w:p w:rsidR="00B979F9" w:rsidRPr="00111E40" w:rsidRDefault="00B979F9" w:rsidP="00B979F9">
            <w:pPr>
              <w:pStyle w:val="TableSideHeading"/>
              <w:keepLines w:val="0"/>
              <w:rPr>
                <w:rFonts w:ascii="David" w:hAnsi="David"/>
                <w:sz w:val="24"/>
                <w:szCs w:val="24"/>
                <w:rtl/>
              </w:rPr>
            </w:pPr>
            <w:r>
              <w:rPr>
                <w:rFonts w:ascii="David" w:hAnsi="David" w:hint="cs"/>
                <w:sz w:val="24"/>
                <w:szCs w:val="24"/>
                <w:rtl/>
              </w:rPr>
              <w:lastRenderedPageBreak/>
              <w:t>תחולה</w:t>
            </w:r>
          </w:p>
        </w:tc>
        <w:tc>
          <w:tcPr>
            <w:tcW w:w="624" w:type="dxa"/>
          </w:tcPr>
          <w:p w:rsidR="00B979F9" w:rsidRPr="00111E40" w:rsidRDefault="00B979F9" w:rsidP="00B979F9">
            <w:pPr>
              <w:pStyle w:val="TableText"/>
              <w:numPr>
                <w:ilvl w:val="0"/>
                <w:numId w:val="8"/>
              </w:numPr>
            </w:pPr>
          </w:p>
        </w:tc>
        <w:tc>
          <w:tcPr>
            <w:tcW w:w="7146" w:type="dxa"/>
          </w:tcPr>
          <w:p w:rsidR="00B979F9" w:rsidRPr="00111E40" w:rsidRDefault="001E1322" w:rsidP="00B979F9">
            <w:pPr>
              <w:pStyle w:val="TableBlock"/>
              <w:keepLines w:val="0"/>
              <w:rPr>
                <w:rFonts w:ascii="David" w:hAnsi="David"/>
                <w:sz w:val="24"/>
                <w:szCs w:val="24"/>
                <w:rtl/>
              </w:rPr>
            </w:pPr>
            <w:r w:rsidRPr="007520B4">
              <w:rPr>
                <w:rFonts w:ascii="David" w:hAnsi="David"/>
                <w:sz w:val="24"/>
                <w:szCs w:val="24"/>
                <w:rtl/>
              </w:rPr>
              <w:t>הוראות אלה יחולו על פוליסות השתלות וטיפולים מיוחדים מחוץ לישראל, תרופות מחוץ לסל שירותי הבריאות וניתוחים וטיפולים מחליפי ניתוח מחוץ לישראל, מסוג ביטוח בריאות פרט שייכרתו במועד תחילתן של הוראות אלה או לאחריו; ומסוג ביטוח בריאות קבוצתי שייכרתו או יחודשו ממועד תחילתן של הוראות אלה או לאחריו.</w:t>
            </w:r>
          </w:p>
        </w:tc>
      </w:tr>
    </w:tbl>
    <w:p w:rsidR="00E456C2" w:rsidRPr="007520B4" w:rsidRDefault="00E456C2" w:rsidP="00E456C2">
      <w:pPr>
        <w:rPr>
          <w:rFonts w:ascii="David" w:hAnsi="David"/>
          <w:sz w:val="24"/>
        </w:rPr>
      </w:pPr>
    </w:p>
    <w:p w:rsidR="00E456C2" w:rsidRDefault="00E456C2" w:rsidP="00E456C2">
      <w:pPr>
        <w:rPr>
          <w:rtl/>
        </w:rPr>
      </w:pPr>
    </w:p>
    <w:p w:rsidR="00E456C2" w:rsidRPr="007520B4" w:rsidRDefault="00E456C2" w:rsidP="00E456C2">
      <w:pPr>
        <w:spacing w:before="120" w:after="120" w:line="360" w:lineRule="auto"/>
        <w:rPr>
          <w:rFonts w:ascii="David" w:eastAsia="Arial Unicode MS" w:hAnsi="David"/>
          <w:snapToGrid w:val="0"/>
          <w:sz w:val="24"/>
          <w:rtl/>
        </w:rPr>
      </w:pPr>
      <w:r w:rsidRPr="003002E2">
        <w:rPr>
          <w:rFonts w:ascii="David" w:eastAsia="Arial Unicode MS" w:hAnsi="David" w:hint="cs"/>
          <w:snapToGrid w:val="0"/>
          <w:sz w:val="24"/>
          <w:rtl/>
        </w:rPr>
        <w:t xml:space="preserve">____ </w:t>
      </w:r>
      <w:proofErr w:type="spellStart"/>
      <w:r w:rsidRPr="003002E2">
        <w:rPr>
          <w:rFonts w:ascii="David" w:eastAsia="Arial Unicode MS" w:hAnsi="David"/>
          <w:snapToGrid w:val="0"/>
          <w:sz w:val="24"/>
          <w:rtl/>
        </w:rPr>
        <w:t>התשפ"</w:t>
      </w:r>
      <w:r w:rsidRPr="003002E2">
        <w:rPr>
          <w:rFonts w:ascii="David" w:eastAsia="Arial Unicode MS" w:hAnsi="David" w:hint="cs"/>
          <w:snapToGrid w:val="0"/>
          <w:sz w:val="24"/>
          <w:rtl/>
        </w:rPr>
        <w:t>ג</w:t>
      </w:r>
      <w:proofErr w:type="spellEnd"/>
      <w:r w:rsidRPr="003002E2">
        <w:rPr>
          <w:rFonts w:ascii="David" w:eastAsia="Arial Unicode MS" w:hAnsi="David"/>
          <w:snapToGrid w:val="0"/>
          <w:sz w:val="24"/>
          <w:rtl/>
        </w:rPr>
        <w:t xml:space="preserve"> (</w:t>
      </w:r>
      <w:r w:rsidRPr="003002E2">
        <w:rPr>
          <w:rFonts w:ascii="David" w:eastAsia="Arial Unicode MS" w:hAnsi="David" w:hint="cs"/>
          <w:snapToGrid w:val="0"/>
          <w:sz w:val="24"/>
          <w:rtl/>
        </w:rPr>
        <w:t>_____</w:t>
      </w:r>
      <w:r w:rsidRPr="003002E2">
        <w:rPr>
          <w:rFonts w:ascii="David" w:eastAsia="Arial Unicode MS" w:hAnsi="David"/>
          <w:snapToGrid w:val="0"/>
          <w:sz w:val="24"/>
          <w:rtl/>
        </w:rPr>
        <w:t>202</w:t>
      </w:r>
      <w:r w:rsidRPr="003002E2">
        <w:rPr>
          <w:rFonts w:ascii="David" w:eastAsia="Arial Unicode MS" w:hAnsi="David" w:hint="cs"/>
          <w:snapToGrid w:val="0"/>
          <w:sz w:val="24"/>
          <w:rtl/>
        </w:rPr>
        <w:t>2</w:t>
      </w:r>
      <w:r w:rsidRPr="003002E2">
        <w:rPr>
          <w:rFonts w:ascii="David" w:eastAsia="Arial Unicode MS" w:hAnsi="David"/>
          <w:snapToGrid w:val="0"/>
          <w:sz w:val="24"/>
          <w:rtl/>
        </w:rPr>
        <w:t>)</w:t>
      </w:r>
    </w:p>
    <w:p w:rsidR="00E456C2" w:rsidRPr="007520B4" w:rsidRDefault="00E456C2" w:rsidP="00E456C2">
      <w:pPr>
        <w:spacing w:before="120" w:after="120" w:line="360" w:lineRule="auto"/>
        <w:rPr>
          <w:rFonts w:ascii="Arial" w:eastAsia="Arial Unicode MS" w:hAnsi="Arial"/>
          <w:snapToGrid w:val="0"/>
          <w:sz w:val="24"/>
          <w:rtl/>
        </w:rPr>
      </w:pPr>
      <w:r w:rsidRPr="007520B4">
        <w:rPr>
          <w:rFonts w:ascii="Arial" w:eastAsia="Arial Unicode MS" w:hAnsi="Arial" w:hint="cs"/>
          <w:snapToGrid w:val="0"/>
          <w:sz w:val="24"/>
          <w:rtl/>
        </w:rPr>
        <w:t xml:space="preserve"> (</w:t>
      </w:r>
      <w:proofErr w:type="spellStart"/>
      <w:r w:rsidRPr="007520B4">
        <w:rPr>
          <w:rFonts w:ascii="Arial" w:eastAsia="Arial Unicode MS" w:hAnsi="Arial" w:hint="cs"/>
          <w:snapToGrid w:val="0"/>
          <w:sz w:val="24"/>
          <w:rtl/>
        </w:rPr>
        <w:t>חמ</w:t>
      </w:r>
      <w:proofErr w:type="spellEnd"/>
      <w:r w:rsidRPr="007520B4">
        <w:rPr>
          <w:rFonts w:ascii="Arial" w:eastAsia="Arial Unicode MS" w:hAnsi="Arial" w:hint="cs"/>
          <w:snapToGrid w:val="0"/>
          <w:sz w:val="24"/>
          <w:rtl/>
        </w:rPr>
        <w:t xml:space="preserve"> 3-6379)</w:t>
      </w:r>
    </w:p>
    <w:p w:rsidR="00E456C2" w:rsidRDefault="00E456C2" w:rsidP="00E456C2">
      <w:pPr>
        <w:rPr>
          <w:rtl/>
        </w:rPr>
      </w:pPr>
    </w:p>
    <w:p w:rsidR="00E456C2" w:rsidRDefault="00E456C2" w:rsidP="00E456C2">
      <w:pPr>
        <w:ind w:left="5760"/>
        <w:rPr>
          <w:rtl/>
        </w:rPr>
      </w:pPr>
      <w:r>
        <w:rPr>
          <w:rFonts w:hint="cs"/>
          <w:rtl/>
        </w:rPr>
        <w:t>__________________</w:t>
      </w:r>
    </w:p>
    <w:p w:rsidR="00E456C2" w:rsidRPr="003A6E5E" w:rsidRDefault="00E456C2" w:rsidP="00E456C2">
      <w:pPr>
        <w:ind w:left="5760"/>
        <w:rPr>
          <w:rFonts w:ascii="Arial" w:eastAsia="Arial Unicode MS" w:hAnsi="Arial"/>
          <w:snapToGrid w:val="0"/>
          <w:szCs w:val="26"/>
          <w:rtl/>
        </w:rPr>
      </w:pPr>
      <w:r>
        <w:rPr>
          <w:rFonts w:ascii="Arial" w:eastAsia="Arial Unicode MS" w:hAnsi="Arial" w:hint="cs"/>
          <w:snapToGrid w:val="0"/>
          <w:szCs w:val="26"/>
          <w:rtl/>
        </w:rPr>
        <w:t>עמית גל</w:t>
      </w:r>
    </w:p>
    <w:p w:rsidR="00E456C2" w:rsidRDefault="00E456C2" w:rsidP="00E456C2">
      <w:pPr>
        <w:ind w:left="5760"/>
        <w:rPr>
          <w:rtl/>
        </w:rPr>
      </w:pPr>
      <w:r w:rsidRPr="003A6E5E">
        <w:rPr>
          <w:rFonts w:ascii="Arial" w:eastAsia="Arial Unicode MS" w:hAnsi="Arial" w:hint="eastAsia"/>
          <w:snapToGrid w:val="0"/>
          <w:szCs w:val="26"/>
          <w:rtl/>
        </w:rPr>
        <w:t>הממונה</w:t>
      </w:r>
      <w:r>
        <w:rPr>
          <w:rFonts w:ascii="Arial" w:eastAsia="Arial Unicode MS" w:hAnsi="Arial"/>
          <w:snapToGrid w:val="0"/>
          <w:szCs w:val="26"/>
          <w:rtl/>
        </w:rPr>
        <w:t xml:space="preserve"> על שוק</w:t>
      </w:r>
      <w:r w:rsidRPr="003A6E5E">
        <w:rPr>
          <w:rFonts w:ascii="Arial" w:eastAsia="Arial Unicode MS" w:hAnsi="Arial"/>
          <w:snapToGrid w:val="0"/>
          <w:szCs w:val="26"/>
          <w:rtl/>
        </w:rPr>
        <w:t xml:space="preserve"> ההון, ביטוח </w:t>
      </w:r>
      <w:r w:rsidRPr="003A6E5E">
        <w:rPr>
          <w:rFonts w:ascii="Arial" w:eastAsia="Arial Unicode MS" w:hAnsi="Arial" w:hint="eastAsia"/>
          <w:snapToGrid w:val="0"/>
          <w:szCs w:val="26"/>
          <w:rtl/>
        </w:rPr>
        <w:t>וחיסכון</w:t>
      </w:r>
      <w:r>
        <w:rPr>
          <w:rFonts w:hint="cs"/>
          <w:rtl/>
        </w:rPr>
        <w:t xml:space="preserve"> </w:t>
      </w:r>
      <w:r w:rsidRPr="00A24089">
        <w:rPr>
          <w:rFonts w:ascii="Arial" w:eastAsia="Arial Unicode MS" w:hAnsi="Arial" w:hint="cs"/>
          <w:snapToGrid w:val="0"/>
          <w:szCs w:val="26"/>
          <w:rtl/>
        </w:rPr>
        <w:t>בפועל</w:t>
      </w:r>
    </w:p>
    <w:p w:rsidR="00E456C2" w:rsidRDefault="00E456C2" w:rsidP="00E456C2">
      <w:pPr>
        <w:rPr>
          <w:rtl/>
        </w:rPr>
      </w:pPr>
    </w:p>
    <w:p w:rsidR="00E456C2" w:rsidRDefault="00E456C2" w:rsidP="00E456C2">
      <w:pPr>
        <w:bidi w:val="0"/>
        <w:spacing w:before="200" w:after="200" w:line="276" w:lineRule="auto"/>
        <w:rPr>
          <w:rFonts w:ascii="Arial" w:eastAsia="Arial Unicode MS" w:hAnsi="Arial"/>
          <w:b/>
          <w:snapToGrid w:val="0"/>
          <w:spacing w:val="40"/>
          <w:szCs w:val="26"/>
        </w:rPr>
      </w:pPr>
      <w:r>
        <w:rPr>
          <w:rtl/>
        </w:rPr>
        <w:br w:type="page"/>
      </w:r>
    </w:p>
    <w:p w:rsidR="00E456C2" w:rsidRPr="00CC6489" w:rsidRDefault="00E456C2" w:rsidP="00E456C2">
      <w:pPr>
        <w:pStyle w:val="HeadDivreiHesber"/>
        <w:spacing w:before="120"/>
        <w:contextualSpacing w:val="0"/>
        <w:rPr>
          <w:rFonts w:ascii="David" w:hAnsi="David"/>
          <w:sz w:val="24"/>
          <w:szCs w:val="24"/>
          <w:rtl/>
        </w:rPr>
      </w:pPr>
      <w:r w:rsidRPr="00CC6489">
        <w:rPr>
          <w:rFonts w:ascii="David" w:hAnsi="David"/>
          <w:sz w:val="24"/>
          <w:szCs w:val="24"/>
          <w:rtl/>
        </w:rPr>
        <w:lastRenderedPageBreak/>
        <w:t>דברי הסבר</w:t>
      </w:r>
    </w:p>
    <w:p w:rsidR="0093016D" w:rsidRDefault="0093016D" w:rsidP="00E456C2">
      <w:pPr>
        <w:pStyle w:val="Hesber1st"/>
        <w:spacing w:before="120" w:after="120"/>
        <w:contextualSpacing w:val="0"/>
        <w:rPr>
          <w:rFonts w:ascii="David" w:hAnsi="David"/>
          <w:b/>
          <w:bCs/>
          <w:sz w:val="24"/>
          <w:szCs w:val="24"/>
          <w:rtl/>
        </w:rPr>
      </w:pPr>
    </w:p>
    <w:p w:rsidR="00E456C2" w:rsidRPr="00CC6489" w:rsidRDefault="00E456C2" w:rsidP="00E456C2">
      <w:pPr>
        <w:pStyle w:val="Hesber1st"/>
        <w:spacing w:before="120" w:after="120"/>
        <w:contextualSpacing w:val="0"/>
        <w:rPr>
          <w:rFonts w:ascii="David" w:hAnsi="David"/>
          <w:b/>
          <w:bCs/>
          <w:sz w:val="24"/>
          <w:szCs w:val="24"/>
          <w:rtl/>
        </w:rPr>
      </w:pPr>
      <w:r w:rsidRPr="00CC6489">
        <w:rPr>
          <w:rFonts w:ascii="David" w:hAnsi="David"/>
          <w:b/>
          <w:bCs/>
          <w:sz w:val="24"/>
          <w:szCs w:val="24"/>
          <w:rtl/>
        </w:rPr>
        <w:t>כללי</w:t>
      </w:r>
    </w:p>
    <w:p w:rsidR="00E456C2" w:rsidRPr="001055C9" w:rsidRDefault="00E456C2" w:rsidP="00FD0BC5">
      <w:pPr>
        <w:pStyle w:val="Hesber1st"/>
        <w:spacing w:before="120" w:after="120"/>
        <w:contextualSpacing w:val="0"/>
        <w:rPr>
          <w:rFonts w:ascii="David" w:hAnsi="David"/>
          <w:sz w:val="24"/>
          <w:szCs w:val="24"/>
          <w:rtl/>
        </w:rPr>
      </w:pPr>
      <w:r w:rsidRPr="001055C9">
        <w:rPr>
          <w:rFonts w:ascii="David" w:hAnsi="David" w:hint="cs"/>
          <w:sz w:val="24"/>
          <w:szCs w:val="24"/>
          <w:rtl/>
        </w:rPr>
        <w:t>ביום 19 בספטמבר 2022, פורסמו ה</w:t>
      </w:r>
      <w:r w:rsidRPr="001055C9">
        <w:rPr>
          <w:rFonts w:ascii="David" w:hAnsi="David"/>
          <w:sz w:val="24"/>
          <w:szCs w:val="24"/>
          <w:rtl/>
        </w:rPr>
        <w:t xml:space="preserve">וראות הפיקוח על שירותים פיננסיים </w:t>
      </w:r>
      <w:r w:rsidRPr="001055C9">
        <w:rPr>
          <w:rFonts w:ascii="David" w:hAnsi="David" w:hint="cs"/>
          <w:sz w:val="24"/>
          <w:szCs w:val="24"/>
          <w:rtl/>
        </w:rPr>
        <w:t>(</w:t>
      </w:r>
      <w:r w:rsidRPr="001055C9">
        <w:rPr>
          <w:rFonts w:ascii="David" w:hAnsi="David"/>
          <w:sz w:val="24"/>
          <w:szCs w:val="24"/>
          <w:rtl/>
        </w:rPr>
        <w:t>ביטוח</w:t>
      </w:r>
      <w:r w:rsidRPr="001055C9">
        <w:rPr>
          <w:rFonts w:ascii="David" w:hAnsi="David" w:hint="cs"/>
          <w:sz w:val="24"/>
          <w:szCs w:val="24"/>
          <w:rtl/>
        </w:rPr>
        <w:t>)</w:t>
      </w:r>
      <w:r w:rsidRPr="001055C9">
        <w:rPr>
          <w:rFonts w:ascii="David" w:hAnsi="David"/>
          <w:sz w:val="24"/>
          <w:szCs w:val="24"/>
          <w:rtl/>
        </w:rPr>
        <w:t xml:space="preserve"> </w:t>
      </w:r>
      <w:r w:rsidRPr="001055C9">
        <w:rPr>
          <w:rFonts w:ascii="David" w:hAnsi="David" w:hint="cs"/>
          <w:sz w:val="24"/>
          <w:szCs w:val="24"/>
          <w:rtl/>
        </w:rPr>
        <w:t>(</w:t>
      </w:r>
      <w:r w:rsidRPr="001055C9">
        <w:rPr>
          <w:rFonts w:ascii="David" w:hAnsi="David"/>
          <w:sz w:val="24"/>
          <w:szCs w:val="24"/>
          <w:rtl/>
        </w:rPr>
        <w:t>תנאים בחוזה ביטוח לפוליסת בריאות בסיסית</w:t>
      </w:r>
      <w:r w:rsidRPr="001055C9">
        <w:rPr>
          <w:rFonts w:ascii="David" w:hAnsi="David" w:hint="cs"/>
          <w:sz w:val="24"/>
          <w:szCs w:val="24"/>
          <w:rtl/>
        </w:rPr>
        <w:t>)</w:t>
      </w:r>
      <w:r w:rsidRPr="001055C9">
        <w:rPr>
          <w:rFonts w:ascii="David" w:hAnsi="David"/>
          <w:sz w:val="24"/>
          <w:szCs w:val="24"/>
          <w:rtl/>
        </w:rPr>
        <w:t>, התשפ"</w:t>
      </w:r>
      <w:r>
        <w:rPr>
          <w:rFonts w:ascii="David" w:hAnsi="David" w:hint="cs"/>
          <w:sz w:val="24"/>
          <w:szCs w:val="24"/>
          <w:rtl/>
        </w:rPr>
        <w:t>ב</w:t>
      </w:r>
      <w:r w:rsidRPr="001055C9">
        <w:rPr>
          <w:rFonts w:ascii="David" w:hAnsi="David"/>
          <w:sz w:val="24"/>
          <w:szCs w:val="24"/>
          <w:rtl/>
        </w:rPr>
        <w:t>-2022</w:t>
      </w:r>
      <w:r w:rsidRPr="001055C9">
        <w:rPr>
          <w:rFonts w:ascii="David" w:hAnsi="David" w:hint="cs"/>
          <w:sz w:val="24"/>
          <w:szCs w:val="24"/>
          <w:rtl/>
        </w:rPr>
        <w:t xml:space="preserve">. במסגרת ההוראות </w:t>
      </w:r>
      <w:r w:rsidRPr="00CC6489">
        <w:rPr>
          <w:rFonts w:ascii="David" w:hAnsi="David"/>
          <w:sz w:val="24"/>
          <w:szCs w:val="24"/>
          <w:rtl/>
        </w:rPr>
        <w:t xml:space="preserve">הוגדרה פוליסה תקנית </w:t>
      </w:r>
      <w:r w:rsidR="00FD0BC5">
        <w:rPr>
          <w:rFonts w:ascii="David" w:hAnsi="David" w:hint="cs"/>
          <w:sz w:val="24"/>
          <w:szCs w:val="24"/>
          <w:rtl/>
        </w:rPr>
        <w:t>ל</w:t>
      </w:r>
      <w:r w:rsidR="00FD0BC5" w:rsidRPr="00FD0BC5">
        <w:rPr>
          <w:rFonts w:ascii="David" w:hAnsi="David"/>
          <w:sz w:val="24"/>
          <w:szCs w:val="24"/>
          <w:rtl/>
        </w:rPr>
        <w:t xml:space="preserve">פוליסת השתלות וטיפולים מיוחדים מחוץ לישראל, </w:t>
      </w:r>
      <w:r w:rsidR="00FD0BC5">
        <w:rPr>
          <w:rFonts w:ascii="David" w:hAnsi="David" w:hint="cs"/>
          <w:sz w:val="24"/>
          <w:szCs w:val="24"/>
          <w:rtl/>
        </w:rPr>
        <w:t>ל</w:t>
      </w:r>
      <w:r w:rsidR="00FD0BC5" w:rsidRPr="00FD0BC5">
        <w:rPr>
          <w:rFonts w:ascii="David" w:hAnsi="David"/>
          <w:sz w:val="24"/>
          <w:szCs w:val="24"/>
          <w:rtl/>
        </w:rPr>
        <w:t>פוליסת תרופות מחוץ לסל ו</w:t>
      </w:r>
      <w:r w:rsidR="00FD0BC5">
        <w:rPr>
          <w:rFonts w:ascii="David" w:hAnsi="David" w:hint="cs"/>
          <w:sz w:val="24"/>
          <w:szCs w:val="24"/>
          <w:rtl/>
        </w:rPr>
        <w:t>ל</w:t>
      </w:r>
      <w:r w:rsidR="00FD0BC5" w:rsidRPr="00FD0BC5">
        <w:rPr>
          <w:rFonts w:ascii="David" w:hAnsi="David"/>
          <w:sz w:val="24"/>
          <w:szCs w:val="24"/>
          <w:rtl/>
        </w:rPr>
        <w:t>פוליסת ניתוחים וטיפולים מחליפי ניתוח מחוץ לישראל</w:t>
      </w:r>
      <w:r w:rsidR="00FD0BC5">
        <w:rPr>
          <w:rFonts w:ascii="David" w:hAnsi="David" w:hint="cs"/>
          <w:sz w:val="24"/>
          <w:szCs w:val="24"/>
          <w:rtl/>
        </w:rPr>
        <w:t xml:space="preserve">. </w:t>
      </w:r>
      <w:r w:rsidRPr="00CC6489">
        <w:rPr>
          <w:rFonts w:ascii="David" w:hAnsi="David"/>
          <w:sz w:val="24"/>
          <w:szCs w:val="24"/>
          <w:rtl/>
        </w:rPr>
        <w:t>הוראות אלה למעשה מצטרפות לתקנות הניתוחים בקביעתן פוליסת בריאות בסיסית, כפוליסה תקנית, המאחדת בתוכה את שלושת הפוליסות האמורות</w:t>
      </w:r>
      <w:r>
        <w:rPr>
          <w:rFonts w:ascii="David" w:hAnsi="David" w:hint="cs"/>
          <w:sz w:val="24"/>
          <w:szCs w:val="24"/>
          <w:rtl/>
        </w:rPr>
        <w:t>.</w:t>
      </w:r>
    </w:p>
    <w:p w:rsidR="00551EA0" w:rsidRDefault="00551EA0" w:rsidP="00E456C2">
      <w:pPr>
        <w:pStyle w:val="Hesber1st"/>
        <w:spacing w:before="120" w:after="120"/>
        <w:contextualSpacing w:val="0"/>
        <w:rPr>
          <w:rFonts w:ascii="David" w:hAnsi="David"/>
          <w:b/>
          <w:bCs/>
          <w:sz w:val="24"/>
          <w:szCs w:val="24"/>
          <w:rtl/>
        </w:rPr>
      </w:pPr>
    </w:p>
    <w:p w:rsidR="003A5D87" w:rsidRPr="00CC6489" w:rsidRDefault="003A5D87" w:rsidP="003A5D87">
      <w:pPr>
        <w:pStyle w:val="Hesber1st"/>
        <w:spacing w:before="120" w:after="120"/>
        <w:contextualSpacing w:val="0"/>
        <w:rPr>
          <w:rFonts w:ascii="David" w:hAnsi="David"/>
          <w:b/>
          <w:bCs/>
          <w:sz w:val="24"/>
          <w:szCs w:val="24"/>
          <w:rtl/>
        </w:rPr>
      </w:pPr>
      <w:r w:rsidRPr="00CC6489">
        <w:rPr>
          <w:rFonts w:ascii="David" w:hAnsi="David"/>
          <w:b/>
          <w:bCs/>
          <w:sz w:val="24"/>
          <w:szCs w:val="24"/>
          <w:rtl/>
        </w:rPr>
        <w:t xml:space="preserve">לסעיף </w:t>
      </w:r>
      <w:r>
        <w:rPr>
          <w:rFonts w:ascii="David" w:hAnsi="David" w:hint="cs"/>
          <w:b/>
          <w:bCs/>
          <w:sz w:val="24"/>
          <w:szCs w:val="24"/>
          <w:rtl/>
        </w:rPr>
        <w:t>1 וסעיף 6</w:t>
      </w:r>
      <w:r w:rsidRPr="00CC6489">
        <w:rPr>
          <w:rFonts w:ascii="David" w:hAnsi="David"/>
          <w:b/>
          <w:bCs/>
          <w:sz w:val="24"/>
          <w:szCs w:val="24"/>
          <w:rtl/>
        </w:rPr>
        <w:t xml:space="preserve"> - תחילה</w:t>
      </w:r>
    </w:p>
    <w:p w:rsidR="003A5D87" w:rsidRDefault="003A5D87" w:rsidP="003A5D87">
      <w:pPr>
        <w:widowControl w:val="0"/>
        <w:tabs>
          <w:tab w:val="left" w:pos="680"/>
          <w:tab w:val="left" w:pos="1020"/>
        </w:tabs>
        <w:snapToGrid w:val="0"/>
        <w:spacing w:before="120" w:after="120" w:line="360" w:lineRule="auto"/>
        <w:jc w:val="both"/>
        <w:rPr>
          <w:rFonts w:ascii="David" w:eastAsiaTheme="minorHAnsi" w:hAnsi="David"/>
          <w:sz w:val="24"/>
          <w:rtl/>
          <w:lang w:eastAsia="en-US"/>
        </w:rPr>
      </w:pPr>
      <w:r>
        <w:rPr>
          <w:rFonts w:ascii="David" w:hAnsi="David" w:hint="cs"/>
          <w:sz w:val="24"/>
          <w:rtl/>
        </w:rPr>
        <w:t>מוצע לתקן</w:t>
      </w:r>
      <w:r w:rsidRPr="00CC6489">
        <w:rPr>
          <w:rFonts w:ascii="David" w:hAnsi="David"/>
          <w:sz w:val="24"/>
          <w:rtl/>
        </w:rPr>
        <w:t xml:space="preserve"> </w:t>
      </w:r>
      <w:r>
        <w:rPr>
          <w:rFonts w:ascii="David" w:hAnsi="David" w:hint="cs"/>
          <w:sz w:val="24"/>
          <w:rtl/>
        </w:rPr>
        <w:t>את ההוראות</w:t>
      </w:r>
      <w:r w:rsidRPr="00CC6489">
        <w:rPr>
          <w:rFonts w:ascii="David" w:hAnsi="David"/>
          <w:sz w:val="24"/>
          <w:rtl/>
        </w:rPr>
        <w:t xml:space="preserve"> </w:t>
      </w:r>
      <w:r>
        <w:rPr>
          <w:rFonts w:ascii="David" w:hAnsi="David" w:hint="cs"/>
          <w:sz w:val="24"/>
          <w:rtl/>
        </w:rPr>
        <w:t>כך שמועד תחילתן יהיה ביום 1 במאי 2023</w:t>
      </w:r>
      <w:r w:rsidRPr="00CC6489">
        <w:rPr>
          <w:rFonts w:ascii="David" w:hAnsi="David"/>
          <w:sz w:val="24"/>
          <w:rtl/>
        </w:rPr>
        <w:t>.</w:t>
      </w:r>
      <w:r>
        <w:rPr>
          <w:rFonts w:ascii="David" w:hAnsi="David" w:hint="cs"/>
          <w:sz w:val="24"/>
          <w:rtl/>
        </w:rPr>
        <w:t xml:space="preserve"> </w:t>
      </w:r>
      <w:r>
        <w:rPr>
          <w:rFonts w:ascii="David" w:eastAsiaTheme="minorHAnsi" w:hAnsi="David" w:hint="cs"/>
          <w:sz w:val="24"/>
          <w:rtl/>
          <w:lang w:eastAsia="en-US"/>
        </w:rPr>
        <w:t xml:space="preserve">את </w:t>
      </w:r>
      <w:r>
        <w:rPr>
          <w:rFonts w:ascii="David" w:eastAsiaTheme="minorHAnsi" w:hAnsi="David"/>
          <w:sz w:val="24"/>
          <w:rtl/>
          <w:lang w:eastAsia="en-US"/>
        </w:rPr>
        <w:t>נוכח פניות שהתקבלו מהשוק ו</w:t>
      </w:r>
      <w:r>
        <w:rPr>
          <w:rFonts w:eastAsiaTheme="minorHAnsi"/>
          <w:sz w:val="24"/>
          <w:rtl/>
          <w:lang w:eastAsia="en-US"/>
        </w:rPr>
        <w:t xml:space="preserve">על מנת לאפשר לשוק להיערך </w:t>
      </w:r>
      <w:r>
        <w:rPr>
          <w:rFonts w:eastAsiaTheme="minorHAnsi" w:hint="cs"/>
          <w:sz w:val="24"/>
          <w:rtl/>
          <w:lang w:eastAsia="en-US"/>
        </w:rPr>
        <w:t>בצורה</w:t>
      </w:r>
      <w:r>
        <w:rPr>
          <w:rFonts w:ascii="David" w:eastAsiaTheme="minorHAnsi" w:hAnsi="David" w:hint="cs"/>
          <w:sz w:val="24"/>
          <w:rtl/>
          <w:lang w:eastAsia="en-US"/>
        </w:rPr>
        <w:t xml:space="preserve"> נאותה לרפורמה.</w:t>
      </w:r>
    </w:p>
    <w:p w:rsidR="00551EA0" w:rsidRDefault="00551EA0" w:rsidP="0093016D">
      <w:pPr>
        <w:pStyle w:val="medium2-header"/>
        <w:bidi/>
        <w:spacing w:before="120" w:beforeAutospacing="0" w:after="120" w:afterAutospacing="0" w:line="360" w:lineRule="auto"/>
        <w:ind w:right="1134"/>
        <w:jc w:val="both"/>
        <w:rPr>
          <w:rFonts w:ascii="David" w:eastAsia="Arial Unicode MS" w:hAnsi="David" w:cs="David"/>
          <w:b/>
          <w:bCs/>
          <w:snapToGrid w:val="0"/>
          <w:u w:val="single"/>
          <w:rtl/>
        </w:rPr>
      </w:pPr>
    </w:p>
    <w:p w:rsidR="00E456C2" w:rsidRPr="00CC6489" w:rsidRDefault="00E456C2" w:rsidP="00551EA0">
      <w:pPr>
        <w:pStyle w:val="medium2-header"/>
        <w:bidi/>
        <w:spacing w:before="120" w:beforeAutospacing="0" w:after="120" w:afterAutospacing="0" w:line="360" w:lineRule="auto"/>
        <w:ind w:right="1134"/>
        <w:jc w:val="both"/>
        <w:rPr>
          <w:rFonts w:ascii="David" w:eastAsia="Arial Unicode MS" w:hAnsi="David" w:cs="David"/>
          <w:b/>
          <w:bCs/>
          <w:snapToGrid w:val="0"/>
          <w:u w:val="single"/>
          <w:rtl/>
        </w:rPr>
      </w:pPr>
      <w:r>
        <w:rPr>
          <w:rFonts w:ascii="David" w:eastAsia="Arial Unicode MS" w:hAnsi="David" w:cs="David" w:hint="cs"/>
          <w:b/>
          <w:bCs/>
          <w:snapToGrid w:val="0"/>
          <w:u w:val="single"/>
          <w:rtl/>
        </w:rPr>
        <w:t>ל</w:t>
      </w:r>
      <w:r w:rsidRPr="00CC6489">
        <w:rPr>
          <w:rFonts w:ascii="David" w:eastAsia="Arial Unicode MS" w:hAnsi="David" w:cs="David"/>
          <w:b/>
          <w:bCs/>
          <w:snapToGrid w:val="0"/>
          <w:u w:val="single"/>
          <w:rtl/>
        </w:rPr>
        <w:t>תוספת ראשונה</w:t>
      </w:r>
      <w:r w:rsidR="00934D69">
        <w:rPr>
          <w:rFonts w:ascii="David" w:eastAsia="Arial Unicode MS" w:hAnsi="David" w:cs="David" w:hint="cs"/>
          <w:b/>
          <w:bCs/>
          <w:snapToGrid w:val="0"/>
          <w:u w:val="single"/>
          <w:rtl/>
        </w:rPr>
        <w:t>- השתלות וטיפולים מיוחדים מחוץ לישראל</w:t>
      </w:r>
    </w:p>
    <w:p w:rsidR="00E456C2" w:rsidRPr="00CC6489" w:rsidRDefault="00E456C2" w:rsidP="00E456C2">
      <w:pPr>
        <w:pStyle w:val="Hesber1st"/>
        <w:spacing w:before="120" w:after="120"/>
        <w:contextualSpacing w:val="0"/>
        <w:rPr>
          <w:rFonts w:ascii="David" w:hAnsi="David"/>
          <w:b/>
          <w:bCs/>
          <w:sz w:val="24"/>
          <w:szCs w:val="24"/>
          <w:rtl/>
        </w:rPr>
      </w:pPr>
      <w:r w:rsidRPr="00CC6489">
        <w:rPr>
          <w:rFonts w:ascii="David" w:hAnsi="David"/>
          <w:b/>
          <w:bCs/>
          <w:sz w:val="24"/>
          <w:szCs w:val="24"/>
          <w:rtl/>
        </w:rPr>
        <w:t xml:space="preserve">בתוספת הראשונה </w:t>
      </w:r>
      <w:r>
        <w:rPr>
          <w:rFonts w:ascii="David" w:hAnsi="David" w:hint="cs"/>
          <w:b/>
          <w:bCs/>
          <w:sz w:val="24"/>
          <w:szCs w:val="24"/>
          <w:rtl/>
        </w:rPr>
        <w:t>- חריגים</w:t>
      </w:r>
    </w:p>
    <w:p w:rsidR="003A5D87" w:rsidRDefault="003A5D87" w:rsidP="003A5D87">
      <w:pPr>
        <w:pStyle w:val="Hesber1st"/>
        <w:spacing w:before="120" w:after="120"/>
        <w:contextualSpacing w:val="0"/>
        <w:rPr>
          <w:rFonts w:ascii="David" w:hAnsi="David"/>
          <w:sz w:val="24"/>
          <w:szCs w:val="24"/>
          <w:rtl/>
        </w:rPr>
      </w:pPr>
      <w:r>
        <w:rPr>
          <w:rFonts w:ascii="David" w:hAnsi="David" w:hint="cs"/>
          <w:sz w:val="24"/>
          <w:szCs w:val="24"/>
          <w:rtl/>
        </w:rPr>
        <w:t>במסגרת ההוראות נקבע</w:t>
      </w:r>
      <w:r w:rsidRPr="00CC6489">
        <w:rPr>
          <w:rFonts w:ascii="David" w:hAnsi="David"/>
          <w:sz w:val="24"/>
          <w:szCs w:val="24"/>
          <w:rtl/>
        </w:rPr>
        <w:t xml:space="preserve"> מה הם המקרים שיוחרגו מכיסוי בפוליסת השתלות וטיפולים מיוחדים </w:t>
      </w:r>
      <w:r>
        <w:rPr>
          <w:rFonts w:ascii="David" w:hAnsi="David"/>
          <w:sz w:val="24"/>
          <w:szCs w:val="24"/>
          <w:rtl/>
        </w:rPr>
        <w:t>מחוץ לישראל</w:t>
      </w:r>
      <w:r w:rsidRPr="00CC6489">
        <w:rPr>
          <w:rFonts w:ascii="David" w:hAnsi="David"/>
          <w:sz w:val="24"/>
          <w:szCs w:val="24"/>
          <w:rtl/>
        </w:rPr>
        <w:t>. רשימת החריגים מהווה למעשה את המכנה המשותף הרחב בין כלל הפוליסות הקיימות כיום בשוק כך שמרבית החריגים הקיימים כיום יהוו חריגים גם בפוליסה האחידה.</w:t>
      </w:r>
    </w:p>
    <w:p w:rsidR="003A5D87" w:rsidRPr="001055C9" w:rsidRDefault="003A5D87" w:rsidP="003A5D87">
      <w:pPr>
        <w:pStyle w:val="Hesber1st"/>
        <w:spacing w:before="120" w:after="120"/>
        <w:contextualSpacing w:val="0"/>
        <w:rPr>
          <w:rFonts w:ascii="David" w:hAnsi="David"/>
          <w:sz w:val="24"/>
          <w:szCs w:val="24"/>
          <w:rtl/>
        </w:rPr>
      </w:pPr>
      <w:r>
        <w:rPr>
          <w:rFonts w:ascii="David" w:hAnsi="David" w:hint="cs"/>
          <w:sz w:val="24"/>
          <w:szCs w:val="24"/>
          <w:rtl/>
        </w:rPr>
        <w:t xml:space="preserve">באשר לחריג ביחס למקרה ביטוח שאירע עקב פעילות מלחמתית, צומצם תחולת החריג באופן שהפוליסה מחריגה רק מקרים שנגרמו עקב פעילות מלחמתית, איבה או בעלת אופי צבאי. מוצע לתקן ולהבהיר כי החריג יחול רק על מקרים שנגרמו באופן ישיר עקב פעילות מלחמתית, איבה או בעלת אופי צבאי. </w:t>
      </w:r>
      <w:r w:rsidRPr="001055C9">
        <w:rPr>
          <w:rFonts w:ascii="David" w:hAnsi="David" w:hint="cs"/>
          <w:sz w:val="24"/>
          <w:szCs w:val="24"/>
          <w:rtl/>
        </w:rPr>
        <w:t xml:space="preserve">זאת, בהתאם לפסיקה שנקבעה בנושא, ראו לעניין זה: </w:t>
      </w:r>
      <w:r w:rsidRPr="001055C9">
        <w:rPr>
          <w:rFonts w:ascii="David" w:hAnsi="David"/>
          <w:sz w:val="24"/>
          <w:szCs w:val="24"/>
          <w:rtl/>
        </w:rPr>
        <w:t>ת</w:t>
      </w:r>
      <w:r w:rsidRPr="001055C9">
        <w:rPr>
          <w:rFonts w:ascii="David" w:hAnsi="David" w:hint="cs"/>
          <w:sz w:val="24"/>
          <w:szCs w:val="24"/>
          <w:rtl/>
        </w:rPr>
        <w:t>"</w:t>
      </w:r>
      <w:r w:rsidRPr="001055C9">
        <w:rPr>
          <w:rFonts w:ascii="David" w:hAnsi="David"/>
          <w:sz w:val="24"/>
          <w:szCs w:val="24"/>
          <w:rtl/>
        </w:rPr>
        <w:t xml:space="preserve">צ (מרכז) 19607-09-15‏ ‏עמית </w:t>
      </w:r>
      <w:proofErr w:type="spellStart"/>
      <w:r w:rsidRPr="001055C9">
        <w:rPr>
          <w:rFonts w:ascii="David" w:hAnsi="David"/>
          <w:sz w:val="24"/>
          <w:szCs w:val="24"/>
          <w:rtl/>
        </w:rPr>
        <w:t>גריידי</w:t>
      </w:r>
      <w:proofErr w:type="spellEnd"/>
      <w:r w:rsidRPr="001055C9">
        <w:rPr>
          <w:rFonts w:ascii="David" w:hAnsi="David"/>
          <w:sz w:val="24"/>
          <w:szCs w:val="24"/>
          <w:rtl/>
        </w:rPr>
        <w:t xml:space="preserve"> נ' דקלה - חברה לביטוח בע"מ</w:t>
      </w:r>
      <w:r w:rsidRPr="001055C9">
        <w:rPr>
          <w:rFonts w:ascii="David" w:hAnsi="David" w:hint="cs"/>
          <w:sz w:val="24"/>
          <w:szCs w:val="24"/>
          <w:rtl/>
        </w:rPr>
        <w:t xml:space="preserve"> (22.8.2017).</w:t>
      </w:r>
    </w:p>
    <w:p w:rsidR="00551EA0" w:rsidRDefault="00551EA0" w:rsidP="0093016D">
      <w:pPr>
        <w:pStyle w:val="medium2-header"/>
        <w:bidi/>
        <w:spacing w:before="120" w:beforeAutospacing="0" w:after="120" w:afterAutospacing="0" w:line="360" w:lineRule="auto"/>
        <w:ind w:right="1134"/>
        <w:rPr>
          <w:rFonts w:ascii="David" w:hAnsi="David" w:cs="David"/>
          <w:b/>
          <w:bCs/>
          <w:color w:val="000000"/>
          <w:u w:val="single"/>
          <w:rtl/>
        </w:rPr>
      </w:pPr>
    </w:p>
    <w:p w:rsidR="00E456C2" w:rsidRPr="00CC6489" w:rsidRDefault="00E456C2" w:rsidP="00551EA0">
      <w:pPr>
        <w:pStyle w:val="medium2-header"/>
        <w:bidi/>
        <w:spacing w:before="120" w:beforeAutospacing="0" w:after="120" w:afterAutospacing="0" w:line="360" w:lineRule="auto"/>
        <w:ind w:right="1134"/>
        <w:rPr>
          <w:rFonts w:ascii="David" w:hAnsi="David" w:cs="David"/>
          <w:b/>
          <w:bCs/>
          <w:color w:val="000000"/>
          <w:u w:val="single"/>
          <w:rtl/>
        </w:rPr>
      </w:pPr>
      <w:r>
        <w:rPr>
          <w:rFonts w:ascii="David" w:hAnsi="David" w:cs="David" w:hint="cs"/>
          <w:b/>
          <w:bCs/>
          <w:color w:val="000000"/>
          <w:u w:val="single"/>
          <w:rtl/>
        </w:rPr>
        <w:t>ל</w:t>
      </w:r>
      <w:r w:rsidRPr="00CC6489">
        <w:rPr>
          <w:rFonts w:ascii="David" w:hAnsi="David" w:cs="David"/>
          <w:b/>
          <w:bCs/>
          <w:color w:val="000000"/>
          <w:u w:val="single"/>
          <w:rtl/>
        </w:rPr>
        <w:t>תוספת שנייה- תרופות מחוץ לסל</w:t>
      </w:r>
      <w:r w:rsidR="00934D69">
        <w:rPr>
          <w:rFonts w:ascii="David" w:hAnsi="David" w:cs="David" w:hint="cs"/>
          <w:b/>
          <w:bCs/>
          <w:color w:val="000000"/>
          <w:u w:val="single"/>
          <w:rtl/>
        </w:rPr>
        <w:t xml:space="preserve"> שירותי הבריאות</w:t>
      </w:r>
    </w:p>
    <w:p w:rsidR="00E456C2" w:rsidRPr="00CC6489" w:rsidRDefault="00E456C2" w:rsidP="00E456C2">
      <w:pPr>
        <w:pStyle w:val="Hesber1st"/>
        <w:spacing w:before="120" w:after="120"/>
        <w:contextualSpacing w:val="0"/>
        <w:rPr>
          <w:rFonts w:ascii="David" w:hAnsi="David"/>
          <w:b/>
          <w:bCs/>
          <w:sz w:val="24"/>
          <w:szCs w:val="24"/>
          <w:rtl/>
        </w:rPr>
      </w:pPr>
      <w:r w:rsidRPr="00CC6489">
        <w:rPr>
          <w:rFonts w:ascii="David" w:hAnsi="David"/>
          <w:b/>
          <w:bCs/>
          <w:sz w:val="24"/>
          <w:szCs w:val="24"/>
          <w:rtl/>
        </w:rPr>
        <w:t xml:space="preserve">בתוספת </w:t>
      </w:r>
      <w:r w:rsidRPr="00CC6489">
        <w:rPr>
          <w:rFonts w:ascii="David" w:hAnsi="David" w:hint="cs"/>
          <w:b/>
          <w:bCs/>
          <w:sz w:val="24"/>
          <w:szCs w:val="24"/>
          <w:rtl/>
        </w:rPr>
        <w:t>השניי</w:t>
      </w:r>
      <w:r w:rsidRPr="00CC6489">
        <w:rPr>
          <w:rFonts w:ascii="David" w:hAnsi="David" w:hint="eastAsia"/>
          <w:b/>
          <w:bCs/>
          <w:sz w:val="24"/>
          <w:szCs w:val="24"/>
          <w:rtl/>
        </w:rPr>
        <w:t>ה</w:t>
      </w:r>
      <w:r w:rsidRPr="00CC6489">
        <w:rPr>
          <w:rFonts w:ascii="David" w:hAnsi="David"/>
          <w:b/>
          <w:bCs/>
          <w:sz w:val="24"/>
          <w:szCs w:val="24"/>
          <w:rtl/>
        </w:rPr>
        <w:t xml:space="preserve"> - חריגים </w:t>
      </w:r>
    </w:p>
    <w:p w:rsidR="003A5D87" w:rsidRPr="001055C9" w:rsidRDefault="003A5D87" w:rsidP="003A5D87">
      <w:pPr>
        <w:pStyle w:val="Hesber1st"/>
        <w:spacing w:before="120" w:after="120"/>
        <w:contextualSpacing w:val="0"/>
        <w:rPr>
          <w:rFonts w:ascii="David" w:hAnsi="David"/>
          <w:sz w:val="24"/>
          <w:szCs w:val="24"/>
          <w:rtl/>
        </w:rPr>
      </w:pPr>
      <w:r>
        <w:rPr>
          <w:rFonts w:ascii="David" w:hAnsi="David" w:hint="cs"/>
          <w:sz w:val="24"/>
          <w:szCs w:val="24"/>
          <w:rtl/>
        </w:rPr>
        <w:t>במסגרת ההוראות נקבע</w:t>
      </w:r>
      <w:r w:rsidRPr="00CC6489">
        <w:rPr>
          <w:rFonts w:ascii="David" w:hAnsi="David"/>
          <w:sz w:val="24"/>
          <w:szCs w:val="24"/>
          <w:rtl/>
        </w:rPr>
        <w:t xml:space="preserve"> מה הם המקרים שיוחרגו מכיסוי בפוליסת תרופות מחוץ לסל. רשימת החריגים מהווה למעשה את המכנה המשותף הרחב בין כלל הפוליסות הקיימות כיום בשוק כך שמרבית החריגים הקיימים כיום יהוו חריגים גם בפוליסה האחידה.</w:t>
      </w:r>
    </w:p>
    <w:p w:rsidR="003A5D87" w:rsidRPr="001055C9" w:rsidRDefault="003A5D87" w:rsidP="003A5D87">
      <w:pPr>
        <w:pStyle w:val="Hesber1st"/>
        <w:spacing w:before="120" w:after="120"/>
        <w:contextualSpacing w:val="0"/>
        <w:rPr>
          <w:rFonts w:ascii="David" w:hAnsi="David"/>
          <w:sz w:val="24"/>
          <w:szCs w:val="24"/>
          <w:rtl/>
        </w:rPr>
      </w:pPr>
      <w:r w:rsidRPr="001055C9">
        <w:rPr>
          <w:rFonts w:ascii="David" w:hAnsi="David"/>
          <w:sz w:val="24"/>
          <w:szCs w:val="24"/>
          <w:rtl/>
        </w:rPr>
        <w:t xml:space="preserve">מוצע </w:t>
      </w:r>
      <w:proofErr w:type="spellStart"/>
      <w:r w:rsidRPr="001055C9">
        <w:rPr>
          <w:rFonts w:ascii="David" w:hAnsi="David"/>
          <w:sz w:val="24"/>
          <w:szCs w:val="24"/>
          <w:rtl/>
        </w:rPr>
        <w:t>להחריג</w:t>
      </w:r>
      <w:proofErr w:type="spellEnd"/>
      <w:r w:rsidRPr="001055C9">
        <w:rPr>
          <w:rFonts w:ascii="David" w:hAnsi="David"/>
          <w:sz w:val="24"/>
          <w:szCs w:val="24"/>
          <w:rtl/>
        </w:rPr>
        <w:t xml:space="preserve"> מהפוליסה קנבוס. פוליסת התרופות הוגדרה במסגרת הרפורמה כאחת מהתכניות הבסיסיות אשר ישווקו למבוטח תחילה וכתוצאה מכך עולה הצורך להבטיח את זמינותה של הפוליסה. לאור ההערכה כי הכללת הקנבוס במסגרת הפוליסה הבסיסית תייקר בצורה משמעותית את הפרמיה, ונוכח העובדה שלא מדובר בעלות תביעה חודשית גבוהה ביחס לתרופות אחרות, הוחלט </w:t>
      </w:r>
      <w:proofErr w:type="spellStart"/>
      <w:r w:rsidRPr="001055C9">
        <w:rPr>
          <w:rFonts w:ascii="David" w:hAnsi="David"/>
          <w:sz w:val="24"/>
          <w:szCs w:val="24"/>
          <w:rtl/>
        </w:rPr>
        <w:t>להחריג</w:t>
      </w:r>
      <w:proofErr w:type="spellEnd"/>
      <w:r w:rsidRPr="001055C9">
        <w:rPr>
          <w:rFonts w:ascii="David" w:hAnsi="David"/>
          <w:sz w:val="24"/>
          <w:szCs w:val="24"/>
          <w:rtl/>
        </w:rPr>
        <w:t xml:space="preserve"> את הקנבוס, למעט תרופות מאושרות המכילות את רכיביו </w:t>
      </w:r>
      <w:proofErr w:type="spellStart"/>
      <w:r w:rsidRPr="001055C9">
        <w:rPr>
          <w:rFonts w:ascii="David" w:hAnsi="David"/>
          <w:sz w:val="24"/>
          <w:szCs w:val="24"/>
          <w:rtl/>
        </w:rPr>
        <w:t>ו</w:t>
      </w:r>
      <w:r>
        <w:rPr>
          <w:rFonts w:ascii="David" w:hAnsi="David" w:hint="cs"/>
          <w:sz w:val="24"/>
          <w:szCs w:val="24"/>
          <w:rtl/>
        </w:rPr>
        <w:t>נג</w:t>
      </w:r>
      <w:r w:rsidRPr="001055C9">
        <w:rPr>
          <w:rFonts w:ascii="David" w:hAnsi="David"/>
          <w:sz w:val="24"/>
          <w:szCs w:val="24"/>
          <w:rtl/>
        </w:rPr>
        <w:t>זרותיו</w:t>
      </w:r>
      <w:proofErr w:type="spellEnd"/>
      <w:r w:rsidRPr="001055C9">
        <w:rPr>
          <w:rFonts w:ascii="David" w:hAnsi="David"/>
          <w:sz w:val="24"/>
          <w:szCs w:val="24"/>
          <w:rtl/>
        </w:rPr>
        <w:t xml:space="preserve">, ולאפשר את הכללת </w:t>
      </w:r>
      <w:r>
        <w:rPr>
          <w:rFonts w:ascii="David" w:hAnsi="David"/>
          <w:sz w:val="24"/>
          <w:szCs w:val="24"/>
          <w:rtl/>
        </w:rPr>
        <w:t>הכיסוי כהרחבה לפוליסה הבסיסית. </w:t>
      </w:r>
      <w:r w:rsidRPr="001055C9">
        <w:rPr>
          <w:rFonts w:ascii="David" w:hAnsi="David"/>
          <w:sz w:val="24"/>
          <w:szCs w:val="24"/>
          <w:rtl/>
        </w:rPr>
        <w:t>יובהר כי אין באמור כדי להביע עמד</w:t>
      </w:r>
      <w:r>
        <w:rPr>
          <w:rFonts w:ascii="David" w:hAnsi="David"/>
          <w:sz w:val="24"/>
          <w:szCs w:val="24"/>
          <w:rtl/>
        </w:rPr>
        <w:t>ה בכל הנוגע להכללת מוצרי קנבוס </w:t>
      </w:r>
      <w:r w:rsidRPr="001055C9">
        <w:rPr>
          <w:rFonts w:ascii="David" w:hAnsi="David"/>
          <w:sz w:val="24"/>
          <w:szCs w:val="24"/>
          <w:rtl/>
        </w:rPr>
        <w:t>במסגרת פוליסות ששווקו עד למועד תחילת ההוראות.</w:t>
      </w:r>
    </w:p>
    <w:p w:rsidR="003A5D87" w:rsidRPr="001055C9" w:rsidRDefault="003A5D87" w:rsidP="003A5D87">
      <w:pPr>
        <w:pStyle w:val="Hesber1st"/>
        <w:spacing w:before="120" w:after="120"/>
        <w:contextualSpacing w:val="0"/>
        <w:rPr>
          <w:rFonts w:ascii="David" w:hAnsi="David"/>
          <w:sz w:val="24"/>
          <w:szCs w:val="24"/>
          <w:rtl/>
        </w:rPr>
      </w:pPr>
      <w:r>
        <w:rPr>
          <w:rFonts w:ascii="David" w:hAnsi="David" w:hint="cs"/>
          <w:sz w:val="24"/>
          <w:szCs w:val="24"/>
          <w:rtl/>
        </w:rPr>
        <w:lastRenderedPageBreak/>
        <w:t>כמו כן,</w:t>
      </w:r>
      <w:r w:rsidRPr="001055C9">
        <w:rPr>
          <w:rFonts w:ascii="David" w:hAnsi="David"/>
          <w:sz w:val="24"/>
          <w:szCs w:val="24"/>
          <w:rtl/>
        </w:rPr>
        <w:t xml:space="preserve"> </w:t>
      </w:r>
      <w:r>
        <w:rPr>
          <w:rFonts w:ascii="David" w:hAnsi="David" w:hint="cs"/>
          <w:sz w:val="24"/>
          <w:szCs w:val="24"/>
          <w:rtl/>
        </w:rPr>
        <w:t xml:space="preserve">באשר לחריג ביחס למקרה ביטוח שאירע עקב פעילות מלחמתית, צומצם תחולת החריג באופן שהפוליסה מחריגה רק מקרים שנגרמו עקב פעילות מלחמתית, איבה או בעלת אופי צבאי. מוצע לתקן ולהבהיר כי החריג יחול רק על מקרים שנגרמו באופן ישיר עקב פעילות מלחמתית, איבה או בעלת אופי צבאי. </w:t>
      </w:r>
      <w:r w:rsidRPr="001055C9">
        <w:rPr>
          <w:rFonts w:ascii="David" w:hAnsi="David" w:hint="cs"/>
          <w:sz w:val="24"/>
          <w:szCs w:val="24"/>
          <w:rtl/>
        </w:rPr>
        <w:t xml:space="preserve">זאת, בהתאם לפסיקה שנקבעה בנושא, ראו לעניין זה: </w:t>
      </w:r>
      <w:r w:rsidRPr="001055C9">
        <w:rPr>
          <w:rFonts w:ascii="David" w:hAnsi="David"/>
          <w:sz w:val="24"/>
          <w:szCs w:val="24"/>
          <w:rtl/>
        </w:rPr>
        <w:t>ת</w:t>
      </w:r>
      <w:r w:rsidRPr="001055C9">
        <w:rPr>
          <w:rFonts w:ascii="David" w:hAnsi="David" w:hint="cs"/>
          <w:sz w:val="24"/>
          <w:szCs w:val="24"/>
          <w:rtl/>
        </w:rPr>
        <w:t>"</w:t>
      </w:r>
      <w:r w:rsidRPr="001055C9">
        <w:rPr>
          <w:rFonts w:ascii="David" w:hAnsi="David"/>
          <w:sz w:val="24"/>
          <w:szCs w:val="24"/>
          <w:rtl/>
        </w:rPr>
        <w:t xml:space="preserve">צ (מרכז) 19607-09-15‏‏ עמית </w:t>
      </w:r>
      <w:proofErr w:type="spellStart"/>
      <w:r w:rsidRPr="001055C9">
        <w:rPr>
          <w:rFonts w:ascii="David" w:hAnsi="David"/>
          <w:sz w:val="24"/>
          <w:szCs w:val="24"/>
          <w:rtl/>
        </w:rPr>
        <w:t>גריידי</w:t>
      </w:r>
      <w:proofErr w:type="spellEnd"/>
      <w:r w:rsidRPr="001055C9">
        <w:rPr>
          <w:rFonts w:ascii="David" w:hAnsi="David"/>
          <w:sz w:val="24"/>
          <w:szCs w:val="24"/>
          <w:rtl/>
        </w:rPr>
        <w:t xml:space="preserve"> נ' דקלה - חברה לביטוח בע"מ</w:t>
      </w:r>
      <w:r w:rsidRPr="001055C9">
        <w:rPr>
          <w:rFonts w:ascii="David" w:hAnsi="David" w:hint="cs"/>
          <w:sz w:val="24"/>
          <w:szCs w:val="24"/>
          <w:rtl/>
        </w:rPr>
        <w:t xml:space="preserve"> (22.8.2017).</w:t>
      </w:r>
    </w:p>
    <w:p w:rsidR="00934D69" w:rsidRDefault="00934D69" w:rsidP="00E456C2">
      <w:pPr>
        <w:pStyle w:val="Hesber1st"/>
        <w:spacing w:before="120" w:after="120"/>
        <w:contextualSpacing w:val="0"/>
        <w:rPr>
          <w:rFonts w:ascii="David" w:hAnsi="David"/>
          <w:b/>
          <w:bCs/>
          <w:color w:val="000000"/>
          <w:sz w:val="24"/>
          <w:szCs w:val="24"/>
          <w:u w:val="single"/>
          <w:rtl/>
        </w:rPr>
      </w:pPr>
    </w:p>
    <w:p w:rsidR="00934D69" w:rsidRPr="00934D69" w:rsidRDefault="00934D69" w:rsidP="00E456C2">
      <w:pPr>
        <w:pStyle w:val="Hesber1st"/>
        <w:spacing w:before="120" w:after="120"/>
        <w:contextualSpacing w:val="0"/>
        <w:rPr>
          <w:rFonts w:ascii="David" w:hAnsi="David"/>
          <w:b/>
          <w:bCs/>
          <w:color w:val="000000"/>
          <w:sz w:val="24"/>
          <w:szCs w:val="24"/>
          <w:u w:val="single"/>
          <w:rtl/>
        </w:rPr>
      </w:pPr>
      <w:r w:rsidRPr="00934D69">
        <w:rPr>
          <w:rFonts w:ascii="David" w:hAnsi="David" w:hint="cs"/>
          <w:b/>
          <w:bCs/>
          <w:color w:val="000000"/>
          <w:sz w:val="24"/>
          <w:szCs w:val="24"/>
          <w:u w:val="single"/>
          <w:rtl/>
        </w:rPr>
        <w:t>ל</w:t>
      </w:r>
      <w:r w:rsidRPr="00934D69">
        <w:rPr>
          <w:rFonts w:ascii="David" w:hAnsi="David"/>
          <w:b/>
          <w:bCs/>
          <w:color w:val="000000"/>
          <w:sz w:val="24"/>
          <w:szCs w:val="24"/>
          <w:u w:val="single"/>
          <w:rtl/>
        </w:rPr>
        <w:t>תוספת</w:t>
      </w:r>
      <w:r w:rsidRPr="00934D69">
        <w:rPr>
          <w:rFonts w:ascii="David" w:hAnsi="David" w:hint="cs"/>
          <w:b/>
          <w:bCs/>
          <w:color w:val="000000"/>
          <w:sz w:val="24"/>
          <w:szCs w:val="24"/>
          <w:u w:val="single"/>
          <w:rtl/>
        </w:rPr>
        <w:t xml:space="preserve"> שלישית- ניתוחים וטיפולים מחליפי ניתוח מחוץ לישראל</w:t>
      </w:r>
    </w:p>
    <w:p w:rsidR="00E456C2" w:rsidRPr="00CC6489" w:rsidRDefault="00E456C2" w:rsidP="00E456C2">
      <w:pPr>
        <w:pStyle w:val="Hesber1st"/>
        <w:spacing w:before="120" w:after="120"/>
        <w:contextualSpacing w:val="0"/>
        <w:rPr>
          <w:rFonts w:ascii="David" w:hAnsi="David"/>
          <w:b/>
          <w:bCs/>
          <w:sz w:val="24"/>
          <w:szCs w:val="24"/>
          <w:rtl/>
        </w:rPr>
      </w:pPr>
      <w:r w:rsidRPr="00CC6489">
        <w:rPr>
          <w:rFonts w:ascii="David" w:hAnsi="David"/>
          <w:b/>
          <w:bCs/>
          <w:sz w:val="24"/>
          <w:szCs w:val="24"/>
          <w:rtl/>
        </w:rPr>
        <w:t xml:space="preserve">בתוספת השלישית - חריגים </w:t>
      </w:r>
    </w:p>
    <w:p w:rsidR="003A5D87" w:rsidRDefault="003A5D87" w:rsidP="003A5D87">
      <w:pPr>
        <w:pStyle w:val="Hesber1st"/>
        <w:spacing w:before="120" w:after="120"/>
        <w:contextualSpacing w:val="0"/>
        <w:rPr>
          <w:rFonts w:ascii="David" w:hAnsi="David"/>
          <w:sz w:val="24"/>
          <w:szCs w:val="24"/>
          <w:rtl/>
        </w:rPr>
      </w:pPr>
      <w:r>
        <w:rPr>
          <w:rFonts w:ascii="David" w:hAnsi="David" w:hint="cs"/>
          <w:sz w:val="24"/>
          <w:szCs w:val="24"/>
          <w:rtl/>
        </w:rPr>
        <w:t>במסגרת ההוראות נקבע</w:t>
      </w:r>
      <w:r w:rsidRPr="00CC6489">
        <w:rPr>
          <w:rFonts w:ascii="David" w:hAnsi="David"/>
          <w:sz w:val="24"/>
          <w:szCs w:val="24"/>
          <w:rtl/>
        </w:rPr>
        <w:t xml:space="preserve"> מה הם המקרים שיוחרגו מכיסוי בפוליסת ניתוחים וטיפולים מחליפי ניתוח </w:t>
      </w:r>
      <w:r>
        <w:rPr>
          <w:rFonts w:ascii="David" w:hAnsi="David"/>
          <w:sz w:val="24"/>
          <w:szCs w:val="24"/>
          <w:rtl/>
        </w:rPr>
        <w:t>מחוץ לישראל</w:t>
      </w:r>
      <w:r w:rsidRPr="00CC6489">
        <w:rPr>
          <w:rFonts w:ascii="David" w:hAnsi="David"/>
          <w:sz w:val="24"/>
          <w:szCs w:val="24"/>
          <w:rtl/>
        </w:rPr>
        <w:t>. רשימת החריגים מהווה למעשה את המכנה המשותף הרחב בין כלל הפוליסות הקיימות כיום בשוק כך שמרבית החריגים הקיימים כיום יהוו חריגים גם בפוליסה האחידה.</w:t>
      </w:r>
    </w:p>
    <w:p w:rsidR="00E456C2" w:rsidRPr="00CC6489" w:rsidRDefault="003A5D87" w:rsidP="003A5D87">
      <w:pPr>
        <w:pStyle w:val="Hesber1st"/>
        <w:spacing w:before="120" w:after="120"/>
        <w:contextualSpacing w:val="0"/>
        <w:rPr>
          <w:rFonts w:ascii="David" w:hAnsi="David"/>
          <w:sz w:val="24"/>
          <w:szCs w:val="24"/>
        </w:rPr>
      </w:pPr>
      <w:r>
        <w:rPr>
          <w:rFonts w:ascii="David" w:hAnsi="David" w:hint="cs"/>
          <w:sz w:val="24"/>
          <w:szCs w:val="24"/>
          <w:rtl/>
        </w:rPr>
        <w:t xml:space="preserve">באשר לחריג ביחס למקרה ביטוח שאירע עקב פעילות מלחמתית, צומצם תחולת החריג באופן שהפוליסה מחריגה רק מקרים שנגרמו עקב פעילות מלחמתית, איבה או בעלת אופי צבאי. מוצע לתקן ולהבהיר כי החריג יחול רק על מקרים שנגרמו באופן ישיר עקב פעילות מלחמתית, איבה או בעלת אופי צבאי. </w:t>
      </w:r>
      <w:r w:rsidRPr="001055C9">
        <w:rPr>
          <w:rFonts w:ascii="David" w:hAnsi="David" w:hint="cs"/>
          <w:sz w:val="24"/>
          <w:szCs w:val="24"/>
          <w:rtl/>
        </w:rPr>
        <w:t xml:space="preserve">זאת, בהתאם לפסיקה שנקבעה בנושא, ראו לעניין זה: </w:t>
      </w:r>
      <w:r w:rsidRPr="001055C9">
        <w:rPr>
          <w:rFonts w:ascii="David" w:hAnsi="David"/>
          <w:sz w:val="24"/>
          <w:szCs w:val="24"/>
          <w:rtl/>
        </w:rPr>
        <w:t>ת</w:t>
      </w:r>
      <w:r w:rsidRPr="001055C9">
        <w:rPr>
          <w:rFonts w:ascii="David" w:hAnsi="David" w:hint="cs"/>
          <w:sz w:val="24"/>
          <w:szCs w:val="24"/>
          <w:rtl/>
        </w:rPr>
        <w:t>"</w:t>
      </w:r>
      <w:r w:rsidRPr="001055C9">
        <w:rPr>
          <w:rFonts w:ascii="David" w:hAnsi="David"/>
          <w:sz w:val="24"/>
          <w:szCs w:val="24"/>
          <w:rtl/>
        </w:rPr>
        <w:t xml:space="preserve">צ (מרכז) 19607-09-15‏ עמית </w:t>
      </w:r>
      <w:proofErr w:type="spellStart"/>
      <w:r w:rsidRPr="001055C9">
        <w:rPr>
          <w:rFonts w:ascii="David" w:hAnsi="David"/>
          <w:sz w:val="24"/>
          <w:szCs w:val="24"/>
          <w:rtl/>
        </w:rPr>
        <w:t>גריידי</w:t>
      </w:r>
      <w:proofErr w:type="spellEnd"/>
      <w:r w:rsidRPr="001055C9">
        <w:rPr>
          <w:rFonts w:ascii="David" w:hAnsi="David"/>
          <w:sz w:val="24"/>
          <w:szCs w:val="24"/>
          <w:rtl/>
        </w:rPr>
        <w:t xml:space="preserve"> נ' דקלה - חברה לביטוח בע"מ</w:t>
      </w:r>
      <w:r w:rsidRPr="001055C9">
        <w:rPr>
          <w:rFonts w:ascii="David" w:hAnsi="David" w:hint="cs"/>
          <w:sz w:val="24"/>
          <w:szCs w:val="24"/>
          <w:rtl/>
        </w:rPr>
        <w:t xml:space="preserve"> (22.8.2017).</w:t>
      </w:r>
    </w:p>
    <w:p w:rsidR="00E456C2" w:rsidRPr="00934D69" w:rsidRDefault="00E456C2" w:rsidP="00934D69">
      <w:pPr>
        <w:pStyle w:val="Hesber1st"/>
        <w:spacing w:before="120" w:after="120"/>
        <w:contextualSpacing w:val="0"/>
        <w:rPr>
          <w:rFonts w:ascii="David" w:hAnsi="David"/>
          <w:b/>
          <w:bCs/>
          <w:color w:val="000000"/>
          <w:sz w:val="24"/>
          <w:szCs w:val="24"/>
          <w:u w:val="single"/>
          <w:rtl/>
        </w:rPr>
      </w:pPr>
      <w:r w:rsidRPr="00934D69">
        <w:rPr>
          <w:rFonts w:ascii="David" w:hAnsi="David" w:hint="cs"/>
          <w:b/>
          <w:bCs/>
          <w:color w:val="000000"/>
          <w:sz w:val="24"/>
          <w:szCs w:val="24"/>
          <w:u w:val="single"/>
          <w:rtl/>
        </w:rPr>
        <w:t>ל</w:t>
      </w:r>
      <w:r w:rsidR="00934D69" w:rsidRPr="00934D69">
        <w:rPr>
          <w:rFonts w:ascii="David" w:hAnsi="David"/>
          <w:b/>
          <w:bCs/>
          <w:color w:val="000000"/>
          <w:sz w:val="24"/>
          <w:szCs w:val="24"/>
          <w:u w:val="single"/>
          <w:rtl/>
        </w:rPr>
        <w:t xml:space="preserve">תוספת </w:t>
      </w:r>
      <w:r w:rsidRPr="00934D69">
        <w:rPr>
          <w:rFonts w:ascii="David" w:hAnsi="David"/>
          <w:b/>
          <w:bCs/>
          <w:color w:val="000000"/>
          <w:sz w:val="24"/>
          <w:szCs w:val="24"/>
          <w:u w:val="single"/>
          <w:rtl/>
        </w:rPr>
        <w:t>רביעית</w:t>
      </w:r>
    </w:p>
    <w:p w:rsidR="00E456C2" w:rsidRDefault="00E456C2" w:rsidP="00FC1FF5">
      <w:pPr>
        <w:spacing w:before="120" w:after="120" w:line="360" w:lineRule="auto"/>
        <w:jc w:val="both"/>
        <w:rPr>
          <w:rtl/>
        </w:rPr>
      </w:pPr>
      <w:r>
        <w:rPr>
          <w:rFonts w:hint="cs"/>
          <w:rtl/>
        </w:rPr>
        <w:t>נוכח הערות שהתקבלו מהשוק בדבר אי-בהירות בנוגע לגילאים בכל קבוצת גיל, מוצע לתקן את קבוצות הגיל, כך שמחד גיסא לא תהיה חפיפה בין קבוצות הגיל ומאידך גיסא תהיה המשכיות מלאה בין הקבוצות.</w:t>
      </w:r>
      <w:r w:rsidR="00C70E1B">
        <w:rPr>
          <w:rFonts w:hint="cs"/>
          <w:rtl/>
        </w:rPr>
        <w:t xml:space="preserve"> זאת במטרה להשאיר את קבוצות הגיל ללא שינוי כמו שנקבעו ב</w:t>
      </w:r>
      <w:r w:rsidR="00527C5E">
        <w:rPr>
          <w:rFonts w:hint="cs"/>
          <w:rtl/>
        </w:rPr>
        <w:t>תקנות</w:t>
      </w:r>
      <w:r w:rsidR="00C70E1B">
        <w:rPr>
          <w:rFonts w:hint="cs"/>
          <w:rtl/>
        </w:rPr>
        <w:t xml:space="preserve"> הפיקוח על שירותים פיננסיים (ביטוח) (תנאים בחוזה ביטוח לניתוחים וטיפולים מחליפי ניתוח בישראל), </w:t>
      </w:r>
      <w:r w:rsidR="00527C5E">
        <w:rPr>
          <w:rFonts w:hint="cs"/>
          <w:rtl/>
        </w:rPr>
        <w:t>תשע"ה-2015</w:t>
      </w:r>
      <w:r w:rsidR="00FC1FF5">
        <w:rPr>
          <w:rFonts w:hint="cs"/>
          <w:rtl/>
        </w:rPr>
        <w:t>, טרם התיקון האחרון</w:t>
      </w:r>
      <w:r w:rsidR="00527C5E">
        <w:rPr>
          <w:rFonts w:hint="cs"/>
          <w:rtl/>
        </w:rPr>
        <w:t>.</w:t>
      </w:r>
    </w:p>
    <w:p w:rsidR="00E456C2" w:rsidRDefault="00E456C2" w:rsidP="00934D69">
      <w:pPr>
        <w:spacing w:before="120" w:after="120" w:line="360" w:lineRule="auto"/>
        <w:jc w:val="both"/>
        <w:rPr>
          <w:rtl/>
        </w:rPr>
      </w:pPr>
      <w:r>
        <w:rPr>
          <w:rFonts w:hint="cs"/>
          <w:rtl/>
        </w:rPr>
        <w:t>בהתאם למוצע בקבוצת הגיל הראשונה יבוטחו מבוטחים עד גיל 20 (כולל), קרי עד גיל 20 ו-364 ימים.</w:t>
      </w:r>
    </w:p>
    <w:p w:rsidR="001E01C7" w:rsidRDefault="00E456C2" w:rsidP="001E01C7">
      <w:pPr>
        <w:spacing w:before="120" w:after="120" w:line="360" w:lineRule="auto"/>
        <w:jc w:val="both"/>
        <w:rPr>
          <w:rtl/>
        </w:rPr>
      </w:pPr>
      <w:r w:rsidRPr="00527C5E">
        <w:rPr>
          <w:rFonts w:hint="cs"/>
          <w:rtl/>
        </w:rPr>
        <w:t xml:space="preserve">בקבוצת הגיל </w:t>
      </w:r>
      <w:r w:rsidR="001E01C7" w:rsidRPr="00527C5E">
        <w:rPr>
          <w:rFonts w:hint="cs"/>
          <w:rtl/>
        </w:rPr>
        <w:t>השניי</w:t>
      </w:r>
      <w:r w:rsidR="001E01C7" w:rsidRPr="00527C5E">
        <w:rPr>
          <w:rFonts w:hint="eastAsia"/>
          <w:rtl/>
        </w:rPr>
        <w:t>ה</w:t>
      </w:r>
      <w:r w:rsidRPr="00527C5E">
        <w:rPr>
          <w:rFonts w:hint="cs"/>
          <w:rtl/>
        </w:rPr>
        <w:t xml:space="preserve"> </w:t>
      </w:r>
      <w:r w:rsidR="001E01C7" w:rsidRPr="00527C5E">
        <w:rPr>
          <w:rFonts w:hint="cs"/>
          <w:rtl/>
        </w:rPr>
        <w:t xml:space="preserve">יבוטחו </w:t>
      </w:r>
      <w:r w:rsidR="001E01C7">
        <w:rPr>
          <w:rFonts w:hint="cs"/>
          <w:rtl/>
        </w:rPr>
        <w:t>מבוטחים מגיל 21 עד גיל 30 (כולל), קרי עד גיל 30 ו-364 ימים.</w:t>
      </w:r>
    </w:p>
    <w:p w:rsidR="00527C5E" w:rsidRDefault="00527C5E" w:rsidP="001E01C7">
      <w:pPr>
        <w:spacing w:before="120" w:after="120" w:line="360" w:lineRule="auto"/>
        <w:jc w:val="both"/>
        <w:rPr>
          <w:rtl/>
        </w:rPr>
      </w:pPr>
      <w:r w:rsidRPr="00527C5E">
        <w:rPr>
          <w:rFonts w:hint="cs"/>
          <w:rtl/>
        </w:rPr>
        <w:t>בקבוצת הגיל ה</w:t>
      </w:r>
      <w:r>
        <w:rPr>
          <w:rFonts w:hint="cs"/>
          <w:rtl/>
        </w:rPr>
        <w:t>שלישית</w:t>
      </w:r>
      <w:r w:rsidRPr="00527C5E">
        <w:rPr>
          <w:rFonts w:hint="cs"/>
          <w:rtl/>
        </w:rPr>
        <w:t xml:space="preserve"> יבוטחו </w:t>
      </w:r>
      <w:r>
        <w:rPr>
          <w:rFonts w:hint="cs"/>
          <w:rtl/>
        </w:rPr>
        <w:t xml:space="preserve">מבוטחים מגיל </w:t>
      </w:r>
      <w:r w:rsidR="001E01C7">
        <w:rPr>
          <w:rFonts w:hint="cs"/>
          <w:rtl/>
        </w:rPr>
        <w:t>3</w:t>
      </w:r>
      <w:r>
        <w:rPr>
          <w:rFonts w:hint="cs"/>
          <w:rtl/>
        </w:rPr>
        <w:t xml:space="preserve">1 עד גיל </w:t>
      </w:r>
      <w:r w:rsidR="001E01C7">
        <w:rPr>
          <w:rFonts w:hint="cs"/>
          <w:rtl/>
        </w:rPr>
        <w:t>40</w:t>
      </w:r>
      <w:r>
        <w:rPr>
          <w:rFonts w:hint="cs"/>
          <w:rtl/>
        </w:rPr>
        <w:t xml:space="preserve"> (כולל), קרי עד גיל </w:t>
      </w:r>
      <w:r w:rsidR="001E01C7">
        <w:rPr>
          <w:rFonts w:hint="cs"/>
          <w:rtl/>
        </w:rPr>
        <w:t>4</w:t>
      </w:r>
      <w:r>
        <w:rPr>
          <w:rFonts w:hint="cs"/>
          <w:rtl/>
        </w:rPr>
        <w:t>0 ו-364 ימים.</w:t>
      </w:r>
    </w:p>
    <w:p w:rsidR="001E01C7" w:rsidRDefault="00527C5E" w:rsidP="001E01C7">
      <w:pPr>
        <w:spacing w:before="120" w:after="120" w:line="360" w:lineRule="auto"/>
        <w:jc w:val="both"/>
        <w:rPr>
          <w:rtl/>
        </w:rPr>
      </w:pPr>
      <w:r w:rsidRPr="00527C5E">
        <w:rPr>
          <w:rFonts w:hint="cs"/>
          <w:rtl/>
        </w:rPr>
        <w:t>בקבוצת הגיל ה</w:t>
      </w:r>
      <w:r w:rsidR="001E01C7">
        <w:rPr>
          <w:rFonts w:hint="cs"/>
          <w:rtl/>
        </w:rPr>
        <w:t>רביעית</w:t>
      </w:r>
      <w:r w:rsidRPr="00527C5E">
        <w:rPr>
          <w:rFonts w:hint="cs"/>
          <w:rtl/>
        </w:rPr>
        <w:t xml:space="preserve"> </w:t>
      </w:r>
      <w:r w:rsidR="001E01C7" w:rsidRPr="00527C5E">
        <w:rPr>
          <w:rFonts w:hint="cs"/>
          <w:rtl/>
        </w:rPr>
        <w:t xml:space="preserve">יבוטחו </w:t>
      </w:r>
      <w:r w:rsidR="001E01C7">
        <w:rPr>
          <w:rFonts w:hint="cs"/>
          <w:rtl/>
        </w:rPr>
        <w:t>מבוטחים מגיל 41 עד גיל 50 (כולל), קרי עד גיל 50 ו-364 ימים.</w:t>
      </w:r>
    </w:p>
    <w:p w:rsidR="001E01C7" w:rsidRDefault="001E01C7" w:rsidP="001E01C7">
      <w:pPr>
        <w:spacing w:before="120" w:after="120" w:line="360" w:lineRule="auto"/>
        <w:jc w:val="both"/>
        <w:rPr>
          <w:rtl/>
        </w:rPr>
      </w:pPr>
      <w:r>
        <w:rPr>
          <w:rFonts w:hint="cs"/>
          <w:rtl/>
        </w:rPr>
        <w:t>בקבוצת הגיל החמישית</w:t>
      </w:r>
      <w:r w:rsidR="00527C5E" w:rsidRPr="00527C5E">
        <w:rPr>
          <w:rFonts w:hint="cs"/>
          <w:rtl/>
        </w:rPr>
        <w:t xml:space="preserve"> </w:t>
      </w:r>
      <w:r w:rsidRPr="00527C5E">
        <w:rPr>
          <w:rFonts w:hint="cs"/>
          <w:rtl/>
        </w:rPr>
        <w:t xml:space="preserve">יבוטחו </w:t>
      </w:r>
      <w:r>
        <w:rPr>
          <w:rFonts w:hint="cs"/>
          <w:rtl/>
        </w:rPr>
        <w:t>מבוטחים מגיל 51 עד גיל 55 (כולל), קרי עד גיל 55 ו-364 ימים.</w:t>
      </w:r>
    </w:p>
    <w:p w:rsidR="001E01C7" w:rsidRDefault="001E01C7" w:rsidP="001E01C7">
      <w:pPr>
        <w:spacing w:before="120" w:after="120" w:line="360" w:lineRule="auto"/>
        <w:jc w:val="both"/>
        <w:rPr>
          <w:rtl/>
        </w:rPr>
      </w:pPr>
      <w:r>
        <w:rPr>
          <w:rFonts w:hint="cs"/>
          <w:rtl/>
        </w:rPr>
        <w:t>בקבוצת הגיל השישית</w:t>
      </w:r>
      <w:r w:rsidR="00527C5E" w:rsidRPr="00527C5E">
        <w:rPr>
          <w:rFonts w:hint="cs"/>
          <w:rtl/>
        </w:rPr>
        <w:t xml:space="preserve"> </w:t>
      </w:r>
      <w:r w:rsidRPr="00527C5E">
        <w:rPr>
          <w:rFonts w:hint="cs"/>
          <w:rtl/>
        </w:rPr>
        <w:t xml:space="preserve">יבוטחו </w:t>
      </w:r>
      <w:r>
        <w:rPr>
          <w:rFonts w:hint="cs"/>
          <w:rtl/>
        </w:rPr>
        <w:t>מבוטחים מגיל 56 עד גיל 60 (כולל), קרי עד גיל 60 ו-364 ימים.</w:t>
      </w:r>
    </w:p>
    <w:p w:rsidR="001E01C7" w:rsidRDefault="001E01C7" w:rsidP="001E01C7">
      <w:pPr>
        <w:spacing w:before="120" w:after="120" w:line="360" w:lineRule="auto"/>
        <w:jc w:val="both"/>
        <w:rPr>
          <w:rtl/>
        </w:rPr>
      </w:pPr>
      <w:r>
        <w:rPr>
          <w:rFonts w:hint="cs"/>
          <w:rtl/>
        </w:rPr>
        <w:t>בקבוצת הגיל השביעית</w:t>
      </w:r>
      <w:r w:rsidR="00527C5E" w:rsidRPr="00527C5E">
        <w:rPr>
          <w:rFonts w:hint="cs"/>
          <w:rtl/>
        </w:rPr>
        <w:t xml:space="preserve"> </w:t>
      </w:r>
      <w:r w:rsidRPr="00527C5E">
        <w:rPr>
          <w:rFonts w:hint="cs"/>
          <w:rtl/>
        </w:rPr>
        <w:t xml:space="preserve">יבוטחו </w:t>
      </w:r>
      <w:r>
        <w:rPr>
          <w:rFonts w:hint="cs"/>
          <w:rtl/>
        </w:rPr>
        <w:t>מבוטחים מגיל 61 עד גיל 65 (כולל), קרי עד גיל 65 ו-364 ימים.</w:t>
      </w:r>
    </w:p>
    <w:p w:rsidR="001E01C7" w:rsidRDefault="001E01C7" w:rsidP="001E01C7">
      <w:pPr>
        <w:spacing w:before="120" w:after="120" w:line="360" w:lineRule="auto"/>
        <w:jc w:val="both"/>
        <w:rPr>
          <w:rtl/>
        </w:rPr>
      </w:pPr>
      <w:r>
        <w:rPr>
          <w:rFonts w:hint="cs"/>
          <w:rtl/>
        </w:rPr>
        <w:t>בקבוצת הגיל השמינית</w:t>
      </w:r>
      <w:r w:rsidR="00527C5E" w:rsidRPr="00527C5E">
        <w:rPr>
          <w:rFonts w:hint="cs"/>
          <w:rtl/>
        </w:rPr>
        <w:t xml:space="preserve"> </w:t>
      </w:r>
      <w:r w:rsidRPr="00527C5E">
        <w:rPr>
          <w:rFonts w:hint="cs"/>
          <w:rtl/>
        </w:rPr>
        <w:t xml:space="preserve">יבוטחו </w:t>
      </w:r>
      <w:r>
        <w:rPr>
          <w:rFonts w:hint="cs"/>
          <w:rtl/>
        </w:rPr>
        <w:t>מבוטחים מגיל 66 ומעלה.</w:t>
      </w:r>
    </w:p>
    <w:p w:rsidR="00E456C2" w:rsidRDefault="00E456C2" w:rsidP="001E01C7">
      <w:pPr>
        <w:spacing w:before="120" w:after="120" w:line="360" w:lineRule="auto"/>
        <w:jc w:val="both"/>
      </w:pPr>
    </w:p>
    <w:p w:rsidR="009435A5" w:rsidRPr="00E456C2" w:rsidRDefault="009435A5" w:rsidP="009435A5">
      <w:pPr>
        <w:spacing w:line="25" w:lineRule="atLeast"/>
        <w:jc w:val="both"/>
        <w:rPr>
          <w:rtl/>
        </w:rPr>
      </w:pPr>
    </w:p>
    <w:sectPr w:rsidR="009435A5" w:rsidRPr="00E456C2" w:rsidSect="002973B2">
      <w:headerReference w:type="default" r:id="rId8"/>
      <w:footerReference w:type="even" r:id="rId9"/>
      <w:footerReference w:type="default" r:id="rId10"/>
      <w:headerReference w:type="first" r:id="rId11"/>
      <w:footerReference w:type="first" r:id="rId12"/>
      <w:endnotePr>
        <w:numFmt w:val="lowerLetter"/>
      </w:endnotePr>
      <w:pgSz w:w="11906" w:h="16838"/>
      <w:pgMar w:top="1418" w:right="1134" w:bottom="1418" w:left="1134" w:header="284" w:footer="0" w:gutter="0"/>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AC2" w:rsidRDefault="00383AC2">
      <w:r>
        <w:separator/>
      </w:r>
    </w:p>
  </w:endnote>
  <w:endnote w:type="continuationSeparator" w:id="0">
    <w:p w:rsidR="00383AC2" w:rsidRDefault="0038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FB" w:rsidRDefault="009435A5">
    <w:pPr>
      <w:pStyle w:val="aa"/>
      <w:framePr w:wrap="around" w:vAnchor="text" w:hAnchor="margin" w:xAlign="center" w:y="1"/>
      <w:rPr>
        <w:rStyle w:val="ac"/>
        <w:rtl/>
      </w:rPr>
    </w:pPr>
    <w:r>
      <w:rPr>
        <w:rStyle w:val="ac"/>
        <w:rtl/>
      </w:rPr>
      <w:fldChar w:fldCharType="begin"/>
    </w:r>
    <w:r>
      <w:rPr>
        <w:rStyle w:val="ac"/>
      </w:rPr>
      <w:instrText xml:space="preserve">PAGE  </w:instrText>
    </w:r>
    <w:r>
      <w:rPr>
        <w:rStyle w:val="ac"/>
        <w:rtl/>
      </w:rPr>
      <w:fldChar w:fldCharType="end"/>
    </w:r>
  </w:p>
  <w:p w:rsidR="00BE67FB" w:rsidRDefault="00383AC2">
    <w:pPr>
      <w:pStyle w:val="aa"/>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3B2" w:rsidRPr="00060494" w:rsidRDefault="002973B2" w:rsidP="002973B2">
    <w:pPr>
      <w:pStyle w:val="aa"/>
      <w:pBdr>
        <w:top w:val="single" w:sz="4" w:space="1" w:color="auto"/>
      </w:pBdr>
      <w:tabs>
        <w:tab w:val="clear" w:pos="4153"/>
        <w:tab w:val="clear" w:pos="8306"/>
        <w:tab w:val="center" w:pos="4780"/>
        <w:tab w:val="right" w:pos="9666"/>
      </w:tabs>
      <w:spacing w:line="480" w:lineRule="auto"/>
      <w:jc w:val="both"/>
      <w:rPr>
        <w:rFonts w:cs="Times New Roman"/>
        <w:b/>
        <w:bCs/>
        <w:sz w:val="24"/>
        <w:u w:val="single"/>
        <w:rtl/>
      </w:rPr>
    </w:pPr>
    <w:r w:rsidRPr="00060494">
      <w:rPr>
        <w:rFonts w:hint="cs"/>
        <w:b/>
        <w:bCs/>
        <w:rtl/>
      </w:rPr>
      <w:t xml:space="preserve">רח' עם ועולמו 4 ירושלים </w:t>
    </w:r>
    <w:r w:rsidRPr="00060494">
      <w:rPr>
        <w:b/>
        <w:bCs/>
        <w:rtl/>
      </w:rPr>
      <w:t>9546304</w:t>
    </w:r>
    <w:r w:rsidRPr="00060494">
      <w:rPr>
        <w:rFonts w:hint="cs"/>
        <w:b/>
        <w:bCs/>
        <w:rtl/>
      </w:rPr>
      <w:t xml:space="preserve"> טל': 02-5317248 פקס': 02-5695342 </w:t>
    </w:r>
    <w:r w:rsidRPr="00060494">
      <w:rPr>
        <w:b/>
        <w:bCs/>
        <w:rtl/>
      </w:rPr>
      <w:br/>
    </w:r>
    <w:r>
      <w:rPr>
        <w:b/>
        <w:bCs/>
      </w:rPr>
      <w:tab/>
    </w:r>
    <w:hyperlink r:id="rId1" w:history="1">
      <w:r w:rsidRPr="00435323">
        <w:rPr>
          <w:rStyle w:val="Hyperlink"/>
          <w:b/>
          <w:bCs/>
        </w:rPr>
        <w:t>www.mof.gov.il/hon</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3B2" w:rsidRPr="00060494" w:rsidRDefault="002973B2" w:rsidP="002973B2">
    <w:pPr>
      <w:pStyle w:val="aa"/>
      <w:pBdr>
        <w:top w:val="single" w:sz="4" w:space="1" w:color="auto"/>
      </w:pBdr>
      <w:tabs>
        <w:tab w:val="clear" w:pos="4153"/>
        <w:tab w:val="clear" w:pos="8306"/>
        <w:tab w:val="center" w:pos="4780"/>
        <w:tab w:val="right" w:pos="9666"/>
      </w:tabs>
      <w:spacing w:line="480" w:lineRule="auto"/>
      <w:jc w:val="both"/>
      <w:rPr>
        <w:rFonts w:cs="Times New Roman"/>
        <w:b/>
        <w:bCs/>
        <w:sz w:val="24"/>
        <w:u w:val="single"/>
      </w:rPr>
    </w:pPr>
    <w:r w:rsidRPr="00060494">
      <w:rPr>
        <w:rFonts w:hint="cs"/>
        <w:b/>
        <w:bCs/>
        <w:rtl/>
      </w:rPr>
      <w:t xml:space="preserve">רח' עם ועולמו 4 ירושלים </w:t>
    </w:r>
    <w:r w:rsidRPr="00060494">
      <w:rPr>
        <w:b/>
        <w:bCs/>
        <w:rtl/>
      </w:rPr>
      <w:t>9546304</w:t>
    </w:r>
    <w:r w:rsidRPr="00060494">
      <w:rPr>
        <w:rFonts w:hint="cs"/>
        <w:b/>
        <w:bCs/>
        <w:rtl/>
      </w:rPr>
      <w:t xml:space="preserve"> טל': 02-5317248 פקס': 02-5695342 </w:t>
    </w:r>
    <w:r w:rsidRPr="00060494">
      <w:rPr>
        <w:b/>
        <w:bCs/>
        <w:rtl/>
      </w:rPr>
      <w:br/>
    </w:r>
    <w:r>
      <w:rPr>
        <w:b/>
        <w:bCs/>
      </w:rPr>
      <w:tab/>
    </w:r>
    <w:hyperlink r:id="rId1" w:history="1">
      <w:r w:rsidRPr="00435323">
        <w:rPr>
          <w:rStyle w:val="Hyperlink"/>
          <w:b/>
          <w:bCs/>
        </w:rPr>
        <w:t>www.mof.gov.il/hon</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AC2" w:rsidRDefault="00383AC2">
      <w:r>
        <w:separator/>
      </w:r>
    </w:p>
  </w:footnote>
  <w:footnote w:type="continuationSeparator" w:id="0">
    <w:p w:rsidR="00383AC2" w:rsidRDefault="00383AC2">
      <w:r>
        <w:continuationSeparator/>
      </w:r>
    </w:p>
  </w:footnote>
  <w:footnote w:id="1">
    <w:p w:rsidR="00E456C2" w:rsidRDefault="00E456C2" w:rsidP="00E456C2">
      <w:pPr>
        <w:pStyle w:val="af"/>
        <w:rPr>
          <w:rtl/>
        </w:rPr>
      </w:pPr>
      <w:r>
        <w:rPr>
          <w:rStyle w:val="af1"/>
        </w:rPr>
        <w:footnoteRef/>
      </w:r>
      <w:r>
        <w:rPr>
          <w:rtl/>
        </w:rPr>
        <w:t xml:space="preserve"> </w:t>
      </w:r>
      <w:r>
        <w:rPr>
          <w:rFonts w:hint="cs"/>
          <w:rtl/>
        </w:rPr>
        <w:t xml:space="preserve">ס"ח </w:t>
      </w:r>
      <w:proofErr w:type="spellStart"/>
      <w:r>
        <w:rPr>
          <w:rFonts w:hint="cs"/>
          <w:rtl/>
        </w:rPr>
        <w:t>התשמ"א</w:t>
      </w:r>
      <w:proofErr w:type="spellEnd"/>
      <w:r>
        <w:rPr>
          <w:rFonts w:hint="cs"/>
          <w:rtl/>
        </w:rPr>
        <w:t xml:space="preserve">, עמ' 208; </w:t>
      </w:r>
      <w:proofErr w:type="spellStart"/>
      <w:r>
        <w:rPr>
          <w:rFonts w:hint="cs"/>
          <w:rtl/>
        </w:rPr>
        <w:t>התשע"ו</w:t>
      </w:r>
      <w:proofErr w:type="spellEnd"/>
      <w:r>
        <w:rPr>
          <w:rFonts w:hint="cs"/>
          <w:rtl/>
        </w:rPr>
        <w:t>, עמ' 1254.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869651144"/>
      <w:docPartObj>
        <w:docPartGallery w:val="Page Numbers (Top of Page)"/>
        <w:docPartUnique/>
      </w:docPartObj>
    </w:sdtPr>
    <w:sdtEndPr>
      <w:rPr>
        <w:cs/>
      </w:rPr>
    </w:sdtEndPr>
    <w:sdtContent>
      <w:p w:rsidR="0007311F" w:rsidRDefault="009435A5">
        <w:pPr>
          <w:pStyle w:val="a8"/>
          <w:jc w:val="center"/>
          <w:rPr>
            <w:rtl/>
            <w:cs/>
          </w:rPr>
        </w:pPr>
        <w:r>
          <w:fldChar w:fldCharType="begin"/>
        </w:r>
        <w:r>
          <w:rPr>
            <w:rtl/>
            <w:cs/>
          </w:rPr>
          <w:instrText>PAGE   \* MERGEFORMAT</w:instrText>
        </w:r>
        <w:r>
          <w:fldChar w:fldCharType="separate"/>
        </w:r>
        <w:r w:rsidR="003002E2" w:rsidRPr="003002E2">
          <w:rPr>
            <w:noProof/>
            <w:rtl/>
            <w:lang w:val="he-IL"/>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3B2" w:rsidRDefault="002973B2" w:rsidP="002973B2">
    <w:pPr>
      <w:pStyle w:val="a8"/>
      <w:jc w:val="center"/>
      <w:rPr>
        <w:b/>
        <w:bCs/>
        <w:szCs w:val="36"/>
        <w:rtl/>
      </w:rPr>
    </w:pPr>
    <w:r>
      <w:rPr>
        <w:rFonts w:hint="cs"/>
        <w:b/>
        <w:bCs/>
        <w:noProof/>
        <w:szCs w:val="36"/>
        <w:lang w:eastAsia="en-US"/>
      </w:rPr>
      <w:drawing>
        <wp:inline distT="0" distB="0" distL="0" distR="0" wp14:anchorId="53FCFEC8" wp14:editId="2BC72922">
          <wp:extent cx="563056" cy="446228"/>
          <wp:effectExtent l="0" t="0" r="0" b="0"/>
          <wp:docPr id="9" name="תמונה 9" descr="C:\Users\Shabed\Desktop\לוגו-ללא-טקסט.png" title="סמל רשות שוק הה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bed\Desktop\לוגו-ללא-טקסט.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2954" t="23133" r="15750" b="20365"/>
                  <a:stretch/>
                </pic:blipFill>
                <pic:spPr bwMode="auto">
                  <a:xfrm>
                    <a:off x="0" y="0"/>
                    <a:ext cx="564078" cy="447038"/>
                  </a:xfrm>
                  <a:prstGeom prst="rect">
                    <a:avLst/>
                  </a:prstGeom>
                  <a:noFill/>
                  <a:ln>
                    <a:noFill/>
                  </a:ln>
                  <a:extLst>
                    <a:ext uri="{53640926-AAD7-44D8-BBD7-CCE9431645EC}">
                      <a14:shadowObscured xmlns:a14="http://schemas.microsoft.com/office/drawing/2010/main"/>
                    </a:ext>
                  </a:extLst>
                </pic:spPr>
              </pic:pic>
            </a:graphicData>
          </a:graphic>
        </wp:inline>
      </w:drawing>
    </w:r>
  </w:p>
  <w:p w:rsidR="00276B14" w:rsidRDefault="00276B14" w:rsidP="002973B2">
    <w:pPr>
      <w:pStyle w:val="a8"/>
      <w:pBdr>
        <w:bottom w:val="single" w:sz="12" w:space="1" w:color="auto"/>
      </w:pBdr>
      <w:jc w:val="center"/>
      <w:rPr>
        <w:b/>
        <w:bCs/>
        <w:szCs w:val="32"/>
        <w:rtl/>
      </w:rPr>
    </w:pPr>
    <w:r>
      <w:rPr>
        <w:rFonts w:hint="cs"/>
        <w:b/>
        <w:bCs/>
        <w:szCs w:val="32"/>
        <w:rtl/>
      </w:rPr>
      <w:t>מדינת ישראל</w:t>
    </w:r>
  </w:p>
  <w:p w:rsidR="002973B2" w:rsidRDefault="002973B2" w:rsidP="002973B2">
    <w:pPr>
      <w:pStyle w:val="a8"/>
      <w:pBdr>
        <w:bottom w:val="single" w:sz="12" w:space="1" w:color="auto"/>
      </w:pBdr>
      <w:jc w:val="center"/>
      <w:rPr>
        <w:b/>
        <w:bCs/>
        <w:szCs w:val="32"/>
        <w:rtl/>
      </w:rPr>
    </w:pPr>
    <w:r>
      <w:rPr>
        <w:rFonts w:hint="cs"/>
        <w:b/>
        <w:bCs/>
        <w:szCs w:val="32"/>
        <w:rtl/>
      </w:rPr>
      <w:t>רשות</w:t>
    </w:r>
    <w:r>
      <w:rPr>
        <w:b/>
        <w:bCs/>
        <w:szCs w:val="32"/>
        <w:rtl/>
      </w:rPr>
      <w:t xml:space="preserve"> שוק ההון, ביטוח וחיסכון</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82797"/>
    <w:multiLevelType w:val="multilevel"/>
    <w:tmpl w:val="CB2CFB36"/>
    <w:numStyleLink w:val="-"/>
  </w:abstractNum>
  <w:abstractNum w:abstractNumId="1" w15:restartNumberingAfterBreak="0">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2" w15:restartNumberingAfterBreak="0">
    <w:nsid w:val="16240D29"/>
    <w:multiLevelType w:val="hybridMultilevel"/>
    <w:tmpl w:val="39723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90D37"/>
    <w:multiLevelType w:val="multilevel"/>
    <w:tmpl w:val="2C7611E6"/>
    <w:numStyleLink w:val="-0"/>
  </w:abstractNum>
  <w:abstractNum w:abstractNumId="4" w15:restartNumberingAfterBreak="0">
    <w:nsid w:val="477D4CEE"/>
    <w:multiLevelType w:val="multilevel"/>
    <w:tmpl w:val="2C7611E6"/>
    <w:numStyleLink w:val="-0"/>
  </w:abstractNum>
  <w:abstractNum w:abstractNumId="5" w15:restartNumberingAfterBreak="0">
    <w:nsid w:val="4B640BB3"/>
    <w:multiLevelType w:val="hybridMultilevel"/>
    <w:tmpl w:val="FAA4F582"/>
    <w:lvl w:ilvl="0" w:tplc="5B400AF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C63965"/>
    <w:multiLevelType w:val="multilevel"/>
    <w:tmpl w:val="CB2CFB36"/>
    <w:numStyleLink w:val="-"/>
  </w:abstractNum>
  <w:abstractNum w:abstractNumId="7" w15:restartNumberingAfterBreak="0">
    <w:nsid w:val="5C2D00DD"/>
    <w:multiLevelType w:val="multilevel"/>
    <w:tmpl w:val="CB2CFB36"/>
    <w:styleLink w:val="-"/>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8" w15:restartNumberingAfterBreak="0">
    <w:nsid w:val="664B1999"/>
    <w:multiLevelType w:val="hybridMultilevel"/>
    <w:tmpl w:val="6C72D4FE"/>
    <w:lvl w:ilvl="0" w:tplc="2FD08AA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3C544D"/>
    <w:multiLevelType w:val="hybridMultilevel"/>
    <w:tmpl w:val="C7443990"/>
    <w:lvl w:ilvl="0" w:tplc="ACCCB2FC">
      <w:start w:val="1"/>
      <w:numFmt w:val="decimal"/>
      <w:lvlText w:val="%1."/>
      <w:lvlJc w:val="left"/>
      <w:pPr>
        <w:tabs>
          <w:tab w:val="num" w:pos="0"/>
        </w:tabs>
        <w:ind w:left="0" w:firstLine="0"/>
      </w:pPr>
      <w:rPr>
        <w:rFonts w:hint="default"/>
      </w:rPr>
    </w:lvl>
    <w:lvl w:ilvl="1" w:tplc="0444DEC6">
      <w:start w:val="1"/>
      <w:numFmt w:val="decimal"/>
      <w:lvlText w:val="(%2)"/>
      <w:lvlJc w:val="left"/>
      <w:pPr>
        <w:tabs>
          <w:tab w:val="num" w:pos="624"/>
        </w:tabs>
        <w:ind w:left="0" w:firstLine="0"/>
      </w:pPr>
      <w:rPr>
        <w:rFonts w:hint="default"/>
      </w:rPr>
    </w:lvl>
    <w:lvl w:ilvl="2" w:tplc="E9065124">
      <w:start w:val="1"/>
      <w:numFmt w:val="hebrew1"/>
      <w:lvlText w:val="(%3)"/>
      <w:lvlJc w:val="left"/>
      <w:pPr>
        <w:tabs>
          <w:tab w:val="num" w:pos="624"/>
        </w:tabs>
        <w:ind w:left="0" w:firstLine="0"/>
      </w:pPr>
      <w:rPr>
        <w:rFonts w:hint="default"/>
      </w:rPr>
    </w:lvl>
    <w:lvl w:ilvl="3" w:tplc="5D54CCD6">
      <w:start w:val="1"/>
      <w:numFmt w:val="hebrew1"/>
      <w:lvlRestart w:val="0"/>
      <w:lvlText w:val="(%4)"/>
      <w:lvlJc w:val="left"/>
      <w:pPr>
        <w:tabs>
          <w:tab w:val="num" w:pos="624"/>
        </w:tabs>
        <w:ind w:left="0" w:firstLine="0"/>
      </w:pPr>
      <w:rPr>
        <w:rFonts w:hint="default"/>
      </w:rPr>
    </w:lvl>
    <w:lvl w:ilvl="4" w:tplc="E9E83026">
      <w:start w:val="1"/>
      <w:numFmt w:val="decimal"/>
      <w:lvlRestart w:val="0"/>
      <w:lvlText w:val="(%5)"/>
      <w:lvlJc w:val="left"/>
      <w:pPr>
        <w:tabs>
          <w:tab w:val="num" w:pos="3864"/>
        </w:tabs>
        <w:ind w:left="3240" w:firstLine="0"/>
      </w:pPr>
      <w:rPr>
        <w:rFonts w:hint="default"/>
      </w:rPr>
    </w:lvl>
    <w:lvl w:ilvl="5" w:tplc="A6A825FA" w:tentative="1">
      <w:start w:val="1"/>
      <w:numFmt w:val="lowerRoman"/>
      <w:lvlText w:val="%6."/>
      <w:lvlJc w:val="right"/>
      <w:pPr>
        <w:tabs>
          <w:tab w:val="num" w:pos="4320"/>
        </w:tabs>
        <w:ind w:left="4320" w:hanging="180"/>
      </w:pPr>
    </w:lvl>
    <w:lvl w:ilvl="6" w:tplc="40905506" w:tentative="1">
      <w:start w:val="1"/>
      <w:numFmt w:val="decimal"/>
      <w:lvlText w:val="%7."/>
      <w:lvlJc w:val="left"/>
      <w:pPr>
        <w:tabs>
          <w:tab w:val="num" w:pos="5040"/>
        </w:tabs>
        <w:ind w:left="5040" w:hanging="360"/>
      </w:pPr>
    </w:lvl>
    <w:lvl w:ilvl="7" w:tplc="534AD78A" w:tentative="1">
      <w:start w:val="1"/>
      <w:numFmt w:val="lowerLetter"/>
      <w:lvlText w:val="%8."/>
      <w:lvlJc w:val="left"/>
      <w:pPr>
        <w:tabs>
          <w:tab w:val="num" w:pos="5760"/>
        </w:tabs>
        <w:ind w:left="5760" w:hanging="360"/>
      </w:pPr>
    </w:lvl>
    <w:lvl w:ilvl="8" w:tplc="4394D51A"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1"/>
  </w:num>
  <w:num w:numId="4">
    <w:abstractNumId w:val="2"/>
  </w:num>
  <w:num w:numId="5">
    <w:abstractNumId w:val="0"/>
  </w:num>
  <w:num w:numId="6">
    <w:abstractNumId w:val="4"/>
  </w:num>
  <w:num w:numId="7">
    <w:abstractNumId w:val="6"/>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5A5"/>
    <w:rsid w:val="00014182"/>
    <w:rsid w:val="00047C97"/>
    <w:rsid w:val="000520B7"/>
    <w:rsid w:val="000568CE"/>
    <w:rsid w:val="00066383"/>
    <w:rsid w:val="00093B9D"/>
    <w:rsid w:val="000C04AE"/>
    <w:rsid w:val="000E6098"/>
    <w:rsid w:val="000E632C"/>
    <w:rsid w:val="000F51D2"/>
    <w:rsid w:val="0010326C"/>
    <w:rsid w:val="001611C6"/>
    <w:rsid w:val="00164B30"/>
    <w:rsid w:val="00176999"/>
    <w:rsid w:val="0018292D"/>
    <w:rsid w:val="001A7C42"/>
    <w:rsid w:val="001C4F6D"/>
    <w:rsid w:val="001D55DD"/>
    <w:rsid w:val="001E01C7"/>
    <w:rsid w:val="001E1322"/>
    <w:rsid w:val="001E548A"/>
    <w:rsid w:val="00233FC8"/>
    <w:rsid w:val="00275887"/>
    <w:rsid w:val="00276B14"/>
    <w:rsid w:val="002973B2"/>
    <w:rsid w:val="002A54A3"/>
    <w:rsid w:val="002A7FEA"/>
    <w:rsid w:val="002E38F4"/>
    <w:rsid w:val="002F197C"/>
    <w:rsid w:val="003002E2"/>
    <w:rsid w:val="00325E01"/>
    <w:rsid w:val="00361114"/>
    <w:rsid w:val="00383AC2"/>
    <w:rsid w:val="003840FE"/>
    <w:rsid w:val="00387B3A"/>
    <w:rsid w:val="00393C6A"/>
    <w:rsid w:val="003A1D7A"/>
    <w:rsid w:val="003A5D87"/>
    <w:rsid w:val="003C217D"/>
    <w:rsid w:val="003C3A5C"/>
    <w:rsid w:val="003F1396"/>
    <w:rsid w:val="0040055E"/>
    <w:rsid w:val="00423D6A"/>
    <w:rsid w:val="00426E0E"/>
    <w:rsid w:val="004323EF"/>
    <w:rsid w:val="004410DE"/>
    <w:rsid w:val="0044663B"/>
    <w:rsid w:val="00451F2E"/>
    <w:rsid w:val="004523EB"/>
    <w:rsid w:val="00452D7A"/>
    <w:rsid w:val="004C127D"/>
    <w:rsid w:val="004C5538"/>
    <w:rsid w:val="004D65A1"/>
    <w:rsid w:val="004E479D"/>
    <w:rsid w:val="004F3773"/>
    <w:rsid w:val="005028F9"/>
    <w:rsid w:val="00505D36"/>
    <w:rsid w:val="00515321"/>
    <w:rsid w:val="00515E5C"/>
    <w:rsid w:val="00527C5E"/>
    <w:rsid w:val="00534452"/>
    <w:rsid w:val="005371D8"/>
    <w:rsid w:val="00551EA0"/>
    <w:rsid w:val="00556BE2"/>
    <w:rsid w:val="005D42E4"/>
    <w:rsid w:val="005F7A99"/>
    <w:rsid w:val="00600BFA"/>
    <w:rsid w:val="00600F1F"/>
    <w:rsid w:val="00602DAD"/>
    <w:rsid w:val="006309B0"/>
    <w:rsid w:val="0066664E"/>
    <w:rsid w:val="00692C69"/>
    <w:rsid w:val="006952CA"/>
    <w:rsid w:val="006A13C9"/>
    <w:rsid w:val="006A2503"/>
    <w:rsid w:val="006A5446"/>
    <w:rsid w:val="006B352E"/>
    <w:rsid w:val="006C55AF"/>
    <w:rsid w:val="006D0744"/>
    <w:rsid w:val="006D686D"/>
    <w:rsid w:val="006E5942"/>
    <w:rsid w:val="00706164"/>
    <w:rsid w:val="00735D55"/>
    <w:rsid w:val="00743847"/>
    <w:rsid w:val="00751B50"/>
    <w:rsid w:val="00757313"/>
    <w:rsid w:val="00757879"/>
    <w:rsid w:val="007611DA"/>
    <w:rsid w:val="00793E5C"/>
    <w:rsid w:val="007A373A"/>
    <w:rsid w:val="007D4118"/>
    <w:rsid w:val="007E2692"/>
    <w:rsid w:val="0080160A"/>
    <w:rsid w:val="0081150D"/>
    <w:rsid w:val="0082739B"/>
    <w:rsid w:val="00864DB3"/>
    <w:rsid w:val="00867AE5"/>
    <w:rsid w:val="00870D8A"/>
    <w:rsid w:val="008B39D7"/>
    <w:rsid w:val="008E77BE"/>
    <w:rsid w:val="00910BC9"/>
    <w:rsid w:val="00915C9A"/>
    <w:rsid w:val="0093016D"/>
    <w:rsid w:val="00932135"/>
    <w:rsid w:val="00934D69"/>
    <w:rsid w:val="00935E81"/>
    <w:rsid w:val="009435A5"/>
    <w:rsid w:val="00986444"/>
    <w:rsid w:val="00990A24"/>
    <w:rsid w:val="00997A0E"/>
    <w:rsid w:val="009B64FE"/>
    <w:rsid w:val="009E52B5"/>
    <w:rsid w:val="009F7029"/>
    <w:rsid w:val="009F7F7A"/>
    <w:rsid w:val="00A15876"/>
    <w:rsid w:val="00A15D5D"/>
    <w:rsid w:val="00A30921"/>
    <w:rsid w:val="00A5751E"/>
    <w:rsid w:val="00A67A4F"/>
    <w:rsid w:val="00A7396A"/>
    <w:rsid w:val="00A73972"/>
    <w:rsid w:val="00A84333"/>
    <w:rsid w:val="00A84658"/>
    <w:rsid w:val="00AA4752"/>
    <w:rsid w:val="00AD0167"/>
    <w:rsid w:val="00AE6CE2"/>
    <w:rsid w:val="00AF1C47"/>
    <w:rsid w:val="00B03E2B"/>
    <w:rsid w:val="00B041F7"/>
    <w:rsid w:val="00B311D4"/>
    <w:rsid w:val="00B429D7"/>
    <w:rsid w:val="00B60EE6"/>
    <w:rsid w:val="00B67385"/>
    <w:rsid w:val="00B93390"/>
    <w:rsid w:val="00B93A25"/>
    <w:rsid w:val="00B979F9"/>
    <w:rsid w:val="00BB3047"/>
    <w:rsid w:val="00BB393A"/>
    <w:rsid w:val="00BD3BE9"/>
    <w:rsid w:val="00BD67E7"/>
    <w:rsid w:val="00C01906"/>
    <w:rsid w:val="00C171DC"/>
    <w:rsid w:val="00C27AC8"/>
    <w:rsid w:val="00C37F33"/>
    <w:rsid w:val="00C70E1B"/>
    <w:rsid w:val="00C84ABA"/>
    <w:rsid w:val="00CA61AF"/>
    <w:rsid w:val="00CB40A4"/>
    <w:rsid w:val="00CC356E"/>
    <w:rsid w:val="00CD6DB8"/>
    <w:rsid w:val="00CE0517"/>
    <w:rsid w:val="00CF44BB"/>
    <w:rsid w:val="00D33979"/>
    <w:rsid w:val="00D66453"/>
    <w:rsid w:val="00D731DA"/>
    <w:rsid w:val="00D969C1"/>
    <w:rsid w:val="00DD5320"/>
    <w:rsid w:val="00DE069A"/>
    <w:rsid w:val="00DE7CC8"/>
    <w:rsid w:val="00DF73FF"/>
    <w:rsid w:val="00E34D1B"/>
    <w:rsid w:val="00E41B31"/>
    <w:rsid w:val="00E456C2"/>
    <w:rsid w:val="00E56588"/>
    <w:rsid w:val="00E95EEF"/>
    <w:rsid w:val="00EA6729"/>
    <w:rsid w:val="00EC303E"/>
    <w:rsid w:val="00EF71D7"/>
    <w:rsid w:val="00F00D41"/>
    <w:rsid w:val="00F0592A"/>
    <w:rsid w:val="00F25ABF"/>
    <w:rsid w:val="00F509E4"/>
    <w:rsid w:val="00F66082"/>
    <w:rsid w:val="00F74EF7"/>
    <w:rsid w:val="00F80DA7"/>
    <w:rsid w:val="00F975CB"/>
    <w:rsid w:val="00FC1FF5"/>
    <w:rsid w:val="00FD0BC5"/>
    <w:rsid w:val="00FD7A54"/>
    <w:rsid w:val="00FE3193"/>
    <w:rsid w:val="00FE3F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B16F67-D098-41AE-873B-88D706E2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5A5"/>
    <w:pPr>
      <w:overflowPunct w:val="0"/>
      <w:autoSpaceDE w:val="0"/>
      <w:autoSpaceDN w:val="0"/>
      <w:bidi/>
      <w:adjustRightInd w:val="0"/>
      <w:spacing w:before="0" w:after="0" w:line="240" w:lineRule="auto"/>
      <w:textAlignment w:val="baseline"/>
    </w:pPr>
    <w:rPr>
      <w:rFonts w:ascii="Times New Roman" w:eastAsia="Times New Roman" w:hAnsi="Times New Roman" w:cs="David"/>
      <w:sz w:val="20"/>
      <w:szCs w:val="24"/>
      <w:lang w:eastAsia="he-IL"/>
    </w:rPr>
  </w:style>
  <w:style w:type="paragraph" w:styleId="1">
    <w:name w:val="heading 1"/>
    <w:basedOn w:val="a"/>
    <w:next w:val="a"/>
    <w:link w:val="10"/>
    <w:uiPriority w:val="9"/>
    <w:qFormat/>
    <w:rsid w:val="003A1D7A"/>
    <w:pPr>
      <w:widowControl w:val="0"/>
      <w:overflowPunct/>
      <w:autoSpaceDE/>
      <w:autoSpaceDN/>
      <w:adjustRightInd/>
      <w:spacing w:before="120" w:line="360" w:lineRule="auto"/>
      <w:jc w:val="both"/>
      <w:textAlignment w:val="auto"/>
      <w:outlineLvl w:val="0"/>
    </w:pPr>
    <w:rPr>
      <w:rFonts w:eastAsiaTheme="minorHAnsi"/>
      <w:b/>
      <w:bCs/>
      <w:caps/>
      <w:spacing w:val="15"/>
      <w:sz w:val="36"/>
      <w:szCs w:val="36"/>
      <w:lang w:eastAsia="en-US"/>
    </w:rPr>
  </w:style>
  <w:style w:type="paragraph" w:styleId="2">
    <w:name w:val="heading 2"/>
    <w:basedOn w:val="a"/>
    <w:next w:val="a"/>
    <w:link w:val="20"/>
    <w:uiPriority w:val="9"/>
    <w:unhideWhenUsed/>
    <w:qFormat/>
    <w:rsid w:val="003A1D7A"/>
    <w:pPr>
      <w:widowControl w:val="0"/>
      <w:overflowPunct/>
      <w:autoSpaceDE/>
      <w:autoSpaceDN/>
      <w:adjustRightInd/>
      <w:spacing w:before="120" w:line="360" w:lineRule="auto"/>
      <w:jc w:val="both"/>
      <w:textAlignment w:val="auto"/>
      <w:outlineLvl w:val="1"/>
    </w:pPr>
    <w:rPr>
      <w:rFonts w:eastAsiaTheme="minorHAnsi"/>
      <w:b/>
      <w:bCs/>
      <w:caps/>
      <w:spacing w:val="15"/>
      <w:sz w:val="32"/>
      <w:szCs w:val="32"/>
      <w:lang w:eastAsia="en-US"/>
    </w:rPr>
  </w:style>
  <w:style w:type="paragraph" w:styleId="3">
    <w:name w:val="heading 3"/>
    <w:basedOn w:val="a"/>
    <w:next w:val="a"/>
    <w:link w:val="30"/>
    <w:uiPriority w:val="9"/>
    <w:unhideWhenUsed/>
    <w:qFormat/>
    <w:rsid w:val="001611C6"/>
    <w:pPr>
      <w:widowControl w:val="0"/>
      <w:overflowPunct/>
      <w:autoSpaceDE/>
      <w:autoSpaceDN/>
      <w:bidi w:val="0"/>
      <w:adjustRightInd/>
      <w:spacing w:before="300" w:line="360" w:lineRule="auto"/>
      <w:jc w:val="both"/>
      <w:textAlignment w:val="auto"/>
      <w:outlineLvl w:val="2"/>
    </w:pPr>
    <w:rPr>
      <w:rFonts w:eastAsiaTheme="minorHAnsi"/>
      <w:bCs/>
      <w:caps/>
      <w:spacing w:val="15"/>
      <w:sz w:val="28"/>
      <w:szCs w:val="28"/>
      <w:lang w:eastAsia="en-US"/>
    </w:rPr>
  </w:style>
  <w:style w:type="paragraph" w:styleId="4">
    <w:name w:val="heading 4"/>
    <w:basedOn w:val="a"/>
    <w:next w:val="a"/>
    <w:link w:val="40"/>
    <w:uiPriority w:val="9"/>
    <w:unhideWhenUsed/>
    <w:qFormat/>
    <w:rsid w:val="003A1D7A"/>
    <w:pPr>
      <w:overflowPunct/>
      <w:autoSpaceDE/>
      <w:autoSpaceDN/>
      <w:bidi w:val="0"/>
      <w:adjustRightInd/>
      <w:spacing w:before="300" w:line="360" w:lineRule="auto"/>
      <w:jc w:val="both"/>
      <w:textAlignment w:val="auto"/>
      <w:outlineLvl w:val="3"/>
    </w:pPr>
    <w:rPr>
      <w:rFonts w:eastAsiaTheme="minorHAnsi"/>
      <w:b/>
      <w:bCs/>
      <w:caps/>
      <w:spacing w:val="10"/>
      <w:sz w:val="24"/>
      <w:lang w:eastAsia="en-US"/>
    </w:rPr>
  </w:style>
  <w:style w:type="paragraph" w:styleId="5">
    <w:name w:val="heading 5"/>
    <w:basedOn w:val="a"/>
    <w:next w:val="a"/>
    <w:link w:val="50"/>
    <w:uiPriority w:val="9"/>
    <w:unhideWhenUsed/>
    <w:qFormat/>
    <w:rsid w:val="003A1D7A"/>
    <w:pPr>
      <w:widowControl w:val="0"/>
      <w:overflowPunct/>
      <w:autoSpaceDE/>
      <w:autoSpaceDN/>
      <w:bidi w:val="0"/>
      <w:adjustRightInd/>
      <w:spacing w:before="300" w:line="360" w:lineRule="auto"/>
      <w:jc w:val="both"/>
      <w:textAlignment w:val="auto"/>
      <w:outlineLvl w:val="4"/>
    </w:pPr>
    <w:rPr>
      <w:rFonts w:eastAsiaTheme="minorHAnsi"/>
      <w:b/>
      <w:bCs/>
      <w:caps/>
      <w:spacing w:val="10"/>
      <w:sz w:val="24"/>
      <w:lang w:eastAsia="en-US"/>
    </w:rPr>
  </w:style>
  <w:style w:type="paragraph" w:styleId="6">
    <w:name w:val="heading 6"/>
    <w:basedOn w:val="a"/>
    <w:next w:val="a"/>
    <w:link w:val="60"/>
    <w:uiPriority w:val="9"/>
    <w:unhideWhenUsed/>
    <w:qFormat/>
    <w:rsid w:val="00066383"/>
    <w:pPr>
      <w:widowControl w:val="0"/>
      <w:overflowPunct/>
      <w:autoSpaceDE/>
      <w:autoSpaceDN/>
      <w:bidi w:val="0"/>
      <w:adjustRightInd/>
      <w:spacing w:before="300" w:line="360" w:lineRule="auto"/>
      <w:jc w:val="both"/>
      <w:textAlignment w:val="auto"/>
      <w:outlineLvl w:val="5"/>
    </w:pPr>
    <w:rPr>
      <w:rFonts w:eastAsiaTheme="minorHAnsi"/>
      <w:b/>
      <w:bCs/>
      <w:caps/>
      <w:spacing w:val="10"/>
      <w:sz w:val="24"/>
      <w:lang w:eastAsia="en-US"/>
    </w:rPr>
  </w:style>
  <w:style w:type="paragraph" w:styleId="7">
    <w:name w:val="heading 7"/>
    <w:basedOn w:val="a"/>
    <w:next w:val="a"/>
    <w:link w:val="70"/>
    <w:uiPriority w:val="9"/>
    <w:unhideWhenUsed/>
    <w:qFormat/>
    <w:rsid w:val="003A1D7A"/>
    <w:pPr>
      <w:widowControl w:val="0"/>
      <w:overflowPunct/>
      <w:autoSpaceDE/>
      <w:autoSpaceDN/>
      <w:bidi w:val="0"/>
      <w:adjustRightInd/>
      <w:spacing w:before="300" w:line="360" w:lineRule="auto"/>
      <w:jc w:val="both"/>
      <w:textAlignment w:val="auto"/>
      <w:outlineLvl w:val="6"/>
    </w:pPr>
    <w:rPr>
      <w:rFonts w:eastAsiaTheme="minorHAnsi"/>
      <w:b/>
      <w:bCs/>
      <w:caps/>
      <w:spacing w:val="10"/>
      <w:sz w:val="24"/>
      <w:lang w:eastAsia="en-US"/>
    </w:rPr>
  </w:style>
  <w:style w:type="paragraph" w:styleId="8">
    <w:name w:val="heading 8"/>
    <w:basedOn w:val="a"/>
    <w:next w:val="a"/>
    <w:link w:val="80"/>
    <w:uiPriority w:val="9"/>
    <w:semiHidden/>
    <w:unhideWhenUsed/>
    <w:qFormat/>
    <w:rsid w:val="00014182"/>
    <w:pPr>
      <w:overflowPunct/>
      <w:autoSpaceDE/>
      <w:autoSpaceDN/>
      <w:bidi w:val="0"/>
      <w:adjustRightInd/>
      <w:spacing w:before="300" w:line="360" w:lineRule="auto"/>
      <w:jc w:val="both"/>
      <w:textAlignment w:val="auto"/>
      <w:outlineLvl w:val="7"/>
    </w:pPr>
    <w:rPr>
      <w:rFonts w:eastAsiaTheme="minorHAnsi"/>
      <w:caps/>
      <w:spacing w:val="10"/>
      <w:sz w:val="18"/>
      <w:szCs w:val="18"/>
      <w:lang w:eastAsia="en-US"/>
    </w:rPr>
  </w:style>
  <w:style w:type="paragraph" w:styleId="9">
    <w:name w:val="heading 9"/>
    <w:basedOn w:val="a"/>
    <w:next w:val="a"/>
    <w:link w:val="90"/>
    <w:uiPriority w:val="9"/>
    <w:semiHidden/>
    <w:unhideWhenUsed/>
    <w:qFormat/>
    <w:rsid w:val="00014182"/>
    <w:pPr>
      <w:overflowPunct/>
      <w:autoSpaceDE/>
      <w:autoSpaceDN/>
      <w:bidi w:val="0"/>
      <w:adjustRightInd/>
      <w:spacing w:before="300" w:line="360" w:lineRule="auto"/>
      <w:jc w:val="both"/>
      <w:textAlignment w:val="auto"/>
      <w:outlineLvl w:val="8"/>
    </w:pPr>
    <w:rPr>
      <w:rFonts w:eastAsiaTheme="minorHAnsi"/>
      <w:i/>
      <w:caps/>
      <w:spacing w:val="10"/>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A1D7A"/>
    <w:rPr>
      <w:rFonts w:ascii="Times New Roman" w:hAnsi="Times New Roman" w:cs="David"/>
      <w:b/>
      <w:bCs/>
      <w:caps/>
      <w:spacing w:val="15"/>
      <w:sz w:val="36"/>
      <w:szCs w:val="36"/>
    </w:rPr>
  </w:style>
  <w:style w:type="paragraph" w:styleId="a3">
    <w:name w:val="Quote"/>
    <w:basedOn w:val="a"/>
    <w:next w:val="a"/>
    <w:link w:val="a4"/>
    <w:uiPriority w:val="29"/>
    <w:qFormat/>
    <w:rsid w:val="003A1D7A"/>
    <w:pPr>
      <w:widowControl w:val="0"/>
      <w:overflowPunct/>
      <w:autoSpaceDE/>
      <w:autoSpaceDN/>
      <w:adjustRightInd/>
      <w:spacing w:before="120" w:after="120" w:line="360" w:lineRule="auto"/>
      <w:ind w:left="567" w:right="567"/>
      <w:jc w:val="both"/>
      <w:textAlignment w:val="auto"/>
    </w:pPr>
    <w:rPr>
      <w:rFonts w:eastAsiaTheme="minorHAnsi"/>
      <w:i/>
      <w:iCs/>
      <w:sz w:val="24"/>
      <w:lang w:eastAsia="en-U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uiPriority w:val="9"/>
    <w:rsid w:val="003A1D7A"/>
    <w:rPr>
      <w:rFonts w:ascii="Times New Roman" w:hAnsi="Times New Roman" w:cs="David"/>
      <w:b/>
      <w:bCs/>
      <w:caps/>
      <w:spacing w:val="15"/>
      <w:sz w:val="32"/>
      <w:szCs w:val="32"/>
    </w:rPr>
  </w:style>
  <w:style w:type="character" w:customStyle="1" w:styleId="30">
    <w:name w:val="כותרת 3 תו"/>
    <w:basedOn w:val="a0"/>
    <w:link w:val="3"/>
    <w:uiPriority w:val="9"/>
    <w:rsid w:val="001611C6"/>
    <w:rPr>
      <w:rFonts w:ascii="Times New Roman" w:hAnsi="Times New Roman" w:cs="David"/>
      <w:bCs/>
      <w:caps/>
      <w:spacing w:val="15"/>
      <w:sz w:val="28"/>
      <w:szCs w:val="28"/>
    </w:rPr>
  </w:style>
  <w:style w:type="character" w:customStyle="1" w:styleId="40">
    <w:name w:val="כותרת 4 תו"/>
    <w:basedOn w:val="a0"/>
    <w:link w:val="4"/>
    <w:uiPriority w:val="9"/>
    <w:rsid w:val="003A1D7A"/>
    <w:rPr>
      <w:rFonts w:ascii="Times New Roman" w:hAnsi="Times New Roman" w:cs="David"/>
      <w:b/>
      <w:bCs/>
      <w:caps/>
      <w:spacing w:val="10"/>
      <w:sz w:val="24"/>
      <w:szCs w:val="24"/>
    </w:rPr>
  </w:style>
  <w:style w:type="character" w:customStyle="1" w:styleId="50">
    <w:name w:val="כותרת 5 תו"/>
    <w:basedOn w:val="a0"/>
    <w:link w:val="5"/>
    <w:uiPriority w:val="9"/>
    <w:rsid w:val="003A1D7A"/>
    <w:rPr>
      <w:rFonts w:ascii="Times New Roman" w:hAnsi="Times New Roman" w:cs="David"/>
      <w:b/>
      <w:bCs/>
      <w:caps/>
      <w:spacing w:val="10"/>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overflowPunct/>
      <w:autoSpaceDE/>
      <w:autoSpaceDN/>
      <w:bidi w:val="0"/>
      <w:adjustRightInd/>
      <w:spacing w:before="120" w:after="120" w:line="360" w:lineRule="auto"/>
      <w:jc w:val="both"/>
      <w:textAlignment w:val="auto"/>
    </w:pPr>
    <w:rPr>
      <w:rFonts w:eastAsiaTheme="minorHAnsi"/>
      <w:b/>
      <w:bCs/>
      <w:color w:val="365F91" w:themeColor="accent1" w:themeShade="BF"/>
      <w:sz w:val="16"/>
      <w:szCs w:val="16"/>
      <w:lang w:eastAsia="en-US"/>
    </w:rPr>
  </w:style>
  <w:style w:type="paragraph" w:styleId="a6">
    <w:name w:val="TOC Heading"/>
    <w:basedOn w:val="1"/>
    <w:next w:val="a"/>
    <w:uiPriority w:val="39"/>
    <w:semiHidden/>
    <w:unhideWhenUsed/>
    <w:qFormat/>
    <w:rsid w:val="00014182"/>
    <w:pPr>
      <w:bidi w:val="0"/>
      <w:outlineLvl w:val="9"/>
    </w:pPr>
    <w:rPr>
      <w:lang w:bidi="en-US"/>
    </w:rPr>
  </w:style>
  <w:style w:type="paragraph" w:styleId="TOC3">
    <w:name w:val="toc 3"/>
    <w:basedOn w:val="a"/>
    <w:next w:val="a"/>
    <w:autoRedefine/>
    <w:uiPriority w:val="39"/>
    <w:unhideWhenUsed/>
    <w:rsid w:val="00600BFA"/>
    <w:pPr>
      <w:widowControl w:val="0"/>
      <w:tabs>
        <w:tab w:val="right" w:leader="dot" w:pos="8296"/>
      </w:tabs>
      <w:overflowPunct/>
      <w:autoSpaceDE/>
      <w:autoSpaceDN/>
      <w:adjustRightInd/>
      <w:spacing w:before="100" w:after="100"/>
      <w:ind w:left="482"/>
      <w:jc w:val="both"/>
      <w:textAlignment w:val="auto"/>
    </w:pPr>
    <w:rPr>
      <w:rFonts w:eastAsiaTheme="minorHAnsi"/>
      <w:sz w:val="24"/>
      <w:lang w:eastAsia="en-US"/>
    </w:rPr>
  </w:style>
  <w:style w:type="paragraph" w:styleId="TOC1">
    <w:name w:val="toc 1"/>
    <w:basedOn w:val="a"/>
    <w:next w:val="a"/>
    <w:autoRedefine/>
    <w:uiPriority w:val="39"/>
    <w:unhideWhenUsed/>
    <w:rsid w:val="00600BFA"/>
    <w:pPr>
      <w:widowControl w:val="0"/>
      <w:tabs>
        <w:tab w:val="right" w:leader="dot" w:pos="8296"/>
      </w:tabs>
      <w:overflowPunct/>
      <w:autoSpaceDE/>
      <w:autoSpaceDN/>
      <w:adjustRightInd/>
      <w:spacing w:before="100" w:after="100"/>
      <w:jc w:val="both"/>
      <w:textAlignment w:val="auto"/>
    </w:pPr>
    <w:rPr>
      <w:rFonts w:eastAsiaTheme="minorHAnsi"/>
      <w:sz w:val="24"/>
      <w:lang w:eastAsia="en-US"/>
    </w:rPr>
  </w:style>
  <w:style w:type="paragraph" w:styleId="TOC2">
    <w:name w:val="toc 2"/>
    <w:basedOn w:val="a"/>
    <w:next w:val="a"/>
    <w:autoRedefine/>
    <w:uiPriority w:val="39"/>
    <w:unhideWhenUsed/>
    <w:rsid w:val="00600BFA"/>
    <w:pPr>
      <w:widowControl w:val="0"/>
      <w:tabs>
        <w:tab w:val="right" w:leader="dot" w:pos="8296"/>
      </w:tabs>
      <w:overflowPunct/>
      <w:autoSpaceDE/>
      <w:autoSpaceDN/>
      <w:adjustRightInd/>
      <w:spacing w:before="100" w:after="100"/>
      <w:ind w:left="238"/>
      <w:jc w:val="both"/>
      <w:textAlignment w:val="auto"/>
    </w:pPr>
    <w:rPr>
      <w:rFonts w:eastAsiaTheme="minorHAnsi"/>
      <w:sz w:val="24"/>
      <w:lang w:eastAsia="en-US"/>
    </w:rPr>
  </w:style>
  <w:style w:type="paragraph" w:styleId="TOC7">
    <w:name w:val="toc 7"/>
    <w:basedOn w:val="a"/>
    <w:next w:val="a"/>
    <w:autoRedefine/>
    <w:uiPriority w:val="39"/>
    <w:unhideWhenUsed/>
    <w:rsid w:val="00600BFA"/>
    <w:pPr>
      <w:widowControl w:val="0"/>
      <w:tabs>
        <w:tab w:val="right" w:leader="dot" w:pos="8296"/>
      </w:tabs>
      <w:overflowPunct/>
      <w:autoSpaceDE/>
      <w:autoSpaceDN/>
      <w:adjustRightInd/>
      <w:spacing w:before="100" w:after="100"/>
      <w:ind w:left="1440"/>
      <w:jc w:val="both"/>
      <w:textAlignment w:val="auto"/>
    </w:pPr>
    <w:rPr>
      <w:rFonts w:eastAsiaTheme="minorHAnsi"/>
      <w:sz w:val="24"/>
      <w:lang w:eastAsia="en-US"/>
    </w:rPr>
  </w:style>
  <w:style w:type="paragraph" w:styleId="TOC6">
    <w:name w:val="toc 6"/>
    <w:basedOn w:val="a"/>
    <w:next w:val="a"/>
    <w:autoRedefine/>
    <w:uiPriority w:val="39"/>
    <w:unhideWhenUsed/>
    <w:rsid w:val="00600BFA"/>
    <w:pPr>
      <w:widowControl w:val="0"/>
      <w:tabs>
        <w:tab w:val="right" w:leader="dot" w:pos="8296"/>
      </w:tabs>
      <w:overflowPunct/>
      <w:autoSpaceDE/>
      <w:autoSpaceDN/>
      <w:adjustRightInd/>
      <w:spacing w:before="100" w:after="100"/>
      <w:ind w:left="1202"/>
      <w:contextualSpacing/>
      <w:jc w:val="both"/>
      <w:textAlignment w:val="auto"/>
    </w:pPr>
    <w:rPr>
      <w:rFonts w:eastAsiaTheme="minorHAnsi"/>
      <w:sz w:val="24"/>
      <w:lang w:eastAsia="en-US"/>
    </w:rPr>
  </w:style>
  <w:style w:type="paragraph" w:styleId="TOC5">
    <w:name w:val="toc 5"/>
    <w:basedOn w:val="a"/>
    <w:next w:val="a"/>
    <w:autoRedefine/>
    <w:uiPriority w:val="39"/>
    <w:unhideWhenUsed/>
    <w:rsid w:val="00600BFA"/>
    <w:pPr>
      <w:widowControl w:val="0"/>
      <w:tabs>
        <w:tab w:val="right" w:leader="dot" w:pos="8296"/>
      </w:tabs>
      <w:overflowPunct/>
      <w:autoSpaceDE/>
      <w:autoSpaceDN/>
      <w:adjustRightInd/>
      <w:spacing w:before="100" w:after="100"/>
      <w:ind w:left="958"/>
      <w:jc w:val="both"/>
      <w:textAlignment w:val="auto"/>
    </w:pPr>
    <w:rPr>
      <w:rFonts w:eastAsiaTheme="minorHAnsi"/>
      <w:sz w:val="24"/>
      <w:lang w:eastAsia="en-US"/>
    </w:rPr>
  </w:style>
  <w:style w:type="paragraph" w:styleId="TOC4">
    <w:name w:val="toc 4"/>
    <w:basedOn w:val="a"/>
    <w:next w:val="a"/>
    <w:autoRedefine/>
    <w:uiPriority w:val="39"/>
    <w:unhideWhenUsed/>
    <w:rsid w:val="00600BFA"/>
    <w:pPr>
      <w:widowControl w:val="0"/>
      <w:overflowPunct/>
      <w:autoSpaceDE/>
      <w:autoSpaceDN/>
      <w:adjustRightInd/>
      <w:spacing w:before="100" w:after="100"/>
      <w:ind w:left="720"/>
      <w:jc w:val="both"/>
      <w:textAlignment w:val="auto"/>
    </w:pPr>
    <w:rPr>
      <w:rFonts w:eastAsiaTheme="minorHAnsi"/>
      <w:sz w:val="24"/>
      <w:lang w:eastAsia="en-US"/>
    </w:rPr>
  </w:style>
  <w:style w:type="paragraph" w:styleId="a7">
    <w:name w:val="List Paragraph"/>
    <w:basedOn w:val="a"/>
    <w:uiPriority w:val="34"/>
    <w:rsid w:val="00FE3193"/>
    <w:pPr>
      <w:overflowPunct/>
      <w:autoSpaceDE/>
      <w:autoSpaceDN/>
      <w:adjustRightInd/>
      <w:spacing w:before="120" w:after="120" w:line="360" w:lineRule="auto"/>
      <w:ind w:left="720"/>
      <w:contextualSpacing/>
      <w:jc w:val="both"/>
      <w:textAlignment w:val="auto"/>
    </w:pPr>
    <w:rPr>
      <w:rFonts w:eastAsiaTheme="minorHAnsi"/>
      <w:sz w:val="24"/>
      <w:lang w:eastAsia="en-US"/>
    </w:r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a8">
    <w:name w:val="header"/>
    <w:basedOn w:val="a"/>
    <w:link w:val="a9"/>
    <w:uiPriority w:val="99"/>
    <w:rsid w:val="009435A5"/>
    <w:pPr>
      <w:tabs>
        <w:tab w:val="center" w:pos="4320"/>
        <w:tab w:val="right" w:pos="8640"/>
      </w:tabs>
    </w:pPr>
  </w:style>
  <w:style w:type="character" w:customStyle="1" w:styleId="a9">
    <w:name w:val="כותרת עליונה תו"/>
    <w:basedOn w:val="a0"/>
    <w:link w:val="a8"/>
    <w:uiPriority w:val="99"/>
    <w:rsid w:val="009435A5"/>
    <w:rPr>
      <w:rFonts w:ascii="Times New Roman" w:eastAsia="Times New Roman" w:hAnsi="Times New Roman" w:cs="David"/>
      <w:sz w:val="20"/>
      <w:szCs w:val="24"/>
      <w:lang w:eastAsia="he-IL"/>
    </w:rPr>
  </w:style>
  <w:style w:type="paragraph" w:styleId="aa">
    <w:name w:val="footer"/>
    <w:basedOn w:val="a"/>
    <w:link w:val="ab"/>
    <w:rsid w:val="009435A5"/>
    <w:pPr>
      <w:tabs>
        <w:tab w:val="center" w:pos="4153"/>
        <w:tab w:val="right" w:pos="8306"/>
      </w:tabs>
    </w:pPr>
  </w:style>
  <w:style w:type="character" w:customStyle="1" w:styleId="ab">
    <w:name w:val="כותרת תחתונה תו"/>
    <w:basedOn w:val="a0"/>
    <w:link w:val="aa"/>
    <w:rsid w:val="009435A5"/>
    <w:rPr>
      <w:rFonts w:ascii="Times New Roman" w:eastAsia="Times New Roman" w:hAnsi="Times New Roman" w:cs="David"/>
      <w:sz w:val="20"/>
      <w:szCs w:val="24"/>
      <w:lang w:eastAsia="he-IL"/>
    </w:rPr>
  </w:style>
  <w:style w:type="character" w:styleId="Hyperlink">
    <w:name w:val="Hyperlink"/>
    <w:basedOn w:val="a0"/>
    <w:rsid w:val="009435A5"/>
    <w:rPr>
      <w:color w:val="0000FF"/>
      <w:u w:val="single"/>
    </w:rPr>
  </w:style>
  <w:style w:type="character" w:styleId="ac">
    <w:name w:val="page number"/>
    <w:basedOn w:val="a0"/>
    <w:rsid w:val="009435A5"/>
  </w:style>
  <w:style w:type="paragraph" w:styleId="ad">
    <w:name w:val="Balloon Text"/>
    <w:basedOn w:val="a"/>
    <w:link w:val="ae"/>
    <w:uiPriority w:val="99"/>
    <w:semiHidden/>
    <w:unhideWhenUsed/>
    <w:rsid w:val="009435A5"/>
    <w:rPr>
      <w:rFonts w:ascii="Tahoma" w:hAnsi="Tahoma" w:cs="Tahoma"/>
      <w:sz w:val="16"/>
      <w:szCs w:val="16"/>
    </w:rPr>
  </w:style>
  <w:style w:type="character" w:customStyle="1" w:styleId="ae">
    <w:name w:val="טקסט בלונים תו"/>
    <w:basedOn w:val="a0"/>
    <w:link w:val="ad"/>
    <w:uiPriority w:val="99"/>
    <w:semiHidden/>
    <w:rsid w:val="009435A5"/>
    <w:rPr>
      <w:rFonts w:ascii="Tahoma" w:eastAsia="Times New Roman" w:hAnsi="Tahoma" w:cs="Tahoma"/>
      <w:sz w:val="16"/>
      <w:szCs w:val="16"/>
      <w:lang w:eastAsia="he-IL"/>
    </w:rPr>
  </w:style>
  <w:style w:type="paragraph" w:customStyle="1" w:styleId="TableText">
    <w:name w:val="Table Text"/>
    <w:basedOn w:val="a"/>
    <w:rsid w:val="00E456C2"/>
    <w:pPr>
      <w:keepLines/>
      <w:widowControl w:val="0"/>
      <w:tabs>
        <w:tab w:val="left" w:pos="624"/>
        <w:tab w:val="left" w:pos="1247"/>
      </w:tabs>
      <w:overflowPunct/>
      <w:autoSpaceDE/>
      <w:autoSpaceDN/>
      <w:adjustRightInd/>
      <w:snapToGrid w:val="0"/>
      <w:spacing w:line="360" w:lineRule="auto"/>
      <w:contextualSpacing/>
      <w:textAlignment w:val="auto"/>
    </w:pPr>
    <w:rPr>
      <w:rFonts w:ascii="Arial" w:eastAsia="Arial Unicode MS" w:hAnsi="Arial"/>
      <w:snapToGrid w:val="0"/>
      <w:szCs w:val="26"/>
      <w:lang w:eastAsia="en-US"/>
    </w:rPr>
  </w:style>
  <w:style w:type="paragraph" w:customStyle="1" w:styleId="TableSideHeading">
    <w:name w:val="Table SideHeading"/>
    <w:basedOn w:val="TableText"/>
    <w:rsid w:val="00E456C2"/>
    <w:pPr>
      <w:outlineLvl w:val="2"/>
    </w:pPr>
  </w:style>
  <w:style w:type="paragraph" w:customStyle="1" w:styleId="TableBlock">
    <w:name w:val="Table Block"/>
    <w:basedOn w:val="TableText"/>
    <w:rsid w:val="00E456C2"/>
    <w:pPr>
      <w:jc w:val="both"/>
    </w:pPr>
  </w:style>
  <w:style w:type="paragraph" w:customStyle="1" w:styleId="HeadMitparsemetBaze">
    <w:name w:val="Head MitparsemetBaze"/>
    <w:basedOn w:val="a"/>
    <w:rsid w:val="00E456C2"/>
    <w:pPr>
      <w:keepNext/>
      <w:keepLines/>
      <w:pageBreakBefore/>
      <w:widowControl w:val="0"/>
      <w:overflowPunct/>
      <w:autoSpaceDE/>
      <w:autoSpaceDN/>
      <w:adjustRightInd/>
      <w:snapToGrid w:val="0"/>
      <w:spacing w:before="480" w:line="360" w:lineRule="auto"/>
      <w:ind w:left="340"/>
      <w:contextualSpacing/>
      <w:jc w:val="both"/>
      <w:textAlignment w:val="auto"/>
    </w:pPr>
    <w:rPr>
      <w:rFonts w:ascii="Arial" w:eastAsia="Arial Unicode MS" w:hAnsi="Arial"/>
      <w:b/>
      <w:bCs/>
      <w:snapToGrid w:val="0"/>
      <w:szCs w:val="26"/>
      <w:lang w:eastAsia="en-US"/>
    </w:rPr>
  </w:style>
  <w:style w:type="paragraph" w:customStyle="1" w:styleId="HeadHatzaotHok">
    <w:name w:val="Head HatzaotHok"/>
    <w:basedOn w:val="a"/>
    <w:rsid w:val="00E456C2"/>
    <w:pPr>
      <w:keepNext/>
      <w:keepLines/>
      <w:widowControl w:val="0"/>
      <w:overflowPunct/>
      <w:autoSpaceDE/>
      <w:autoSpaceDN/>
      <w:adjustRightInd/>
      <w:snapToGrid w:val="0"/>
      <w:spacing w:before="240" w:line="360" w:lineRule="auto"/>
      <w:ind w:left="340"/>
      <w:contextualSpacing/>
      <w:jc w:val="center"/>
      <w:textAlignment w:val="auto"/>
      <w:outlineLvl w:val="0"/>
    </w:pPr>
    <w:rPr>
      <w:rFonts w:ascii="Arial" w:eastAsia="Arial Unicode MS" w:hAnsi="Arial"/>
      <w:b/>
      <w:bCs/>
      <w:snapToGrid w:val="0"/>
      <w:szCs w:val="26"/>
      <w:lang w:eastAsia="en-US"/>
    </w:rPr>
  </w:style>
  <w:style w:type="paragraph" w:customStyle="1" w:styleId="Hesber1st">
    <w:name w:val="Hesber 1st"/>
    <w:basedOn w:val="a"/>
    <w:rsid w:val="00E456C2"/>
    <w:pPr>
      <w:widowControl w:val="0"/>
      <w:tabs>
        <w:tab w:val="left" w:pos="680"/>
        <w:tab w:val="left" w:pos="1020"/>
      </w:tabs>
      <w:overflowPunct/>
      <w:autoSpaceDE/>
      <w:autoSpaceDN/>
      <w:adjustRightInd/>
      <w:snapToGrid w:val="0"/>
      <w:spacing w:line="360" w:lineRule="auto"/>
      <w:contextualSpacing/>
      <w:jc w:val="both"/>
      <w:textAlignment w:val="auto"/>
    </w:pPr>
    <w:rPr>
      <w:rFonts w:ascii="Arial" w:eastAsia="Arial Unicode MS" w:hAnsi="Arial"/>
      <w:snapToGrid w:val="0"/>
      <w:szCs w:val="26"/>
      <w:lang w:eastAsia="en-US"/>
    </w:rPr>
  </w:style>
  <w:style w:type="paragraph" w:customStyle="1" w:styleId="HeadDivreiHesber">
    <w:name w:val="Head DivreiHesber"/>
    <w:basedOn w:val="a"/>
    <w:rsid w:val="00E456C2"/>
    <w:pPr>
      <w:widowControl w:val="0"/>
      <w:overflowPunct/>
      <w:autoSpaceDE/>
      <w:autoSpaceDN/>
      <w:adjustRightInd/>
      <w:snapToGrid w:val="0"/>
      <w:spacing w:before="360" w:after="120" w:line="360" w:lineRule="auto"/>
      <w:ind w:left="340"/>
      <w:contextualSpacing/>
      <w:jc w:val="center"/>
      <w:textAlignment w:val="auto"/>
      <w:outlineLvl w:val="1"/>
    </w:pPr>
    <w:rPr>
      <w:rFonts w:ascii="Arial" w:eastAsia="Arial Unicode MS" w:hAnsi="Arial"/>
      <w:b/>
      <w:snapToGrid w:val="0"/>
      <w:spacing w:val="40"/>
      <w:szCs w:val="26"/>
      <w:lang w:eastAsia="en-US"/>
    </w:rPr>
  </w:style>
  <w:style w:type="paragraph" w:styleId="af">
    <w:name w:val="footnote text"/>
    <w:basedOn w:val="a"/>
    <w:link w:val="af0"/>
    <w:autoRedefine/>
    <w:semiHidden/>
    <w:rsid w:val="00E456C2"/>
    <w:pPr>
      <w:widowControl w:val="0"/>
      <w:overflowPunct/>
      <w:autoSpaceDE/>
      <w:autoSpaceDN/>
      <w:adjustRightInd/>
      <w:snapToGrid w:val="0"/>
      <w:contextualSpacing/>
      <w:textAlignment w:val="auto"/>
    </w:pPr>
    <w:rPr>
      <w:rFonts w:ascii="Arial" w:eastAsia="Arial Unicode MS" w:hAnsi="Arial"/>
      <w:snapToGrid w:val="0"/>
      <w:sz w:val="14"/>
      <w:szCs w:val="20"/>
      <w:lang w:eastAsia="en-US"/>
    </w:rPr>
  </w:style>
  <w:style w:type="character" w:customStyle="1" w:styleId="af0">
    <w:name w:val="טקסט הערת שוליים תו"/>
    <w:basedOn w:val="a0"/>
    <w:link w:val="af"/>
    <w:semiHidden/>
    <w:rsid w:val="00E456C2"/>
    <w:rPr>
      <w:rFonts w:ascii="Arial" w:eastAsia="Arial Unicode MS" w:hAnsi="Arial" w:cs="David"/>
      <w:snapToGrid w:val="0"/>
      <w:sz w:val="14"/>
      <w:szCs w:val="20"/>
    </w:rPr>
  </w:style>
  <w:style w:type="character" w:styleId="af1">
    <w:name w:val="footnote reference"/>
    <w:aliases w:val="Footnote Reference_0"/>
    <w:basedOn w:val="a0"/>
    <w:semiHidden/>
    <w:rsid w:val="00E456C2"/>
    <w:rPr>
      <w:vertAlign w:val="superscript"/>
    </w:rPr>
  </w:style>
  <w:style w:type="paragraph" w:customStyle="1" w:styleId="medium2-header">
    <w:name w:val="medium2-header"/>
    <w:basedOn w:val="a"/>
    <w:rsid w:val="00E456C2"/>
    <w:pPr>
      <w:overflowPunct/>
      <w:autoSpaceDE/>
      <w:autoSpaceDN/>
      <w:bidi w:val="0"/>
      <w:adjustRightInd/>
      <w:spacing w:before="100" w:beforeAutospacing="1" w:after="100" w:afterAutospacing="1"/>
      <w:textAlignment w:val="auto"/>
    </w:pPr>
    <w:rPr>
      <w:rFonts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of.gov.il/ho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of.gov.il/h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DA027-F7C7-407E-8437-050BD0E69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1164</Words>
  <Characters>5822</Characters>
  <Application>Microsoft Office Word</Application>
  <DocSecurity>0</DocSecurity>
  <Lines>48</Lines>
  <Paragraphs>13</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יצחק זרביב</dc:creator>
  <cp:lastModifiedBy>עדי כהן</cp:lastModifiedBy>
  <cp:revision>3</cp:revision>
  <dcterms:created xsi:type="dcterms:W3CDTF">2023-01-15T07:30:00Z</dcterms:created>
  <dcterms:modified xsi:type="dcterms:W3CDTF">2023-01-15T07:30:00Z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notes://MAOR2/Doc/Shuk_hon/hondocNew4.nsf/0/816CBD0684CBE078C2258926003A69EA/?OpenDocument</vt:lpwstr>
  </property>
  <property fmtid="{D5CDD505-2E9C-101B-9397-08002B2CF9AE}" pid="3" name="MaorRecipients0">
    <vt:lpwstr>adic@mof.gov.il</vt:lpwstr>
  </property>
</Properties>
</file>