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D3" w:rsidRDefault="00E40DD3" w:rsidP="005F0271">
      <w:pPr>
        <w:jc w:val="center"/>
        <w:rPr>
          <w:b/>
          <w:bCs/>
          <w:sz w:val="26"/>
          <w:szCs w:val="26"/>
          <w:rtl/>
        </w:rPr>
      </w:pPr>
      <w:bookmarkStart w:id="0" w:name="_GoBack"/>
      <w:bookmarkEnd w:id="0"/>
      <w:r>
        <w:rPr>
          <w:noProof/>
        </w:rPr>
        <w:drawing>
          <wp:inline distT="0" distB="0" distL="0" distR="0" wp14:anchorId="1C84503C" wp14:editId="704508AA">
            <wp:extent cx="509905" cy="624205"/>
            <wp:effectExtent l="0" t="0" r="4445" b="4445"/>
            <wp:docPr id="1" name="תמונה 1" descr="סמל המדינה"/>
            <wp:cNvGraphicFramePr/>
            <a:graphic xmlns:a="http://schemas.openxmlformats.org/drawingml/2006/main">
              <a:graphicData uri="http://schemas.openxmlformats.org/drawingml/2006/picture">
                <pic:pic xmlns:pic="http://schemas.openxmlformats.org/drawingml/2006/picture">
                  <pic:nvPicPr>
                    <pic:cNvPr id="1" name="תמונה 1" descr="סמל המדינה"/>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rsidR="00E40DD3" w:rsidRDefault="00E40DD3" w:rsidP="005F0271">
      <w:pPr>
        <w:rPr>
          <w:b/>
          <w:bCs/>
          <w:sz w:val="26"/>
          <w:szCs w:val="26"/>
          <w:rtl/>
        </w:rPr>
      </w:pPr>
      <w:r w:rsidRPr="00CB5068">
        <w:rPr>
          <w:b/>
          <w:bCs/>
          <w:sz w:val="26"/>
          <w:szCs w:val="26"/>
          <w:rtl/>
        </w:rPr>
        <w:t>תוכן עניינים</w:t>
      </w:r>
    </w:p>
    <w:p w:rsidR="00E40DD3" w:rsidRDefault="00E40DD3" w:rsidP="00E40DD3">
      <w:pPr>
        <w:pStyle w:val="TOC1"/>
        <w:rPr>
          <w:rFonts w:asciiTheme="minorHAnsi" w:eastAsiaTheme="minorEastAsia" w:hAnsiTheme="minorHAnsi" w:cstheme="minorBidi"/>
          <w:bCs w:val="0"/>
          <w:noProof/>
          <w:sz w:val="22"/>
          <w:rtl/>
        </w:rPr>
      </w:pPr>
      <w:r>
        <w:rPr>
          <w:rtl/>
        </w:rPr>
        <w:fldChar w:fldCharType="begin"/>
      </w:r>
      <w:r>
        <w:rPr>
          <w:rtl/>
        </w:rPr>
        <w:instrText xml:space="preserve"> </w:instrText>
      </w:r>
      <w:r>
        <w:instrText>TOC</w:instrText>
      </w:r>
      <w:r>
        <w:rPr>
          <w:rtl/>
        </w:rPr>
        <w:instrText xml:space="preserve"> \</w:instrText>
      </w:r>
      <w:r>
        <w:instrText>o "1-9" \h \z \t "Table SideHeading,3,Table Head,2,Head HatzaotHok,1,Head DivreiHesber,2,Head HatzaotHok4Futer,1</w:instrText>
      </w:r>
      <w:r>
        <w:rPr>
          <w:rtl/>
        </w:rPr>
        <w:instrText xml:space="preserve">" </w:instrText>
      </w:r>
      <w:r>
        <w:rPr>
          <w:rtl/>
        </w:rPr>
        <w:fldChar w:fldCharType="separate"/>
      </w:r>
      <w:hyperlink w:anchor="_Toc102894721" w:history="1">
        <w:r w:rsidRPr="00056AEA">
          <w:rPr>
            <w:rStyle w:val="Hyperlink"/>
            <w:rFonts w:asciiTheme="majorHAnsi" w:eastAsiaTheme="majorEastAsia" w:hAnsiTheme="majorHAnsi"/>
            <w:noProof/>
            <w:rtl/>
          </w:rPr>
          <w:t>תזכיר</w:t>
        </w:r>
        <w:r w:rsidRPr="00056AEA">
          <w:rPr>
            <w:rStyle w:val="Hyperlink"/>
            <w:caps/>
            <w:noProof/>
            <w:spacing w:val="15"/>
            <w:rtl/>
          </w:rPr>
          <w:t xml:space="preserve"> חוק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Toc102894721 \h</w:instrText>
        </w:r>
        <w:r>
          <w:rPr>
            <w:noProof/>
            <w:webHidden/>
            <w:rtl/>
          </w:rPr>
          <w:instrText xml:space="preserve"> </w:instrText>
        </w:r>
        <w:r>
          <w:rPr>
            <w:noProof/>
            <w:webHidden/>
            <w:rtl/>
          </w:rPr>
        </w:r>
        <w:r>
          <w:rPr>
            <w:noProof/>
            <w:webHidden/>
            <w:rtl/>
          </w:rPr>
          <w:fldChar w:fldCharType="separate"/>
        </w:r>
        <w:r w:rsidR="00BC7B81">
          <w:rPr>
            <w:noProof/>
            <w:webHidden/>
            <w:rtl/>
          </w:rPr>
          <w:t>2</w:t>
        </w:r>
        <w:r>
          <w:rPr>
            <w:noProof/>
            <w:webHidden/>
            <w:rtl/>
          </w:rPr>
          <w:fldChar w:fldCharType="end"/>
        </w:r>
      </w:hyperlink>
    </w:p>
    <w:p w:rsidR="00E40DD3" w:rsidRPr="00E40DD3" w:rsidRDefault="002F3D97" w:rsidP="00E40DD3">
      <w:pPr>
        <w:pStyle w:val="TOC3"/>
        <w:numPr>
          <w:ilvl w:val="0"/>
          <w:numId w:val="0"/>
        </w:numPr>
        <w:tabs>
          <w:tab w:val="left" w:pos="1274"/>
        </w:tabs>
        <w:ind w:left="811"/>
        <w:rPr>
          <w:rFonts w:asciiTheme="minorHAnsi" w:eastAsiaTheme="minorEastAsia" w:hAnsiTheme="minorHAnsi" w:cstheme="minorBidi"/>
          <w:noProof/>
          <w:sz w:val="22"/>
          <w:rtl/>
        </w:rPr>
      </w:pPr>
      <w:hyperlink w:anchor="_Toc102894722" w:history="1">
        <w:r w:rsidR="00E40DD3" w:rsidRPr="00E40DD3">
          <w:rPr>
            <w:rStyle w:val="Hyperlink"/>
            <w:caps/>
            <w:noProof/>
            <w:spacing w:val="10"/>
            <w:rtl/>
          </w:rPr>
          <w:t>א.</w:t>
        </w:r>
        <w:r w:rsidR="00E40DD3" w:rsidRPr="00E40DD3">
          <w:rPr>
            <w:rFonts w:asciiTheme="minorHAnsi" w:eastAsiaTheme="minorEastAsia" w:hAnsiTheme="minorHAnsi" w:cstheme="minorBidi"/>
            <w:noProof/>
            <w:sz w:val="22"/>
            <w:rtl/>
          </w:rPr>
          <w:tab/>
        </w:r>
        <w:r w:rsidR="00E40DD3" w:rsidRPr="00E40DD3">
          <w:rPr>
            <w:rStyle w:val="Hyperlink"/>
            <w:caps/>
            <w:noProof/>
            <w:spacing w:val="10"/>
            <w:rtl/>
          </w:rPr>
          <w:t xml:space="preserve">שם </w:t>
        </w:r>
        <w:r w:rsidR="00E40DD3" w:rsidRPr="00E40DD3">
          <w:rPr>
            <w:rStyle w:val="Hyperlink"/>
            <w:noProof/>
            <w:rtl/>
          </w:rPr>
          <w:t>החוק</w:t>
        </w:r>
        <w:r w:rsidR="00E40DD3" w:rsidRPr="00E40DD3">
          <w:rPr>
            <w:rStyle w:val="Hyperlink"/>
            <w:caps/>
            <w:noProof/>
            <w:spacing w:val="10"/>
            <w:rtl/>
          </w:rPr>
          <w:t xml:space="preserve"> המוצע</w:t>
        </w:r>
        <w:r w:rsidR="00E40DD3" w:rsidRPr="00E40DD3">
          <w:rPr>
            <w:noProof/>
            <w:webHidden/>
            <w:rtl/>
          </w:rPr>
          <w:tab/>
        </w:r>
        <w:r w:rsidR="00E40DD3" w:rsidRPr="00E40DD3">
          <w:rPr>
            <w:noProof/>
            <w:webHidden/>
            <w:rtl/>
          </w:rPr>
          <w:fldChar w:fldCharType="begin"/>
        </w:r>
        <w:r w:rsidR="00E40DD3" w:rsidRPr="00E40DD3">
          <w:rPr>
            <w:noProof/>
            <w:webHidden/>
            <w:rtl/>
          </w:rPr>
          <w:instrText xml:space="preserve"> </w:instrText>
        </w:r>
        <w:r w:rsidR="00E40DD3" w:rsidRPr="00E40DD3">
          <w:rPr>
            <w:noProof/>
            <w:webHidden/>
          </w:rPr>
          <w:instrText>PAGEREF</w:instrText>
        </w:r>
        <w:r w:rsidR="00E40DD3" w:rsidRPr="00E40DD3">
          <w:rPr>
            <w:noProof/>
            <w:webHidden/>
            <w:rtl/>
          </w:rPr>
          <w:instrText xml:space="preserve"> _</w:instrText>
        </w:r>
        <w:r w:rsidR="00E40DD3" w:rsidRPr="00E40DD3">
          <w:rPr>
            <w:noProof/>
            <w:webHidden/>
          </w:rPr>
          <w:instrText>Toc102894722 \h</w:instrText>
        </w:r>
        <w:r w:rsidR="00E40DD3" w:rsidRPr="00E40DD3">
          <w:rPr>
            <w:noProof/>
            <w:webHidden/>
            <w:rtl/>
          </w:rPr>
          <w:instrText xml:space="preserve"> </w:instrText>
        </w:r>
        <w:r w:rsidR="00E40DD3" w:rsidRPr="00E40DD3">
          <w:rPr>
            <w:noProof/>
            <w:webHidden/>
            <w:rtl/>
          </w:rPr>
        </w:r>
        <w:r w:rsidR="00E40DD3" w:rsidRPr="00E40DD3">
          <w:rPr>
            <w:noProof/>
            <w:webHidden/>
            <w:rtl/>
          </w:rPr>
          <w:fldChar w:fldCharType="separate"/>
        </w:r>
        <w:r w:rsidR="00BC7B81">
          <w:rPr>
            <w:noProof/>
            <w:webHidden/>
            <w:rtl/>
          </w:rPr>
          <w:t>2</w:t>
        </w:r>
        <w:r w:rsidR="00E40DD3" w:rsidRPr="00E40DD3">
          <w:rPr>
            <w:noProof/>
            <w:webHidden/>
            <w:rtl/>
          </w:rPr>
          <w:fldChar w:fldCharType="end"/>
        </w:r>
      </w:hyperlink>
    </w:p>
    <w:p w:rsidR="00E40DD3" w:rsidRPr="00E40DD3" w:rsidRDefault="002F3D97" w:rsidP="00E40DD3">
      <w:pPr>
        <w:pStyle w:val="TOC3"/>
        <w:numPr>
          <w:ilvl w:val="0"/>
          <w:numId w:val="0"/>
        </w:numPr>
        <w:tabs>
          <w:tab w:val="left" w:pos="1274"/>
        </w:tabs>
        <w:ind w:left="811"/>
        <w:rPr>
          <w:rFonts w:asciiTheme="minorHAnsi" w:eastAsiaTheme="minorEastAsia" w:hAnsiTheme="minorHAnsi" w:cstheme="minorBidi"/>
          <w:noProof/>
          <w:sz w:val="22"/>
          <w:rtl/>
        </w:rPr>
      </w:pPr>
      <w:hyperlink w:anchor="_Toc102894723" w:history="1">
        <w:r w:rsidR="00E40DD3" w:rsidRPr="00E40DD3">
          <w:rPr>
            <w:rStyle w:val="Hyperlink"/>
            <w:caps/>
            <w:noProof/>
            <w:spacing w:val="10"/>
            <w:rtl/>
          </w:rPr>
          <w:t>ב.</w:t>
        </w:r>
        <w:r w:rsidR="00E40DD3" w:rsidRPr="00E40DD3">
          <w:rPr>
            <w:rFonts w:asciiTheme="minorHAnsi" w:eastAsiaTheme="minorEastAsia" w:hAnsiTheme="minorHAnsi" w:cstheme="minorBidi"/>
            <w:noProof/>
            <w:sz w:val="22"/>
            <w:rtl/>
          </w:rPr>
          <w:tab/>
        </w:r>
        <w:r w:rsidR="00E40DD3" w:rsidRPr="00E40DD3">
          <w:rPr>
            <w:rStyle w:val="Hyperlink"/>
            <w:caps/>
            <w:noProof/>
            <w:spacing w:val="10"/>
            <w:rtl/>
          </w:rPr>
          <w:t xml:space="preserve">מטרת החוק המוצע, </w:t>
        </w:r>
        <w:r w:rsidR="00E40DD3" w:rsidRPr="00E40DD3">
          <w:rPr>
            <w:rStyle w:val="Hyperlink"/>
            <w:noProof/>
            <w:rtl/>
          </w:rPr>
          <w:t>הצורך</w:t>
        </w:r>
        <w:r w:rsidR="00E40DD3" w:rsidRPr="00E40DD3">
          <w:rPr>
            <w:rStyle w:val="Hyperlink"/>
            <w:caps/>
            <w:noProof/>
            <w:spacing w:val="10"/>
            <w:rtl/>
          </w:rPr>
          <w:t xml:space="preserve"> בו, עיקרי הוראותיו והשפעתו על הדין הקיים</w:t>
        </w:r>
        <w:r w:rsidR="00E40DD3" w:rsidRPr="00E40DD3">
          <w:rPr>
            <w:noProof/>
            <w:webHidden/>
            <w:rtl/>
          </w:rPr>
          <w:tab/>
        </w:r>
        <w:r w:rsidR="00E40DD3" w:rsidRPr="00E40DD3">
          <w:rPr>
            <w:noProof/>
            <w:webHidden/>
            <w:rtl/>
          </w:rPr>
          <w:fldChar w:fldCharType="begin"/>
        </w:r>
        <w:r w:rsidR="00E40DD3" w:rsidRPr="00E40DD3">
          <w:rPr>
            <w:noProof/>
            <w:webHidden/>
            <w:rtl/>
          </w:rPr>
          <w:instrText xml:space="preserve"> </w:instrText>
        </w:r>
        <w:r w:rsidR="00E40DD3" w:rsidRPr="00E40DD3">
          <w:rPr>
            <w:noProof/>
            <w:webHidden/>
          </w:rPr>
          <w:instrText>PAGEREF</w:instrText>
        </w:r>
        <w:r w:rsidR="00E40DD3" w:rsidRPr="00E40DD3">
          <w:rPr>
            <w:noProof/>
            <w:webHidden/>
            <w:rtl/>
          </w:rPr>
          <w:instrText xml:space="preserve"> _</w:instrText>
        </w:r>
        <w:r w:rsidR="00E40DD3" w:rsidRPr="00E40DD3">
          <w:rPr>
            <w:noProof/>
            <w:webHidden/>
          </w:rPr>
          <w:instrText>Toc102894723 \h</w:instrText>
        </w:r>
        <w:r w:rsidR="00E40DD3" w:rsidRPr="00E40DD3">
          <w:rPr>
            <w:noProof/>
            <w:webHidden/>
            <w:rtl/>
          </w:rPr>
          <w:instrText xml:space="preserve"> </w:instrText>
        </w:r>
        <w:r w:rsidR="00E40DD3" w:rsidRPr="00E40DD3">
          <w:rPr>
            <w:noProof/>
            <w:webHidden/>
            <w:rtl/>
          </w:rPr>
        </w:r>
        <w:r w:rsidR="00E40DD3" w:rsidRPr="00E40DD3">
          <w:rPr>
            <w:noProof/>
            <w:webHidden/>
            <w:rtl/>
          </w:rPr>
          <w:fldChar w:fldCharType="separate"/>
        </w:r>
        <w:r w:rsidR="00BC7B81">
          <w:rPr>
            <w:noProof/>
            <w:webHidden/>
            <w:rtl/>
          </w:rPr>
          <w:t>2</w:t>
        </w:r>
        <w:r w:rsidR="00E40DD3" w:rsidRPr="00E40DD3">
          <w:rPr>
            <w:noProof/>
            <w:webHidden/>
            <w:rtl/>
          </w:rPr>
          <w:fldChar w:fldCharType="end"/>
        </w:r>
      </w:hyperlink>
    </w:p>
    <w:p w:rsidR="00E40DD3" w:rsidRPr="00E40DD3" w:rsidRDefault="002F3D97" w:rsidP="00E40DD3">
      <w:pPr>
        <w:pStyle w:val="TOC3"/>
        <w:numPr>
          <w:ilvl w:val="0"/>
          <w:numId w:val="0"/>
        </w:numPr>
        <w:tabs>
          <w:tab w:val="left" w:pos="1274"/>
          <w:tab w:val="left" w:pos="3086"/>
        </w:tabs>
        <w:ind w:left="811"/>
        <w:rPr>
          <w:rFonts w:asciiTheme="minorHAnsi" w:eastAsiaTheme="minorEastAsia" w:hAnsiTheme="minorHAnsi" w:cstheme="minorBidi"/>
          <w:noProof/>
          <w:sz w:val="22"/>
          <w:rtl/>
        </w:rPr>
      </w:pPr>
      <w:hyperlink w:anchor="_Toc102894724" w:history="1">
        <w:r w:rsidR="00E40DD3" w:rsidRPr="00E40DD3">
          <w:rPr>
            <w:rStyle w:val="Hyperlink"/>
            <w:caps/>
            <w:noProof/>
            <w:spacing w:val="10"/>
            <w:rtl/>
          </w:rPr>
          <w:t>ג.</w:t>
        </w:r>
        <w:r w:rsidR="00E40DD3" w:rsidRPr="00E40DD3">
          <w:rPr>
            <w:rFonts w:asciiTheme="minorHAnsi" w:eastAsiaTheme="minorEastAsia" w:hAnsiTheme="minorHAnsi" w:cstheme="minorBidi"/>
            <w:noProof/>
            <w:sz w:val="22"/>
            <w:rtl/>
          </w:rPr>
          <w:tab/>
        </w:r>
        <w:r w:rsidR="00E40DD3" w:rsidRPr="00E40DD3">
          <w:rPr>
            <w:rStyle w:val="Hyperlink"/>
            <w:caps/>
            <w:noProof/>
            <w:spacing w:val="10"/>
            <w:rtl/>
          </w:rPr>
          <w:t>השפעת החוק המוצע על קבוצות אוכלוסייה מסוימות</w:t>
        </w:r>
        <w:r w:rsidR="00E40DD3" w:rsidRPr="00E40DD3">
          <w:rPr>
            <w:noProof/>
            <w:webHidden/>
            <w:rtl/>
          </w:rPr>
          <w:tab/>
        </w:r>
        <w:r w:rsidR="00E40DD3" w:rsidRPr="00E40DD3">
          <w:rPr>
            <w:noProof/>
            <w:webHidden/>
            <w:rtl/>
          </w:rPr>
          <w:fldChar w:fldCharType="begin"/>
        </w:r>
        <w:r w:rsidR="00E40DD3" w:rsidRPr="00E40DD3">
          <w:rPr>
            <w:noProof/>
            <w:webHidden/>
            <w:rtl/>
          </w:rPr>
          <w:instrText xml:space="preserve"> </w:instrText>
        </w:r>
        <w:r w:rsidR="00E40DD3" w:rsidRPr="00E40DD3">
          <w:rPr>
            <w:noProof/>
            <w:webHidden/>
          </w:rPr>
          <w:instrText>PAGEREF</w:instrText>
        </w:r>
        <w:r w:rsidR="00E40DD3" w:rsidRPr="00E40DD3">
          <w:rPr>
            <w:noProof/>
            <w:webHidden/>
            <w:rtl/>
          </w:rPr>
          <w:instrText xml:space="preserve"> _</w:instrText>
        </w:r>
        <w:r w:rsidR="00E40DD3" w:rsidRPr="00E40DD3">
          <w:rPr>
            <w:noProof/>
            <w:webHidden/>
          </w:rPr>
          <w:instrText>Toc102894724 \h</w:instrText>
        </w:r>
        <w:r w:rsidR="00E40DD3" w:rsidRPr="00E40DD3">
          <w:rPr>
            <w:noProof/>
            <w:webHidden/>
            <w:rtl/>
          </w:rPr>
          <w:instrText xml:space="preserve"> </w:instrText>
        </w:r>
        <w:r w:rsidR="00E40DD3" w:rsidRPr="00E40DD3">
          <w:rPr>
            <w:noProof/>
            <w:webHidden/>
            <w:rtl/>
          </w:rPr>
        </w:r>
        <w:r w:rsidR="00E40DD3" w:rsidRPr="00E40DD3">
          <w:rPr>
            <w:noProof/>
            <w:webHidden/>
            <w:rtl/>
          </w:rPr>
          <w:fldChar w:fldCharType="separate"/>
        </w:r>
        <w:r w:rsidR="00BC7B81">
          <w:rPr>
            <w:noProof/>
            <w:webHidden/>
            <w:rtl/>
          </w:rPr>
          <w:t>4</w:t>
        </w:r>
        <w:r w:rsidR="00E40DD3" w:rsidRPr="00E40DD3">
          <w:rPr>
            <w:noProof/>
            <w:webHidden/>
            <w:rtl/>
          </w:rPr>
          <w:fldChar w:fldCharType="end"/>
        </w:r>
      </w:hyperlink>
    </w:p>
    <w:p w:rsidR="00E40DD3" w:rsidRPr="00E40DD3" w:rsidRDefault="002F3D97" w:rsidP="00E40DD3">
      <w:pPr>
        <w:pStyle w:val="TOC3"/>
        <w:numPr>
          <w:ilvl w:val="0"/>
          <w:numId w:val="0"/>
        </w:numPr>
        <w:tabs>
          <w:tab w:val="left" w:pos="1274"/>
          <w:tab w:val="left" w:pos="1728"/>
        </w:tabs>
        <w:ind w:left="1274" w:hanging="463"/>
        <w:rPr>
          <w:rFonts w:asciiTheme="minorHAnsi" w:eastAsiaTheme="minorEastAsia" w:hAnsiTheme="minorHAnsi" w:cstheme="minorBidi"/>
          <w:noProof/>
          <w:sz w:val="22"/>
          <w:rtl/>
        </w:rPr>
      </w:pPr>
      <w:hyperlink w:anchor="_Toc102894725" w:history="1">
        <w:r w:rsidR="00E40DD3" w:rsidRPr="00E40DD3">
          <w:rPr>
            <w:rStyle w:val="Hyperlink"/>
            <w:caps/>
            <w:noProof/>
            <w:spacing w:val="10"/>
            <w:rtl/>
          </w:rPr>
          <w:t>ד.</w:t>
        </w:r>
        <w:r w:rsidR="00E40DD3" w:rsidRPr="00E40DD3">
          <w:rPr>
            <w:rFonts w:asciiTheme="minorHAnsi" w:eastAsiaTheme="minorEastAsia" w:hAnsiTheme="minorHAnsi" w:cstheme="minorBidi"/>
            <w:noProof/>
            <w:sz w:val="22"/>
            <w:rtl/>
          </w:rPr>
          <w:tab/>
        </w:r>
        <w:r w:rsidR="00E40DD3" w:rsidRPr="00E40DD3">
          <w:rPr>
            <w:rStyle w:val="Hyperlink"/>
            <w:caps/>
            <w:noProof/>
            <w:spacing w:val="10"/>
            <w:rtl/>
          </w:rPr>
          <w:t xml:space="preserve">השפעת </w:t>
        </w:r>
        <w:r w:rsidR="00E40DD3" w:rsidRPr="00E40DD3">
          <w:rPr>
            <w:rStyle w:val="Hyperlink"/>
            <w:noProof/>
            <w:rtl/>
          </w:rPr>
          <w:t>תזכיר</w:t>
        </w:r>
        <w:r w:rsidR="00E40DD3" w:rsidRPr="00E40DD3">
          <w:rPr>
            <w:rStyle w:val="Hyperlink"/>
            <w:caps/>
            <w:noProof/>
            <w:spacing w:val="10"/>
            <w:rtl/>
          </w:rPr>
          <w:t xml:space="preserve"> החוק המוצע על התקציב ועל התקן המנהלי של המשרד היוזם, משרדים אחרים ורשויות אחרות</w:t>
        </w:r>
        <w:r w:rsidR="00E40DD3" w:rsidRPr="00E40DD3">
          <w:rPr>
            <w:noProof/>
            <w:webHidden/>
            <w:rtl/>
          </w:rPr>
          <w:tab/>
        </w:r>
        <w:r w:rsidR="00E40DD3" w:rsidRPr="00E40DD3">
          <w:rPr>
            <w:noProof/>
            <w:webHidden/>
            <w:rtl/>
          </w:rPr>
          <w:fldChar w:fldCharType="begin"/>
        </w:r>
        <w:r w:rsidR="00E40DD3" w:rsidRPr="00E40DD3">
          <w:rPr>
            <w:noProof/>
            <w:webHidden/>
            <w:rtl/>
          </w:rPr>
          <w:instrText xml:space="preserve"> </w:instrText>
        </w:r>
        <w:r w:rsidR="00E40DD3" w:rsidRPr="00E40DD3">
          <w:rPr>
            <w:noProof/>
            <w:webHidden/>
          </w:rPr>
          <w:instrText>PAGEREF</w:instrText>
        </w:r>
        <w:r w:rsidR="00E40DD3" w:rsidRPr="00E40DD3">
          <w:rPr>
            <w:noProof/>
            <w:webHidden/>
            <w:rtl/>
          </w:rPr>
          <w:instrText xml:space="preserve"> _</w:instrText>
        </w:r>
        <w:r w:rsidR="00E40DD3" w:rsidRPr="00E40DD3">
          <w:rPr>
            <w:noProof/>
            <w:webHidden/>
          </w:rPr>
          <w:instrText>Toc102894725 \h</w:instrText>
        </w:r>
        <w:r w:rsidR="00E40DD3" w:rsidRPr="00E40DD3">
          <w:rPr>
            <w:noProof/>
            <w:webHidden/>
            <w:rtl/>
          </w:rPr>
          <w:instrText xml:space="preserve"> </w:instrText>
        </w:r>
        <w:r w:rsidR="00E40DD3" w:rsidRPr="00E40DD3">
          <w:rPr>
            <w:noProof/>
            <w:webHidden/>
            <w:rtl/>
          </w:rPr>
        </w:r>
        <w:r w:rsidR="00E40DD3" w:rsidRPr="00E40DD3">
          <w:rPr>
            <w:noProof/>
            <w:webHidden/>
            <w:rtl/>
          </w:rPr>
          <w:fldChar w:fldCharType="separate"/>
        </w:r>
        <w:r w:rsidR="00BC7B81">
          <w:rPr>
            <w:noProof/>
            <w:webHidden/>
            <w:rtl/>
          </w:rPr>
          <w:t>4</w:t>
        </w:r>
        <w:r w:rsidR="00E40DD3" w:rsidRPr="00E40DD3">
          <w:rPr>
            <w:noProof/>
            <w:webHidden/>
            <w:rtl/>
          </w:rPr>
          <w:fldChar w:fldCharType="end"/>
        </w:r>
      </w:hyperlink>
    </w:p>
    <w:p w:rsidR="00E40DD3" w:rsidRDefault="002F3D97" w:rsidP="00E40DD3">
      <w:pPr>
        <w:pStyle w:val="TOC3"/>
        <w:numPr>
          <w:ilvl w:val="0"/>
          <w:numId w:val="0"/>
        </w:numPr>
        <w:tabs>
          <w:tab w:val="left" w:pos="1274"/>
        </w:tabs>
        <w:ind w:left="811"/>
        <w:rPr>
          <w:rFonts w:asciiTheme="minorHAnsi" w:eastAsiaTheme="minorEastAsia" w:hAnsiTheme="minorHAnsi" w:cstheme="minorBidi"/>
          <w:noProof/>
          <w:sz w:val="22"/>
          <w:rtl/>
        </w:rPr>
      </w:pPr>
      <w:hyperlink w:anchor="_Toc102894726" w:history="1">
        <w:r w:rsidR="00E40DD3" w:rsidRPr="00E40DD3">
          <w:rPr>
            <w:rStyle w:val="Hyperlink"/>
            <w:caps/>
            <w:noProof/>
            <w:spacing w:val="10"/>
            <w:rtl/>
          </w:rPr>
          <w:t>ה.</w:t>
        </w:r>
        <w:r w:rsidR="00E40DD3">
          <w:rPr>
            <w:rFonts w:asciiTheme="minorHAnsi" w:eastAsiaTheme="minorEastAsia" w:hAnsiTheme="minorHAnsi" w:cstheme="minorBidi"/>
            <w:noProof/>
            <w:sz w:val="22"/>
            <w:rtl/>
          </w:rPr>
          <w:tab/>
        </w:r>
        <w:r w:rsidR="00E40DD3" w:rsidRPr="00E40DD3">
          <w:rPr>
            <w:rStyle w:val="Hyperlink"/>
            <w:caps/>
            <w:noProof/>
            <w:spacing w:val="10"/>
            <w:rtl/>
          </w:rPr>
          <w:t xml:space="preserve">להלן נוסח </w:t>
        </w:r>
        <w:r w:rsidR="00E40DD3" w:rsidRPr="00E40DD3">
          <w:rPr>
            <w:rStyle w:val="Hyperlink"/>
            <w:noProof/>
            <w:rtl/>
          </w:rPr>
          <w:t>תזכיר</w:t>
        </w:r>
        <w:r w:rsidR="00E40DD3" w:rsidRPr="00E40DD3">
          <w:rPr>
            <w:rStyle w:val="Hyperlink"/>
            <w:caps/>
            <w:noProof/>
            <w:spacing w:val="10"/>
            <w:rtl/>
          </w:rPr>
          <w:t xml:space="preserve"> החוק המוצע ודברי הסבר.</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Toc102894726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4</w:t>
        </w:r>
        <w:r w:rsidR="00E40DD3">
          <w:rPr>
            <w:noProof/>
            <w:webHidden/>
            <w:rtl/>
          </w:rPr>
          <w:fldChar w:fldCharType="end"/>
        </w:r>
      </w:hyperlink>
    </w:p>
    <w:p w:rsidR="00E40DD3" w:rsidRDefault="002F3D97" w:rsidP="00E40DD3">
      <w:pPr>
        <w:pStyle w:val="TOC1"/>
        <w:rPr>
          <w:rFonts w:asciiTheme="minorHAnsi" w:eastAsiaTheme="minorEastAsia" w:hAnsiTheme="minorHAnsi" w:cstheme="minorBidi"/>
          <w:bCs w:val="0"/>
          <w:noProof/>
          <w:sz w:val="22"/>
          <w:rtl/>
        </w:rPr>
      </w:pPr>
      <w:hyperlink w:anchor="_Toc102894727" w:history="1">
        <w:r w:rsidR="00E40DD3" w:rsidRPr="00056AEA">
          <w:rPr>
            <w:rStyle w:val="Hyperlink"/>
            <w:rFonts w:asciiTheme="majorHAnsi" w:eastAsiaTheme="majorEastAsia" w:hAnsiTheme="majorHAnsi"/>
            <w:noProof/>
            <w:rtl/>
          </w:rPr>
          <w:t>תזכיר חוק הפיקוח על שירותים פיננסיים (ביטוח) (תיקון מס' __)(הוספת ענף ביטוח בריאות לרישיון סוכן), התשפ"ב-2022</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Toc102894727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5</w:t>
        </w:r>
        <w:r w:rsidR="00E40DD3">
          <w:rPr>
            <w:noProof/>
            <w:webHidden/>
            <w:rtl/>
          </w:rPr>
          <w:fldChar w:fldCharType="end"/>
        </w:r>
      </w:hyperlink>
    </w:p>
    <w:p w:rsidR="00E40DD3" w:rsidRDefault="002F3D97" w:rsidP="00E40DD3">
      <w:pPr>
        <w:pStyle w:val="TOC3"/>
        <w:rPr>
          <w:rFonts w:asciiTheme="minorHAnsi" w:eastAsiaTheme="minorEastAsia" w:hAnsiTheme="minorHAnsi" w:cstheme="minorBidi"/>
          <w:noProof/>
          <w:sz w:val="22"/>
          <w:rtl/>
        </w:rPr>
      </w:pPr>
      <w:hyperlink w:anchor="_Toc102894728" w:history="1">
        <w:r w:rsidR="00E40DD3" w:rsidRPr="00056AEA">
          <w:rPr>
            <w:rStyle w:val="Hyperlink"/>
            <w:noProof/>
            <w:rtl/>
          </w:rPr>
          <w:t>מחיקת סעיף 27</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Toc102894728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5</w:t>
        </w:r>
        <w:r w:rsidR="00E40DD3">
          <w:rPr>
            <w:noProof/>
            <w:webHidden/>
            <w:rtl/>
          </w:rPr>
          <w:fldChar w:fldCharType="end"/>
        </w:r>
      </w:hyperlink>
    </w:p>
    <w:p w:rsidR="00E40DD3" w:rsidRDefault="002F3D97" w:rsidP="00E40DD3">
      <w:pPr>
        <w:pStyle w:val="TOC3"/>
        <w:rPr>
          <w:rFonts w:asciiTheme="minorHAnsi" w:eastAsiaTheme="minorEastAsia" w:hAnsiTheme="minorHAnsi" w:cstheme="minorBidi"/>
          <w:noProof/>
          <w:sz w:val="22"/>
          <w:rtl/>
        </w:rPr>
      </w:pPr>
      <w:hyperlink w:anchor="_Toc102894729" w:history="1">
        <w:r w:rsidR="00E40DD3" w:rsidRPr="00056AEA">
          <w:rPr>
            <w:rStyle w:val="Hyperlink"/>
            <w:noProof/>
            <w:rtl/>
          </w:rPr>
          <w:t>תיקון סעיף 28</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Toc102894729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5</w:t>
        </w:r>
        <w:r w:rsidR="00E40DD3">
          <w:rPr>
            <w:noProof/>
            <w:webHidden/>
            <w:rtl/>
          </w:rPr>
          <w:fldChar w:fldCharType="end"/>
        </w:r>
      </w:hyperlink>
    </w:p>
    <w:p w:rsidR="00E40DD3" w:rsidRDefault="002F3D97" w:rsidP="00E40DD3">
      <w:pPr>
        <w:pStyle w:val="TOC3"/>
        <w:rPr>
          <w:rFonts w:asciiTheme="minorHAnsi" w:eastAsiaTheme="minorEastAsia" w:hAnsiTheme="minorHAnsi" w:cstheme="minorBidi"/>
          <w:noProof/>
          <w:sz w:val="22"/>
          <w:rtl/>
        </w:rPr>
      </w:pPr>
      <w:hyperlink w:anchor="_Toc102894730" w:history="1">
        <w:r w:rsidR="00E40DD3" w:rsidRPr="00056AEA">
          <w:rPr>
            <w:rStyle w:val="Hyperlink"/>
            <w:noProof/>
            <w:rtl/>
          </w:rPr>
          <w:t>הוראת מעבר</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Toc102894730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5</w:t>
        </w:r>
        <w:r w:rsidR="00E40DD3">
          <w:rPr>
            <w:noProof/>
            <w:webHidden/>
            <w:rtl/>
          </w:rPr>
          <w:fldChar w:fldCharType="end"/>
        </w:r>
      </w:hyperlink>
    </w:p>
    <w:p w:rsidR="00E40DD3" w:rsidRDefault="002F3D97" w:rsidP="00E40DD3">
      <w:pPr>
        <w:pStyle w:val="TOC2"/>
        <w:rPr>
          <w:rFonts w:asciiTheme="minorHAnsi" w:eastAsiaTheme="minorEastAsia" w:hAnsiTheme="minorHAnsi" w:cstheme="minorBidi"/>
          <w:noProof/>
          <w:sz w:val="22"/>
          <w:rtl/>
        </w:rPr>
      </w:pPr>
      <w:hyperlink w:anchor="_Toc102894731" w:history="1">
        <w:r w:rsidR="00E40DD3" w:rsidRPr="00056AEA">
          <w:rPr>
            <w:rStyle w:val="Hyperlink"/>
            <w:noProof/>
            <w:rtl/>
          </w:rPr>
          <w:t>דברי הסבר</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Toc102894731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6</w:t>
        </w:r>
        <w:r w:rsidR="00E40DD3">
          <w:rPr>
            <w:noProof/>
            <w:webHidden/>
            <w:rtl/>
          </w:rPr>
          <w:fldChar w:fldCharType="end"/>
        </w:r>
      </w:hyperlink>
    </w:p>
    <w:p w:rsidR="00E40DD3" w:rsidRDefault="002F3D97" w:rsidP="00E40DD3">
      <w:pPr>
        <w:pStyle w:val="TOC2"/>
        <w:rPr>
          <w:rFonts w:asciiTheme="minorHAnsi" w:eastAsiaTheme="minorEastAsia" w:hAnsiTheme="minorHAnsi" w:cstheme="minorBidi"/>
          <w:noProof/>
          <w:sz w:val="22"/>
          <w:rtl/>
        </w:rPr>
      </w:pPr>
      <w:hyperlink w:anchor="_Toc102894732" w:history="1">
        <w:r w:rsidR="00E40DD3" w:rsidRPr="00056AEA">
          <w:rPr>
            <w:rStyle w:val="Hyperlink"/>
            <w:noProof/>
            <w:rtl/>
          </w:rPr>
          <w:t>לסעיף 1</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Toc102894732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6</w:t>
        </w:r>
        <w:r w:rsidR="00E40DD3">
          <w:rPr>
            <w:noProof/>
            <w:webHidden/>
            <w:rtl/>
          </w:rPr>
          <w:fldChar w:fldCharType="end"/>
        </w:r>
      </w:hyperlink>
    </w:p>
    <w:p w:rsidR="00E40DD3" w:rsidRDefault="002F3D97" w:rsidP="00E40DD3">
      <w:pPr>
        <w:pStyle w:val="TOC2"/>
        <w:rPr>
          <w:rFonts w:asciiTheme="minorHAnsi" w:eastAsiaTheme="minorEastAsia" w:hAnsiTheme="minorHAnsi" w:cstheme="minorBidi"/>
          <w:noProof/>
          <w:sz w:val="22"/>
          <w:rtl/>
        </w:rPr>
      </w:pPr>
      <w:hyperlink w:anchor="_Toc102894733" w:history="1">
        <w:r w:rsidR="00E40DD3" w:rsidRPr="00056AEA">
          <w:rPr>
            <w:rStyle w:val="Hyperlink"/>
            <w:noProof/>
            <w:rtl/>
          </w:rPr>
          <w:t>לסעיף 2</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Toc102894733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6</w:t>
        </w:r>
        <w:r w:rsidR="00E40DD3">
          <w:rPr>
            <w:noProof/>
            <w:webHidden/>
            <w:rtl/>
          </w:rPr>
          <w:fldChar w:fldCharType="end"/>
        </w:r>
      </w:hyperlink>
    </w:p>
    <w:p w:rsidR="00E40DD3" w:rsidRDefault="002F3D97" w:rsidP="00E40DD3">
      <w:pPr>
        <w:pStyle w:val="TOC2"/>
        <w:rPr>
          <w:rFonts w:asciiTheme="minorHAnsi" w:eastAsiaTheme="minorEastAsia" w:hAnsiTheme="minorHAnsi" w:cstheme="minorBidi"/>
          <w:noProof/>
          <w:sz w:val="22"/>
          <w:rtl/>
        </w:rPr>
      </w:pPr>
      <w:hyperlink w:anchor="_Toc102894734" w:history="1">
        <w:r w:rsidR="00E40DD3" w:rsidRPr="00056AEA">
          <w:rPr>
            <w:rStyle w:val="Hyperlink"/>
            <w:noProof/>
            <w:rtl/>
          </w:rPr>
          <w:t>לסעיף 3</w:t>
        </w:r>
        <w:r w:rsidR="00E40DD3">
          <w:rPr>
            <w:noProof/>
            <w:webHidden/>
            <w:rtl/>
          </w:rPr>
          <w:tab/>
        </w:r>
        <w:r w:rsidR="00E40DD3">
          <w:rPr>
            <w:noProof/>
            <w:webHidden/>
            <w:rtl/>
          </w:rPr>
          <w:fldChar w:fldCharType="begin"/>
        </w:r>
        <w:r w:rsidR="00E40DD3">
          <w:rPr>
            <w:noProof/>
            <w:webHidden/>
            <w:rtl/>
          </w:rPr>
          <w:instrText xml:space="preserve"> </w:instrText>
        </w:r>
        <w:r w:rsidR="00E40DD3">
          <w:rPr>
            <w:noProof/>
            <w:webHidden/>
          </w:rPr>
          <w:instrText>PAGEREF</w:instrText>
        </w:r>
        <w:r w:rsidR="00E40DD3">
          <w:rPr>
            <w:noProof/>
            <w:webHidden/>
            <w:rtl/>
          </w:rPr>
          <w:instrText xml:space="preserve"> _</w:instrText>
        </w:r>
        <w:r w:rsidR="00E40DD3">
          <w:rPr>
            <w:noProof/>
            <w:webHidden/>
          </w:rPr>
          <w:instrText>Toc102894734 \h</w:instrText>
        </w:r>
        <w:r w:rsidR="00E40DD3">
          <w:rPr>
            <w:noProof/>
            <w:webHidden/>
            <w:rtl/>
          </w:rPr>
          <w:instrText xml:space="preserve"> </w:instrText>
        </w:r>
        <w:r w:rsidR="00E40DD3">
          <w:rPr>
            <w:noProof/>
            <w:webHidden/>
            <w:rtl/>
          </w:rPr>
        </w:r>
        <w:r w:rsidR="00E40DD3">
          <w:rPr>
            <w:noProof/>
            <w:webHidden/>
            <w:rtl/>
          </w:rPr>
          <w:fldChar w:fldCharType="separate"/>
        </w:r>
        <w:r w:rsidR="00BC7B81">
          <w:rPr>
            <w:noProof/>
            <w:webHidden/>
            <w:rtl/>
          </w:rPr>
          <w:t>7</w:t>
        </w:r>
        <w:r w:rsidR="00E40DD3">
          <w:rPr>
            <w:noProof/>
            <w:webHidden/>
            <w:rtl/>
          </w:rPr>
          <w:fldChar w:fldCharType="end"/>
        </w:r>
      </w:hyperlink>
    </w:p>
    <w:p w:rsidR="00E40DD3" w:rsidRDefault="00E40DD3" w:rsidP="00E40DD3">
      <w:pPr>
        <w:rPr>
          <w:snapToGrid w:val="0"/>
          <w:rtl/>
        </w:rPr>
      </w:pPr>
      <w:r>
        <w:rPr>
          <w:rtl/>
        </w:rPr>
        <w:fldChar w:fldCharType="end"/>
      </w:r>
      <w:r>
        <w:rPr>
          <w:rtl/>
        </w:rPr>
        <w:br w:type="page"/>
      </w:r>
    </w:p>
    <w:p w:rsidR="009435A5" w:rsidRDefault="009435A5" w:rsidP="009435A5">
      <w:pPr>
        <w:rPr>
          <w:rtl/>
        </w:rPr>
      </w:pPr>
    </w:p>
    <w:p w:rsidR="00325A9B" w:rsidRPr="003526E8" w:rsidRDefault="00325A9B" w:rsidP="00E40DD3">
      <w:pPr>
        <w:pStyle w:val="HeadHatzaotHok"/>
        <w:keepNext w:val="0"/>
        <w:keepLines w:val="0"/>
        <w:rPr>
          <w:rFonts w:eastAsiaTheme="minorHAnsi"/>
          <w:b w:val="0"/>
          <w:bCs w:val="0"/>
          <w:caps/>
          <w:spacing w:val="15"/>
          <w:sz w:val="36"/>
          <w:szCs w:val="36"/>
        </w:rPr>
      </w:pPr>
      <w:bookmarkStart w:id="1" w:name="Start"/>
      <w:bookmarkStart w:id="2" w:name="_Toc503130993"/>
      <w:bookmarkStart w:id="3" w:name="_Toc102894335"/>
      <w:bookmarkStart w:id="4" w:name="_Toc102894721"/>
      <w:bookmarkEnd w:id="1"/>
      <w:r w:rsidRPr="00E40DD3">
        <w:rPr>
          <w:rStyle w:val="10"/>
          <w:rFonts w:hint="cs"/>
          <w:b w:val="0"/>
          <w:bCs/>
          <w:sz w:val="36"/>
          <w:rtl/>
        </w:rPr>
        <w:t>תזכיר</w:t>
      </w:r>
      <w:r w:rsidRPr="00E40DD3">
        <w:rPr>
          <w:rFonts w:eastAsiaTheme="minorHAnsi"/>
          <w:b w:val="0"/>
          <w:bCs w:val="0"/>
          <w:caps/>
          <w:spacing w:val="15"/>
          <w:sz w:val="36"/>
          <w:szCs w:val="36"/>
          <w:rtl/>
        </w:rPr>
        <w:t xml:space="preserve"> </w:t>
      </w:r>
      <w:r w:rsidRPr="003526E8">
        <w:rPr>
          <w:rFonts w:eastAsiaTheme="minorHAnsi" w:hint="cs"/>
          <w:caps/>
          <w:spacing w:val="15"/>
          <w:sz w:val="36"/>
          <w:szCs w:val="36"/>
          <w:rtl/>
        </w:rPr>
        <w:t>חוק</w:t>
      </w:r>
      <w:bookmarkEnd w:id="2"/>
      <w:bookmarkEnd w:id="3"/>
      <w:bookmarkEnd w:id="4"/>
    </w:p>
    <w:p w:rsidR="00325A9B" w:rsidRPr="003526E8" w:rsidRDefault="00325A9B" w:rsidP="00325A9B">
      <w:pPr>
        <w:rPr>
          <w:rtl/>
        </w:rPr>
      </w:pPr>
    </w:p>
    <w:p w:rsidR="00325A9B" w:rsidRPr="00E40DD3" w:rsidRDefault="00325A9B" w:rsidP="00E40DD3">
      <w:pPr>
        <w:pStyle w:val="TableSideHeading"/>
        <w:keepLines w:val="0"/>
        <w:numPr>
          <w:ilvl w:val="0"/>
          <w:numId w:val="29"/>
        </w:numPr>
        <w:rPr>
          <w:rFonts w:eastAsiaTheme="minorHAnsi"/>
          <w:b/>
          <w:bCs/>
          <w:caps/>
          <w:spacing w:val="10"/>
          <w:sz w:val="26"/>
          <w:rtl/>
        </w:rPr>
      </w:pPr>
      <w:bookmarkStart w:id="5" w:name="_Toc102894722"/>
      <w:r w:rsidRPr="00E40DD3">
        <w:rPr>
          <w:rFonts w:eastAsiaTheme="minorHAnsi"/>
          <w:b/>
          <w:bCs/>
          <w:caps/>
          <w:spacing w:val="10"/>
          <w:sz w:val="26"/>
          <w:rtl/>
        </w:rPr>
        <w:t xml:space="preserve">שם </w:t>
      </w:r>
      <w:r w:rsidRPr="00E40DD3">
        <w:rPr>
          <w:b/>
          <w:bCs/>
          <w:sz w:val="26"/>
          <w:rtl/>
        </w:rPr>
        <w:t>החוק</w:t>
      </w:r>
      <w:r w:rsidRPr="00E40DD3">
        <w:rPr>
          <w:rFonts w:eastAsiaTheme="minorHAnsi"/>
          <w:b/>
          <w:bCs/>
          <w:caps/>
          <w:spacing w:val="10"/>
          <w:sz w:val="26"/>
          <w:rtl/>
        </w:rPr>
        <w:t xml:space="preserve"> המוצע</w:t>
      </w:r>
      <w:bookmarkEnd w:id="5"/>
    </w:p>
    <w:p w:rsidR="00325A9B" w:rsidRDefault="00632251" w:rsidP="00B96F76">
      <w:pPr>
        <w:tabs>
          <w:tab w:val="left" w:pos="1020"/>
        </w:tabs>
        <w:snapToGrid w:val="0"/>
        <w:rPr>
          <w:rFonts w:ascii="Arial" w:eastAsia="Arial Unicode MS" w:hAnsi="Arial"/>
          <w:szCs w:val="26"/>
          <w:rtl/>
        </w:rPr>
      </w:pPr>
      <w:r>
        <w:rPr>
          <w:rFonts w:ascii="Arial" w:eastAsia="Arial Unicode MS" w:hAnsi="Arial" w:hint="cs"/>
          <w:szCs w:val="26"/>
          <w:rtl/>
        </w:rPr>
        <w:t>תזכיר</w:t>
      </w:r>
      <w:r w:rsidR="00325A9B" w:rsidRPr="007F0D0A">
        <w:rPr>
          <w:rFonts w:ascii="Arial" w:eastAsia="Arial Unicode MS" w:hAnsi="Arial"/>
          <w:szCs w:val="26"/>
          <w:rtl/>
        </w:rPr>
        <w:t xml:space="preserve"> חוק הפיקוח על שירותים פיננסיים (ביטוח) (תיקון מס' </w:t>
      </w:r>
      <w:r w:rsidR="00B96F76">
        <w:rPr>
          <w:rFonts w:ascii="Arial" w:eastAsia="Arial Unicode MS" w:hAnsi="Arial" w:hint="cs"/>
          <w:szCs w:val="26"/>
          <w:rtl/>
        </w:rPr>
        <w:t>__</w:t>
      </w:r>
      <w:r w:rsidR="00325A9B" w:rsidRPr="007F0D0A">
        <w:rPr>
          <w:rFonts w:ascii="Arial" w:eastAsia="Arial Unicode MS" w:hAnsi="Arial"/>
          <w:szCs w:val="26"/>
          <w:rtl/>
        </w:rPr>
        <w:t>)(הוספת ענף ביטוח בריאות לרישיון סוכן), התשפ"</w:t>
      </w:r>
      <w:r>
        <w:rPr>
          <w:rFonts w:ascii="Arial" w:eastAsia="Arial Unicode MS" w:hAnsi="Arial" w:hint="cs"/>
          <w:szCs w:val="26"/>
          <w:rtl/>
        </w:rPr>
        <w:t>ב</w:t>
      </w:r>
      <w:r w:rsidR="00325A9B" w:rsidRPr="007F0D0A">
        <w:rPr>
          <w:rFonts w:ascii="Arial" w:eastAsia="Arial Unicode MS" w:hAnsi="Arial"/>
          <w:szCs w:val="26"/>
          <w:rtl/>
        </w:rPr>
        <w:t>-</w:t>
      </w:r>
      <w:r w:rsidR="00B96F76" w:rsidRPr="007F0D0A">
        <w:rPr>
          <w:rFonts w:ascii="Arial" w:eastAsia="Arial Unicode MS" w:hAnsi="Arial"/>
          <w:szCs w:val="26"/>
          <w:rtl/>
        </w:rPr>
        <w:t>202</w:t>
      </w:r>
      <w:r w:rsidR="00B96F76">
        <w:rPr>
          <w:rFonts w:ascii="Arial" w:eastAsia="Arial Unicode MS" w:hAnsi="Arial" w:hint="cs"/>
          <w:szCs w:val="26"/>
          <w:rtl/>
        </w:rPr>
        <w:t>2</w:t>
      </w:r>
      <w:r w:rsidR="00325A9B">
        <w:rPr>
          <w:rFonts w:ascii="Arial" w:eastAsia="Arial Unicode MS" w:hAnsi="Arial" w:hint="cs"/>
          <w:szCs w:val="26"/>
          <w:rtl/>
        </w:rPr>
        <w:t>.</w:t>
      </w:r>
    </w:p>
    <w:p w:rsidR="00325A9B" w:rsidRPr="007F0D0A" w:rsidRDefault="00325A9B" w:rsidP="00325A9B">
      <w:pPr>
        <w:tabs>
          <w:tab w:val="left" w:pos="1020"/>
        </w:tabs>
        <w:snapToGrid w:val="0"/>
        <w:rPr>
          <w:rFonts w:ascii="Arial" w:eastAsia="Arial Unicode MS" w:hAnsi="Arial"/>
          <w:szCs w:val="26"/>
          <w:rtl/>
        </w:rPr>
      </w:pPr>
    </w:p>
    <w:p w:rsidR="00325A9B" w:rsidRPr="003526E8" w:rsidRDefault="00325A9B" w:rsidP="00E40DD3">
      <w:pPr>
        <w:pStyle w:val="TableSideHeading"/>
        <w:keepLines w:val="0"/>
        <w:numPr>
          <w:ilvl w:val="0"/>
          <w:numId w:val="29"/>
        </w:numPr>
        <w:rPr>
          <w:rFonts w:eastAsiaTheme="minorHAnsi"/>
          <w:b/>
          <w:bCs/>
          <w:caps/>
          <w:spacing w:val="10"/>
          <w:sz w:val="24"/>
          <w:rtl/>
        </w:rPr>
      </w:pPr>
      <w:bookmarkStart w:id="6" w:name="_Toc102894723"/>
      <w:r w:rsidRPr="003526E8">
        <w:rPr>
          <w:rFonts w:eastAsiaTheme="minorHAnsi"/>
          <w:b/>
          <w:bCs/>
          <w:caps/>
          <w:spacing w:val="10"/>
          <w:sz w:val="24"/>
          <w:rtl/>
        </w:rPr>
        <w:t xml:space="preserve">מטרת החוק </w:t>
      </w:r>
      <w:r w:rsidRPr="00E40DD3">
        <w:rPr>
          <w:rFonts w:eastAsiaTheme="minorHAnsi"/>
          <w:b/>
          <w:bCs/>
          <w:caps/>
          <w:spacing w:val="10"/>
          <w:sz w:val="24"/>
          <w:rtl/>
        </w:rPr>
        <w:t xml:space="preserve">המוצע, </w:t>
      </w:r>
      <w:r w:rsidRPr="00E40DD3">
        <w:rPr>
          <w:b/>
          <w:bCs/>
          <w:rtl/>
        </w:rPr>
        <w:t>הצורך</w:t>
      </w:r>
      <w:r w:rsidRPr="003526E8">
        <w:rPr>
          <w:rFonts w:eastAsiaTheme="minorHAnsi"/>
          <w:b/>
          <w:bCs/>
          <w:caps/>
          <w:spacing w:val="10"/>
          <w:sz w:val="24"/>
          <w:rtl/>
        </w:rPr>
        <w:t xml:space="preserve"> בו, עיקרי הוראותיו והשפעתו על הדין הקיים</w:t>
      </w:r>
      <w:bookmarkEnd w:id="6"/>
    </w:p>
    <w:p w:rsidR="00325A9B" w:rsidRPr="003526E8" w:rsidRDefault="00325A9B" w:rsidP="00B96F76">
      <w:pPr>
        <w:tabs>
          <w:tab w:val="left" w:pos="1020"/>
        </w:tabs>
        <w:snapToGrid w:val="0"/>
        <w:rPr>
          <w:rFonts w:ascii="Arial" w:eastAsia="Arial Unicode MS" w:hAnsi="Arial"/>
          <w:szCs w:val="26"/>
          <w:rtl/>
        </w:rPr>
      </w:pPr>
      <w:r w:rsidRPr="003526E8">
        <w:rPr>
          <w:rFonts w:ascii="Arial" w:eastAsia="Arial Unicode MS" w:hAnsi="Arial" w:hint="cs"/>
          <w:szCs w:val="26"/>
          <w:rtl/>
        </w:rPr>
        <w:t xml:space="preserve">מטרת </w:t>
      </w:r>
      <w:r w:rsidRPr="003526E8">
        <w:rPr>
          <w:rFonts w:ascii="Arial" w:eastAsia="Arial Unicode MS" w:hAnsi="Arial"/>
          <w:szCs w:val="26"/>
          <w:rtl/>
        </w:rPr>
        <w:t xml:space="preserve">הצעת החוק </w:t>
      </w:r>
      <w:r w:rsidRPr="003526E8">
        <w:rPr>
          <w:rFonts w:ascii="Arial" w:eastAsia="Arial Unicode MS" w:hAnsi="Arial" w:hint="cs"/>
          <w:szCs w:val="26"/>
          <w:rtl/>
        </w:rPr>
        <w:t xml:space="preserve">היא לייחד את ענף ביטוח הבריאות על כל סוגי מוצריו, ברישיונו של סוכן הביטוח. זאת לעומת המצב הקיים כיום </w:t>
      </w:r>
      <w:r>
        <w:rPr>
          <w:rFonts w:ascii="Arial" w:eastAsia="Arial Unicode MS" w:hAnsi="Arial" w:hint="cs"/>
          <w:szCs w:val="26"/>
          <w:rtl/>
        </w:rPr>
        <w:t>ש</w:t>
      </w:r>
      <w:r w:rsidRPr="003526E8">
        <w:rPr>
          <w:rFonts w:ascii="Arial" w:eastAsia="Arial Unicode MS" w:hAnsi="Arial" w:hint="cs"/>
          <w:szCs w:val="26"/>
          <w:rtl/>
        </w:rPr>
        <w:t xml:space="preserve">בו רישיון סוכן ביטוח בענף הביטוח הכללי או רישיון סוכן ביטוח בענף הביטוח הפנסיוני מאפשר לסוכן הביטוח למכור ולשווק ביטוחי בריאות למיניהם. </w:t>
      </w:r>
    </w:p>
    <w:p w:rsidR="00325A9B" w:rsidRPr="003526E8" w:rsidRDefault="00325A9B" w:rsidP="00325A9B">
      <w:pPr>
        <w:tabs>
          <w:tab w:val="left" w:pos="1020"/>
        </w:tabs>
        <w:snapToGrid w:val="0"/>
        <w:rPr>
          <w:rFonts w:ascii="Arial" w:eastAsia="Arial Unicode MS" w:hAnsi="Arial"/>
          <w:szCs w:val="26"/>
          <w:rtl/>
        </w:rPr>
      </w:pPr>
      <w:r w:rsidRPr="003526E8">
        <w:rPr>
          <w:rFonts w:ascii="Arial" w:eastAsia="Arial Unicode MS" w:hAnsi="Arial" w:hint="cs"/>
          <w:szCs w:val="26"/>
          <w:rtl/>
        </w:rPr>
        <w:t>מטרת השינוי המוצע הי</w:t>
      </w:r>
      <w:r>
        <w:rPr>
          <w:rFonts w:ascii="Arial" w:eastAsia="Arial Unicode MS" w:hAnsi="Arial" w:hint="cs"/>
          <w:szCs w:val="26"/>
          <w:rtl/>
        </w:rPr>
        <w:t>א</w:t>
      </w:r>
      <w:r w:rsidRPr="003526E8">
        <w:rPr>
          <w:rFonts w:ascii="Arial" w:eastAsia="Arial Unicode MS" w:hAnsi="Arial" w:hint="cs"/>
          <w:szCs w:val="26"/>
          <w:rtl/>
        </w:rPr>
        <w:t xml:space="preserve"> לייצר מומחיות ייחודית ומקצועיות לסוכן ביטוח המבקש לשווק מוצרי בריאות, כך שבסופו של דבר המבוטח יצטרף למוצר ביטוחי אשר מתאים לצרכיו ולטעמיו.</w:t>
      </w:r>
    </w:p>
    <w:p w:rsidR="00325A9B" w:rsidRPr="003526E8" w:rsidRDefault="00325A9B" w:rsidP="00325A9B">
      <w:pPr>
        <w:tabs>
          <w:tab w:val="left" w:pos="1020"/>
        </w:tabs>
        <w:snapToGrid w:val="0"/>
        <w:rPr>
          <w:rFonts w:ascii="Arial" w:eastAsia="Arial Unicode MS" w:hAnsi="Arial"/>
          <w:szCs w:val="26"/>
          <w:rtl/>
        </w:rPr>
      </w:pPr>
      <w:r w:rsidRPr="003526E8">
        <w:rPr>
          <w:rFonts w:ascii="Arial" w:eastAsia="Arial Unicode MS" w:hAnsi="Arial" w:hint="cs"/>
          <w:szCs w:val="26"/>
          <w:rtl/>
        </w:rPr>
        <w:t>ביטוח הבריאות הפרטי הינו רובד לא מחייב הנרכש מעבר לסל הבריאות הבסיסי ושירותי הבריאות הנוספים. חשיבות הביטוח הפרטי הי</w:t>
      </w:r>
      <w:r>
        <w:rPr>
          <w:rFonts w:ascii="Arial" w:eastAsia="Arial Unicode MS" w:hAnsi="Arial" w:hint="cs"/>
          <w:szCs w:val="26"/>
          <w:rtl/>
        </w:rPr>
        <w:t>א</w:t>
      </w:r>
      <w:r w:rsidRPr="003526E8">
        <w:rPr>
          <w:rFonts w:ascii="Arial" w:eastAsia="Arial Unicode MS" w:hAnsi="Arial" w:hint="cs"/>
          <w:szCs w:val="26"/>
          <w:rtl/>
        </w:rPr>
        <w:t xml:space="preserve"> בשירותי הבריאות שאינן ניתנים ברבדים אלה, לדוגמה, ביטוח מסוג תרופות שאינן בסל הבריאות יכול להציל חיים בקרות מקרה ביטוח של צורך בתרופה, כך גם השתלות וניתוחים בחו"ל.</w:t>
      </w:r>
    </w:p>
    <w:p w:rsidR="00325A9B" w:rsidRPr="003526E8" w:rsidRDefault="00325A9B" w:rsidP="00325A9B">
      <w:pPr>
        <w:tabs>
          <w:tab w:val="left" w:pos="1020"/>
        </w:tabs>
        <w:snapToGrid w:val="0"/>
        <w:rPr>
          <w:rFonts w:ascii="Arial" w:eastAsia="Arial Unicode MS" w:hAnsi="Arial"/>
          <w:szCs w:val="26"/>
          <w:rtl/>
        </w:rPr>
      </w:pPr>
      <w:r w:rsidRPr="003526E8">
        <w:rPr>
          <w:rFonts w:ascii="Arial" w:eastAsia="Arial Unicode MS" w:hAnsi="Arial" w:hint="cs"/>
          <w:szCs w:val="26"/>
          <w:rtl/>
        </w:rPr>
        <w:t xml:space="preserve">לידע הרחב הנדרש מסוכן ביטוח חשיבות רבה בהליך השיווק של מוצרי הבריאות. התאמת הביטוח לצרכיו האישיים של המועמד לביטוח תוך ניתוח כיסויי הפוליסה וחריגיה הינה חלק בלתי נפרד מהליך השיווק וההצטרפות לביטוח ומחייב הבנה מלאה במוצרי הבריאות המגוונים.  </w:t>
      </w:r>
    </w:p>
    <w:p w:rsidR="00325A9B" w:rsidRPr="003526E8" w:rsidRDefault="00325A9B" w:rsidP="00325A9B">
      <w:pPr>
        <w:tabs>
          <w:tab w:val="left" w:pos="1020"/>
        </w:tabs>
        <w:snapToGrid w:val="0"/>
        <w:rPr>
          <w:rFonts w:ascii="Arial" w:eastAsia="Arial Unicode MS" w:hAnsi="Arial"/>
          <w:szCs w:val="26"/>
          <w:rtl/>
        </w:rPr>
      </w:pPr>
      <w:r w:rsidRPr="003526E8">
        <w:rPr>
          <w:rFonts w:ascii="Arial" w:eastAsia="Arial Unicode MS" w:hAnsi="Arial" w:hint="cs"/>
          <w:szCs w:val="26"/>
          <w:rtl/>
        </w:rPr>
        <w:t xml:space="preserve">ביטוח הבריאות כולל שני ענפים: </w:t>
      </w:r>
      <w:r w:rsidRPr="0066778F">
        <w:rPr>
          <w:rFonts w:ascii="Arial" w:eastAsia="Arial Unicode MS" w:hAnsi="Arial" w:hint="cs"/>
          <w:b/>
          <w:bCs/>
          <w:szCs w:val="26"/>
          <w:rtl/>
        </w:rPr>
        <w:t xml:space="preserve">א) ענף מחלות ואשפוז, </w:t>
      </w:r>
      <w:r w:rsidRPr="0066778F">
        <w:rPr>
          <w:rFonts w:ascii="Arial" w:eastAsia="Arial Unicode MS" w:hAnsi="Arial" w:hint="cs"/>
          <w:szCs w:val="26"/>
          <w:rtl/>
        </w:rPr>
        <w:t xml:space="preserve">שבו מתרכזת מרבית הפעילות </w:t>
      </w:r>
      <w:proofErr w:type="spellStart"/>
      <w:r w:rsidRPr="0066778F">
        <w:rPr>
          <w:rFonts w:ascii="Arial" w:eastAsia="Arial Unicode MS" w:hAnsi="Arial" w:hint="cs"/>
          <w:szCs w:val="26"/>
          <w:rtl/>
        </w:rPr>
        <w:t>הביטוחית</w:t>
      </w:r>
      <w:proofErr w:type="spellEnd"/>
      <w:r w:rsidRPr="0066778F">
        <w:rPr>
          <w:rFonts w:ascii="Arial" w:eastAsia="Arial Unicode MS" w:hAnsi="Arial" w:hint="cs"/>
          <w:b/>
          <w:bCs/>
          <w:szCs w:val="26"/>
          <w:rtl/>
        </w:rPr>
        <w:t xml:space="preserve">; ב) ענף התאונות האישיות. </w:t>
      </w:r>
      <w:r w:rsidRPr="003526E8">
        <w:rPr>
          <w:rFonts w:ascii="Arial" w:eastAsia="Arial Unicode MS" w:hAnsi="Arial" w:hint="cs"/>
          <w:szCs w:val="26"/>
          <w:rtl/>
        </w:rPr>
        <w:t>ענף מחלות ואשפוז כולל את תתי הענפים הבאים: ביטוח הוצאות רפואיות (דוגמת ניתוחים, תרופות והשתלות) ביטוח סיעודי, ביטוח מחלות קשות, ביטוח שיניים, ביטוח נכות, ביטוח נסיעות לחו"ל וביטוח עובדים זרים.</w:t>
      </w:r>
    </w:p>
    <w:p w:rsidR="00325A9B" w:rsidRPr="003526E8" w:rsidRDefault="00325A9B" w:rsidP="00325A9B">
      <w:pPr>
        <w:tabs>
          <w:tab w:val="left" w:pos="1020"/>
        </w:tabs>
        <w:snapToGrid w:val="0"/>
        <w:rPr>
          <w:rFonts w:ascii="Arial" w:eastAsia="Arial Unicode MS" w:hAnsi="Arial"/>
          <w:szCs w:val="26"/>
          <w:rtl/>
        </w:rPr>
      </w:pPr>
      <w:r w:rsidRPr="003526E8">
        <w:rPr>
          <w:rFonts w:ascii="Arial" w:eastAsia="Arial Unicode MS" w:hAnsi="Arial" w:hint="cs"/>
          <w:szCs w:val="26"/>
          <w:rtl/>
        </w:rPr>
        <w:t xml:space="preserve">בעשר השנים האחרונות גדל שוק ביטוח הבריאות </w:t>
      </w:r>
      <w:r>
        <w:rPr>
          <w:rFonts w:ascii="Arial" w:eastAsia="Arial Unicode MS" w:hAnsi="Arial" w:hint="cs"/>
          <w:szCs w:val="26"/>
          <w:rtl/>
        </w:rPr>
        <w:t xml:space="preserve">בישראל </w:t>
      </w:r>
      <w:r w:rsidRPr="003526E8">
        <w:rPr>
          <w:rFonts w:ascii="Arial" w:eastAsia="Arial Unicode MS" w:hAnsi="Arial" w:hint="cs"/>
          <w:szCs w:val="26"/>
          <w:rtl/>
        </w:rPr>
        <w:t>בכ-133% מכ-5.15 מיליארד ש"ח בשנת 2009 לכ-12.02 מיליארד ש"ח בשנת 2019. עלייה זו נבעה ממכירות מאסיביות של ביטוחי בריאות למינ</w:t>
      </w:r>
      <w:r>
        <w:rPr>
          <w:rFonts w:ascii="Arial" w:eastAsia="Arial Unicode MS" w:hAnsi="Arial" w:hint="cs"/>
          <w:szCs w:val="26"/>
          <w:rtl/>
        </w:rPr>
        <w:t>יהם</w:t>
      </w:r>
      <w:r w:rsidRPr="003526E8">
        <w:rPr>
          <w:rFonts w:ascii="Arial" w:eastAsia="Arial Unicode MS" w:hAnsi="Arial" w:hint="cs"/>
          <w:szCs w:val="26"/>
          <w:rtl/>
        </w:rPr>
        <w:t>, ובפרט</w:t>
      </w:r>
      <w:r w:rsidR="0034679F">
        <w:rPr>
          <w:rFonts w:ascii="Arial" w:eastAsia="Arial Unicode MS" w:hAnsi="Arial" w:hint="cs"/>
          <w:szCs w:val="26"/>
          <w:rtl/>
        </w:rPr>
        <w:t xml:space="preserve"> בולט הגידול במכירת פוליסות</w:t>
      </w:r>
      <w:r w:rsidRPr="003526E8">
        <w:rPr>
          <w:rFonts w:ascii="Arial" w:eastAsia="Arial Unicode MS" w:hAnsi="Arial" w:hint="cs"/>
          <w:szCs w:val="26"/>
          <w:rtl/>
        </w:rPr>
        <w:t xml:space="preserve"> ביטוחי תאונות אישיות, אשר מדגישות את הצורך בייחוד ביטוח הבריאות ברישיונו של הסוכן ואת הצורך ביצירת מקצועיות ייחודית בתחום זה.</w:t>
      </w:r>
    </w:p>
    <w:p w:rsidR="00325A9B" w:rsidRPr="003526E8" w:rsidRDefault="00325A9B" w:rsidP="00325A9B">
      <w:pPr>
        <w:tabs>
          <w:tab w:val="left" w:pos="1020"/>
        </w:tabs>
        <w:snapToGrid w:val="0"/>
        <w:rPr>
          <w:rFonts w:ascii="Arial" w:eastAsia="Arial Unicode MS" w:hAnsi="Arial"/>
          <w:szCs w:val="26"/>
          <w:rtl/>
        </w:rPr>
      </w:pPr>
      <w:r w:rsidRPr="003526E8">
        <w:rPr>
          <w:rFonts w:ascii="Arial" w:eastAsia="Arial Unicode MS" w:hAnsi="Arial" w:hint="cs"/>
          <w:szCs w:val="26"/>
          <w:rtl/>
        </w:rPr>
        <w:t>נוסף על כך, בביקורות שונות שערכה רשות שוק ההון, ביטוח וחיסכון לעניין צירוף מבוטחים לביטוח בריאות ותאונות אישיות נבדקו</w:t>
      </w:r>
      <w:r w:rsidR="007734DA">
        <w:rPr>
          <w:rFonts w:ascii="Arial" w:eastAsia="Arial Unicode MS" w:hAnsi="Arial" w:hint="cs"/>
          <w:szCs w:val="26"/>
          <w:rtl/>
        </w:rPr>
        <w:t>,</w:t>
      </w:r>
      <w:r w:rsidRPr="003526E8">
        <w:rPr>
          <w:rFonts w:ascii="Arial" w:eastAsia="Arial Unicode MS" w:hAnsi="Arial" w:hint="cs"/>
          <w:szCs w:val="26"/>
          <w:rtl/>
        </w:rPr>
        <w:t xml:space="preserve"> בין היתר</w:t>
      </w:r>
      <w:r w:rsidR="007734DA">
        <w:rPr>
          <w:rFonts w:ascii="Arial" w:eastAsia="Arial Unicode MS" w:hAnsi="Arial" w:hint="cs"/>
          <w:szCs w:val="26"/>
          <w:rtl/>
        </w:rPr>
        <w:t>,</w:t>
      </w:r>
      <w:r w:rsidRPr="003526E8">
        <w:rPr>
          <w:rFonts w:ascii="Arial" w:eastAsia="Arial Unicode MS" w:hAnsi="Arial" w:hint="cs"/>
          <w:szCs w:val="26"/>
          <w:rtl/>
        </w:rPr>
        <w:t xml:space="preserve"> מכירות שנעשו על ידי סוכני ביטוח.</w:t>
      </w:r>
      <w:r>
        <w:rPr>
          <w:rFonts w:ascii="Arial" w:eastAsia="Arial Unicode MS" w:hAnsi="Arial" w:hint="cs"/>
          <w:szCs w:val="26"/>
          <w:rtl/>
        </w:rPr>
        <w:t xml:space="preserve"> </w:t>
      </w:r>
      <w:r w:rsidRPr="003526E8">
        <w:rPr>
          <w:rFonts w:ascii="Arial" w:eastAsia="Arial Unicode MS" w:hAnsi="Arial" w:hint="cs"/>
          <w:szCs w:val="26"/>
          <w:rtl/>
        </w:rPr>
        <w:t>תוצאות הביקורת הראו, בין היתר, ליקויים במכירה ובצירוף של מבוטחים לביטוחי הבריאות השונים על ידי סוכני ביטוח וחידדו את הצורך ביצירת מקצועיות ייחודית בתחום זה.</w:t>
      </w:r>
    </w:p>
    <w:p w:rsidR="00325A9B" w:rsidRPr="003526E8" w:rsidRDefault="00325A9B" w:rsidP="00325A9B">
      <w:pPr>
        <w:tabs>
          <w:tab w:val="left" w:pos="-1"/>
          <w:tab w:val="left" w:pos="624"/>
          <w:tab w:val="left" w:pos="1474"/>
          <w:tab w:val="left" w:pos="1928"/>
          <w:tab w:val="left" w:pos="2381"/>
          <w:tab w:val="left" w:pos="2835"/>
          <w:tab w:val="right" w:leader="dot" w:pos="6259"/>
        </w:tabs>
        <w:suppressAutoHyphens/>
        <w:spacing w:before="72"/>
        <w:ind w:left="-1" w:firstLine="1"/>
        <w:rPr>
          <w:rFonts w:ascii="Arial" w:eastAsia="Arial Unicode MS" w:hAnsi="Arial"/>
          <w:szCs w:val="26"/>
          <w:rtl/>
        </w:rPr>
      </w:pPr>
      <w:bookmarkStart w:id="7" w:name="ABSTRACT_START"/>
      <w:bookmarkEnd w:id="7"/>
      <w:r w:rsidRPr="003526E8">
        <w:rPr>
          <w:rFonts w:ascii="Arial" w:eastAsia="Arial Unicode MS" w:hAnsi="Arial" w:hint="cs"/>
          <w:szCs w:val="26"/>
          <w:rtl/>
        </w:rPr>
        <w:t xml:space="preserve">סעיף 28 לחוק קובע כי </w:t>
      </w:r>
      <w:r w:rsidRPr="003526E8">
        <w:rPr>
          <w:rFonts w:ascii="Arial" w:eastAsia="Arial Unicode MS" w:hAnsi="Arial"/>
          <w:szCs w:val="26"/>
          <w:rtl/>
        </w:rPr>
        <w:t>ר</w:t>
      </w:r>
      <w:r>
        <w:rPr>
          <w:rFonts w:ascii="Arial" w:eastAsia="Arial Unicode MS" w:hAnsi="Arial" w:hint="cs"/>
          <w:szCs w:val="26"/>
          <w:rtl/>
        </w:rPr>
        <w:t>י</w:t>
      </w:r>
      <w:r w:rsidRPr="003526E8">
        <w:rPr>
          <w:rFonts w:ascii="Arial" w:eastAsia="Arial Unicode MS" w:hAnsi="Arial"/>
          <w:szCs w:val="26"/>
          <w:rtl/>
        </w:rPr>
        <w:t>שיון סוכן ביטוח הוא ר</w:t>
      </w:r>
      <w:r>
        <w:rPr>
          <w:rFonts w:ascii="Arial" w:eastAsia="Arial Unicode MS" w:hAnsi="Arial" w:hint="cs"/>
          <w:szCs w:val="26"/>
          <w:rtl/>
        </w:rPr>
        <w:t>י</w:t>
      </w:r>
      <w:r w:rsidRPr="003526E8">
        <w:rPr>
          <w:rFonts w:ascii="Arial" w:eastAsia="Arial Unicode MS" w:hAnsi="Arial"/>
          <w:szCs w:val="26"/>
          <w:rtl/>
        </w:rPr>
        <w:t>שיון לעסוק באחד מענפי ביטוח אלה</w:t>
      </w:r>
      <w:r w:rsidRPr="003526E8">
        <w:rPr>
          <w:rFonts w:ascii="Arial" w:eastAsia="Arial Unicode MS" w:hAnsi="Arial" w:hint="cs"/>
          <w:szCs w:val="26"/>
          <w:rtl/>
        </w:rPr>
        <w:t xml:space="preserve">: </w:t>
      </w:r>
      <w:r w:rsidRPr="003526E8">
        <w:rPr>
          <w:rFonts w:ascii="Arial" w:eastAsia="Arial Unicode MS" w:hAnsi="Arial"/>
          <w:szCs w:val="26"/>
          <w:rtl/>
        </w:rPr>
        <w:t>ביטוח</w:t>
      </w:r>
      <w:r w:rsidRPr="003526E8">
        <w:rPr>
          <w:rFonts w:ascii="Arial" w:eastAsia="Arial Unicode MS" w:hAnsi="Arial" w:hint="cs"/>
          <w:szCs w:val="26"/>
          <w:rtl/>
        </w:rPr>
        <w:t xml:space="preserve"> </w:t>
      </w:r>
      <w:r w:rsidRPr="003526E8">
        <w:rPr>
          <w:rFonts w:ascii="Arial" w:eastAsia="Arial Unicode MS" w:hAnsi="Arial"/>
          <w:szCs w:val="26"/>
          <w:rtl/>
        </w:rPr>
        <w:t>פנסיוני,</w:t>
      </w:r>
      <w:r w:rsidRPr="003526E8">
        <w:rPr>
          <w:rFonts w:ascii="Arial" w:eastAsia="Arial Unicode MS" w:hAnsi="Arial" w:hint="cs"/>
          <w:szCs w:val="26"/>
          <w:rtl/>
        </w:rPr>
        <w:t xml:space="preserve"> </w:t>
      </w:r>
      <w:r w:rsidRPr="003526E8">
        <w:rPr>
          <w:rFonts w:ascii="Arial" w:eastAsia="Arial Unicode MS" w:hAnsi="Arial"/>
          <w:szCs w:val="26"/>
          <w:rtl/>
        </w:rPr>
        <w:t>ביטוח ימי או ביטוח כללי, ויכול ר</w:t>
      </w:r>
      <w:r>
        <w:rPr>
          <w:rFonts w:ascii="Arial" w:eastAsia="Arial Unicode MS" w:hAnsi="Arial" w:hint="cs"/>
          <w:szCs w:val="26"/>
          <w:rtl/>
        </w:rPr>
        <w:t>י</w:t>
      </w:r>
      <w:r w:rsidRPr="003526E8">
        <w:rPr>
          <w:rFonts w:ascii="Arial" w:eastAsia="Arial Unicode MS" w:hAnsi="Arial"/>
          <w:szCs w:val="26"/>
          <w:rtl/>
        </w:rPr>
        <w:t>שיון סוכן ביטוח לכלול יותר מענף ביטוח אחד.</w:t>
      </w:r>
    </w:p>
    <w:p w:rsidR="00325A9B" w:rsidRPr="003526E8" w:rsidRDefault="00325A9B" w:rsidP="00325A9B">
      <w:pPr>
        <w:tabs>
          <w:tab w:val="left" w:pos="624"/>
          <w:tab w:val="left" w:pos="1021"/>
          <w:tab w:val="left" w:pos="1474"/>
          <w:tab w:val="left" w:pos="1928"/>
          <w:tab w:val="left" w:pos="2381"/>
          <w:tab w:val="left" w:pos="2835"/>
          <w:tab w:val="right" w:leader="dot" w:pos="6259"/>
        </w:tabs>
        <w:suppressAutoHyphens/>
        <w:spacing w:before="72"/>
        <w:rPr>
          <w:rFonts w:ascii="Arial" w:eastAsia="Arial Unicode MS" w:hAnsi="Arial"/>
          <w:szCs w:val="26"/>
          <w:rtl/>
        </w:rPr>
      </w:pPr>
      <w:r w:rsidRPr="003526E8">
        <w:rPr>
          <w:rFonts w:ascii="Arial" w:eastAsia="Arial Unicode MS" w:hAnsi="Arial"/>
          <w:szCs w:val="26"/>
          <w:rtl/>
        </w:rPr>
        <w:t>ב</w:t>
      </w:r>
      <w:r w:rsidRPr="003526E8">
        <w:rPr>
          <w:rFonts w:ascii="Arial" w:eastAsia="Arial Unicode MS" w:hAnsi="Arial" w:hint="cs"/>
          <w:szCs w:val="26"/>
          <w:rtl/>
        </w:rPr>
        <w:t>תיקון חקיקה זה מוצע לקבוע</w:t>
      </w:r>
      <w:r w:rsidRPr="003526E8">
        <w:rPr>
          <w:rFonts w:ascii="Arial" w:eastAsia="Arial Unicode MS" w:hAnsi="Arial"/>
          <w:szCs w:val="26"/>
          <w:rtl/>
        </w:rPr>
        <w:t xml:space="preserve">, בסעיף </w:t>
      </w:r>
      <w:r w:rsidRPr="003526E8">
        <w:rPr>
          <w:rFonts w:ascii="Arial" w:eastAsia="Arial Unicode MS" w:hAnsi="Arial" w:hint="cs"/>
          <w:szCs w:val="26"/>
          <w:rtl/>
        </w:rPr>
        <w:t>28 לחוק</w:t>
      </w:r>
      <w:r w:rsidRPr="003526E8">
        <w:rPr>
          <w:rFonts w:ascii="Arial" w:eastAsia="Arial Unicode MS" w:hAnsi="Arial"/>
          <w:szCs w:val="26"/>
          <w:rtl/>
        </w:rPr>
        <w:t xml:space="preserve"> כי </w:t>
      </w:r>
      <w:r w:rsidRPr="003526E8">
        <w:rPr>
          <w:rFonts w:ascii="Arial" w:eastAsia="Arial Unicode MS" w:hAnsi="Arial" w:hint="cs"/>
          <w:szCs w:val="26"/>
          <w:rtl/>
        </w:rPr>
        <w:t xml:space="preserve">אל ענפי הביטוח הקיימים ברישיון סוכן ביטוח </w:t>
      </w:r>
      <w:r w:rsidRPr="003526E8">
        <w:rPr>
          <w:rFonts w:ascii="Arial" w:eastAsia="Arial Unicode MS" w:hAnsi="Arial" w:hint="cs"/>
          <w:szCs w:val="26"/>
          <w:rtl/>
        </w:rPr>
        <w:lastRenderedPageBreak/>
        <w:t>יתווסף גם: "ענף ביטוח בריאות" אשר יוגדר כ"עיסוק בתיווך בביטוח מפני תאונות אישיות ובביטוח מפני מחלות ואשפוז".</w:t>
      </w:r>
    </w:p>
    <w:p w:rsidR="00325A9B" w:rsidRPr="003526E8" w:rsidRDefault="00325A9B" w:rsidP="00325A9B">
      <w:pPr>
        <w:snapToGrid w:val="0"/>
        <w:rPr>
          <w:rFonts w:ascii="Arial" w:eastAsia="Arial Unicode MS" w:hAnsi="Arial"/>
          <w:sz w:val="26"/>
          <w:szCs w:val="26"/>
          <w:rtl/>
        </w:rPr>
      </w:pPr>
    </w:p>
    <w:p w:rsidR="00325A9B" w:rsidRPr="003526E8" w:rsidRDefault="00325A9B" w:rsidP="00325A9B">
      <w:pPr>
        <w:snapToGrid w:val="0"/>
        <w:rPr>
          <w:rFonts w:ascii="Arial" w:eastAsia="Arial Unicode MS" w:hAnsi="Arial"/>
          <w:sz w:val="26"/>
          <w:szCs w:val="26"/>
          <w:rtl/>
        </w:rPr>
      </w:pPr>
      <w:r w:rsidRPr="003526E8">
        <w:rPr>
          <w:rFonts w:ascii="Arial" w:eastAsia="Arial Unicode MS" w:hAnsi="Arial"/>
          <w:sz w:val="26"/>
          <w:szCs w:val="26"/>
          <w:rtl/>
        </w:rPr>
        <w:t xml:space="preserve">יצוין כי </w:t>
      </w:r>
      <w:r w:rsidRPr="003526E8">
        <w:rPr>
          <w:rFonts w:ascii="Arial" w:eastAsia="Arial Unicode MS" w:hAnsi="Arial" w:hint="cs"/>
          <w:sz w:val="26"/>
          <w:szCs w:val="26"/>
          <w:rtl/>
        </w:rPr>
        <w:t xml:space="preserve">דוח מבקר המדינה (להלן </w:t>
      </w:r>
      <w:r w:rsidRPr="003526E8">
        <w:rPr>
          <w:rFonts w:ascii="Arial" w:eastAsia="Arial Unicode MS" w:hAnsi="Arial"/>
          <w:sz w:val="26"/>
          <w:szCs w:val="26"/>
          <w:rtl/>
        </w:rPr>
        <w:t>–</w:t>
      </w:r>
      <w:r w:rsidRPr="003526E8">
        <w:rPr>
          <w:rFonts w:ascii="Arial" w:eastAsia="Arial Unicode MS" w:hAnsi="Arial" w:hint="cs"/>
          <w:sz w:val="26"/>
          <w:szCs w:val="26"/>
          <w:rtl/>
        </w:rPr>
        <w:t xml:space="preserve"> </w:t>
      </w:r>
      <w:r w:rsidRPr="003526E8">
        <w:rPr>
          <w:rFonts w:ascii="Arial" w:eastAsia="Arial Unicode MS" w:hAnsi="Arial" w:hint="cs"/>
          <w:b/>
          <w:bCs/>
          <w:sz w:val="26"/>
          <w:szCs w:val="26"/>
          <w:rtl/>
        </w:rPr>
        <w:t>המבקר</w:t>
      </w:r>
      <w:r w:rsidRPr="003526E8">
        <w:rPr>
          <w:rFonts w:ascii="Arial" w:eastAsia="Arial Unicode MS" w:hAnsi="Arial" w:hint="cs"/>
          <w:sz w:val="26"/>
          <w:szCs w:val="26"/>
          <w:rtl/>
        </w:rPr>
        <w:t xml:space="preserve">) מספר 71א מיום 19 באוקטובר 2020 (להלן </w:t>
      </w:r>
      <w:r w:rsidRPr="003526E8">
        <w:rPr>
          <w:rFonts w:ascii="Arial" w:eastAsia="Arial Unicode MS" w:hAnsi="Arial"/>
          <w:sz w:val="26"/>
          <w:szCs w:val="26"/>
          <w:rtl/>
        </w:rPr>
        <w:t>–</w:t>
      </w:r>
      <w:r w:rsidRPr="003526E8">
        <w:rPr>
          <w:rFonts w:ascii="Arial" w:eastAsia="Arial Unicode MS" w:hAnsi="Arial" w:hint="cs"/>
          <w:sz w:val="26"/>
          <w:szCs w:val="26"/>
          <w:rtl/>
        </w:rPr>
        <w:t xml:space="preserve"> </w:t>
      </w:r>
      <w:r w:rsidRPr="003526E8">
        <w:rPr>
          <w:rFonts w:ascii="Arial" w:eastAsia="Arial Unicode MS" w:hAnsi="Arial" w:hint="cs"/>
          <w:b/>
          <w:bCs/>
          <w:sz w:val="26"/>
          <w:szCs w:val="26"/>
          <w:rtl/>
        </w:rPr>
        <w:t>דוח</w:t>
      </w:r>
      <w:r w:rsidRPr="003526E8">
        <w:rPr>
          <w:rFonts w:ascii="Arial" w:eastAsia="Arial Unicode MS" w:hAnsi="Arial" w:hint="cs"/>
          <w:sz w:val="26"/>
          <w:szCs w:val="26"/>
          <w:rtl/>
        </w:rPr>
        <w:t xml:space="preserve"> </w:t>
      </w:r>
      <w:r w:rsidRPr="003526E8">
        <w:rPr>
          <w:rFonts w:ascii="Arial" w:eastAsia="Arial Unicode MS" w:hAnsi="Arial" w:hint="cs"/>
          <w:b/>
          <w:bCs/>
          <w:sz w:val="26"/>
          <w:szCs w:val="26"/>
          <w:rtl/>
        </w:rPr>
        <w:t>המבקר</w:t>
      </w:r>
      <w:r w:rsidRPr="003526E8">
        <w:rPr>
          <w:rFonts w:ascii="Arial" w:eastAsia="Arial Unicode MS" w:hAnsi="Arial" w:hint="cs"/>
          <w:sz w:val="26"/>
          <w:szCs w:val="26"/>
          <w:rtl/>
        </w:rPr>
        <w:t>) עסק, בין היתר, בנושא ביטוח הבריאות. בדוח המבקר צוין כי:</w:t>
      </w:r>
    </w:p>
    <w:p w:rsidR="00325A9B" w:rsidRPr="00B96F76" w:rsidRDefault="00325A9B" w:rsidP="00325A9B">
      <w:pPr>
        <w:snapToGrid w:val="0"/>
        <w:rPr>
          <w:rFonts w:ascii="Arial" w:eastAsia="Arial Unicode MS" w:hAnsi="Arial"/>
          <w:sz w:val="26"/>
          <w:szCs w:val="26"/>
          <w:rtl/>
        </w:rPr>
      </w:pPr>
      <w:r w:rsidRPr="00E40DD3">
        <w:rPr>
          <w:rFonts w:eastAsia="Arial Unicode MS"/>
          <w:b/>
          <w:bCs/>
          <w:szCs w:val="26"/>
          <w:rtl/>
        </w:rPr>
        <w:t xml:space="preserve">"ריבוי המידע, השוני במרכיבי הפוליסות של חברות הביטוח </w:t>
      </w:r>
      <w:r w:rsidRPr="00E40DD3">
        <w:rPr>
          <w:rFonts w:eastAsia="Arial Unicode MS" w:hint="eastAsia"/>
          <w:b/>
          <w:bCs/>
          <w:szCs w:val="26"/>
          <w:rtl/>
        </w:rPr>
        <w:t>והיעדר</w:t>
      </w:r>
      <w:r w:rsidRPr="00E40DD3">
        <w:rPr>
          <w:rFonts w:eastAsia="Arial Unicode MS"/>
          <w:b/>
          <w:bCs/>
          <w:szCs w:val="26"/>
          <w:rtl/>
        </w:rPr>
        <w:t xml:space="preserve"> האחידות בפוליסות מקש</w:t>
      </w:r>
      <w:r w:rsidRPr="00E40DD3">
        <w:rPr>
          <w:rFonts w:eastAsia="Arial Unicode MS" w:hint="eastAsia"/>
          <w:b/>
          <w:bCs/>
          <w:szCs w:val="26"/>
          <w:rtl/>
        </w:rPr>
        <w:t>ים</w:t>
      </w:r>
      <w:r w:rsidRPr="00E40DD3">
        <w:rPr>
          <w:rFonts w:eastAsia="Arial Unicode MS"/>
          <w:b/>
          <w:bCs/>
          <w:szCs w:val="26"/>
          <w:rtl/>
        </w:rPr>
        <w:t xml:space="preserve"> על </w:t>
      </w:r>
      <w:r w:rsidRPr="00E40DD3">
        <w:rPr>
          <w:rFonts w:eastAsia="Arial Unicode MS" w:hint="eastAsia"/>
          <w:b/>
          <w:bCs/>
          <w:szCs w:val="26"/>
          <w:rtl/>
        </w:rPr>
        <w:t>הציבור</w:t>
      </w:r>
      <w:r w:rsidRPr="00E40DD3">
        <w:rPr>
          <w:rFonts w:eastAsia="Arial Unicode MS"/>
          <w:b/>
          <w:bCs/>
          <w:szCs w:val="26"/>
          <w:rtl/>
        </w:rPr>
        <w:t xml:space="preserve"> </w:t>
      </w:r>
      <w:r w:rsidRPr="00E40DD3">
        <w:rPr>
          <w:rFonts w:eastAsia="Arial Unicode MS" w:hint="eastAsia"/>
          <w:b/>
          <w:bCs/>
          <w:szCs w:val="26"/>
          <w:rtl/>
        </w:rPr>
        <w:t>לבחון</w:t>
      </w:r>
      <w:r w:rsidRPr="00E40DD3">
        <w:rPr>
          <w:rFonts w:eastAsia="Arial Unicode MS"/>
          <w:b/>
          <w:bCs/>
          <w:szCs w:val="26"/>
          <w:rtl/>
        </w:rPr>
        <w:t xml:space="preserve"> </w:t>
      </w:r>
      <w:r w:rsidRPr="00E40DD3">
        <w:rPr>
          <w:rFonts w:eastAsia="Arial Unicode MS" w:hint="eastAsia"/>
          <w:b/>
          <w:bCs/>
          <w:szCs w:val="26"/>
          <w:rtl/>
        </w:rPr>
        <w:t>את</w:t>
      </w:r>
      <w:r w:rsidRPr="00E40DD3">
        <w:rPr>
          <w:rFonts w:eastAsia="Arial Unicode MS"/>
          <w:b/>
          <w:bCs/>
          <w:szCs w:val="26"/>
          <w:rtl/>
        </w:rPr>
        <w:t xml:space="preserve"> </w:t>
      </w:r>
      <w:r w:rsidRPr="00E40DD3">
        <w:rPr>
          <w:rFonts w:eastAsia="Arial Unicode MS" w:hint="eastAsia"/>
          <w:b/>
          <w:bCs/>
          <w:szCs w:val="26"/>
          <w:rtl/>
        </w:rPr>
        <w:t>מידת</w:t>
      </w:r>
      <w:r w:rsidRPr="00E40DD3">
        <w:rPr>
          <w:rFonts w:eastAsia="Arial Unicode MS"/>
          <w:b/>
          <w:bCs/>
          <w:szCs w:val="26"/>
          <w:rtl/>
        </w:rPr>
        <w:t xml:space="preserve"> </w:t>
      </w:r>
      <w:r w:rsidRPr="00E40DD3">
        <w:rPr>
          <w:rFonts w:eastAsia="Arial Unicode MS" w:hint="eastAsia"/>
          <w:b/>
          <w:bCs/>
          <w:szCs w:val="26"/>
          <w:rtl/>
        </w:rPr>
        <w:t>החפיפה</w:t>
      </w:r>
      <w:r w:rsidRPr="00E40DD3">
        <w:rPr>
          <w:rFonts w:eastAsia="Arial Unicode MS"/>
          <w:b/>
          <w:bCs/>
          <w:szCs w:val="26"/>
          <w:rtl/>
        </w:rPr>
        <w:t xml:space="preserve"> </w:t>
      </w:r>
      <w:r w:rsidRPr="00E40DD3">
        <w:rPr>
          <w:rFonts w:eastAsia="Arial Unicode MS" w:hint="eastAsia"/>
          <w:b/>
          <w:bCs/>
          <w:szCs w:val="26"/>
          <w:rtl/>
        </w:rPr>
        <w:t>בין</w:t>
      </w:r>
      <w:r w:rsidRPr="00E40DD3">
        <w:rPr>
          <w:rFonts w:eastAsia="Arial Unicode MS"/>
          <w:b/>
          <w:bCs/>
          <w:szCs w:val="26"/>
          <w:rtl/>
        </w:rPr>
        <w:t xml:space="preserve"> </w:t>
      </w:r>
      <w:r w:rsidRPr="00E40DD3">
        <w:rPr>
          <w:rFonts w:eastAsia="Arial Unicode MS" w:hint="eastAsia"/>
          <w:b/>
          <w:bCs/>
          <w:szCs w:val="26"/>
          <w:rtl/>
        </w:rPr>
        <w:t>הביטוחים</w:t>
      </w:r>
      <w:r w:rsidRPr="00E40DD3">
        <w:rPr>
          <w:rFonts w:eastAsia="Arial Unicode MS"/>
          <w:b/>
          <w:bCs/>
          <w:szCs w:val="26"/>
          <w:rtl/>
        </w:rPr>
        <w:t xml:space="preserve"> </w:t>
      </w:r>
      <w:r w:rsidRPr="00E40DD3">
        <w:rPr>
          <w:rFonts w:eastAsia="Arial Unicode MS" w:hint="eastAsia"/>
          <w:b/>
          <w:bCs/>
          <w:szCs w:val="26"/>
          <w:rtl/>
        </w:rPr>
        <w:t>השונים</w:t>
      </w:r>
      <w:r w:rsidRPr="00E40DD3">
        <w:rPr>
          <w:rFonts w:eastAsia="Arial Unicode MS"/>
          <w:b/>
          <w:bCs/>
          <w:szCs w:val="26"/>
          <w:rtl/>
        </w:rPr>
        <w:t>.</w:t>
      </w:r>
      <w:r w:rsidRPr="00E40DD3">
        <w:rPr>
          <w:rFonts w:ascii="Arial" w:eastAsia="Arial Unicode MS" w:hAnsi="Arial"/>
          <w:sz w:val="26"/>
          <w:szCs w:val="26"/>
          <w:rtl/>
        </w:rPr>
        <w:t>"</w:t>
      </w:r>
      <w:r w:rsidRPr="00B96F76">
        <w:rPr>
          <w:rFonts w:ascii="Arial" w:eastAsia="Arial Unicode MS" w:hAnsi="Arial"/>
          <w:sz w:val="26"/>
          <w:szCs w:val="26"/>
          <w:rtl/>
        </w:rPr>
        <w:t xml:space="preserve"> </w:t>
      </w:r>
    </w:p>
    <w:p w:rsidR="00325A9B" w:rsidRPr="00B96F76" w:rsidRDefault="00325A9B" w:rsidP="00325A9B">
      <w:pPr>
        <w:snapToGrid w:val="0"/>
        <w:rPr>
          <w:rFonts w:ascii="Arial" w:eastAsia="Arial Unicode MS" w:hAnsi="Arial"/>
          <w:sz w:val="26"/>
          <w:szCs w:val="26"/>
          <w:rtl/>
        </w:rPr>
      </w:pPr>
      <w:r w:rsidRPr="00B96F76">
        <w:rPr>
          <w:rFonts w:ascii="Arial" w:eastAsia="Arial Unicode MS" w:hAnsi="Arial" w:hint="cs"/>
          <w:sz w:val="26"/>
          <w:szCs w:val="26"/>
          <w:rtl/>
        </w:rPr>
        <w:t>עוד צוין כי:</w:t>
      </w:r>
    </w:p>
    <w:p w:rsidR="00325A9B" w:rsidRPr="00E40DD3" w:rsidRDefault="00325A9B" w:rsidP="00325A9B">
      <w:pPr>
        <w:snapToGrid w:val="0"/>
        <w:rPr>
          <w:rFonts w:ascii="Arial" w:eastAsia="Arial Unicode MS" w:hAnsi="Arial"/>
          <w:sz w:val="26"/>
          <w:szCs w:val="26"/>
          <w:rtl/>
        </w:rPr>
      </w:pPr>
      <w:r w:rsidRPr="00E40DD3">
        <w:rPr>
          <w:rFonts w:eastAsia="Arial Unicode MS"/>
          <w:b/>
          <w:bCs/>
          <w:szCs w:val="26"/>
          <w:rtl/>
        </w:rPr>
        <w:t xml:space="preserve">"משרד </w:t>
      </w:r>
      <w:r w:rsidRPr="00E40DD3">
        <w:rPr>
          <w:rFonts w:eastAsia="Arial Unicode MS" w:hint="eastAsia"/>
          <w:b/>
          <w:bCs/>
          <w:szCs w:val="26"/>
          <w:rtl/>
        </w:rPr>
        <w:t>מבקר</w:t>
      </w:r>
      <w:r w:rsidRPr="00E40DD3">
        <w:rPr>
          <w:rFonts w:eastAsia="Arial Unicode MS"/>
          <w:b/>
          <w:bCs/>
          <w:szCs w:val="26"/>
          <w:rtl/>
        </w:rPr>
        <w:t xml:space="preserve"> </w:t>
      </w:r>
      <w:r w:rsidRPr="00E40DD3">
        <w:rPr>
          <w:rFonts w:eastAsia="Arial Unicode MS" w:hint="eastAsia"/>
          <w:b/>
          <w:bCs/>
          <w:szCs w:val="26"/>
          <w:rtl/>
        </w:rPr>
        <w:t>המדינה</w:t>
      </w:r>
      <w:r w:rsidRPr="00E40DD3">
        <w:rPr>
          <w:rFonts w:eastAsia="Arial Unicode MS"/>
          <w:b/>
          <w:bCs/>
          <w:szCs w:val="26"/>
          <w:rtl/>
        </w:rPr>
        <w:t xml:space="preserve"> </w:t>
      </w:r>
      <w:r w:rsidRPr="00E40DD3">
        <w:rPr>
          <w:rFonts w:eastAsia="Arial Unicode MS" w:hint="eastAsia"/>
          <w:b/>
          <w:bCs/>
          <w:szCs w:val="26"/>
          <w:rtl/>
        </w:rPr>
        <w:t>ממליץ</w:t>
      </w:r>
      <w:r w:rsidRPr="00E40DD3">
        <w:rPr>
          <w:rFonts w:eastAsia="Arial Unicode MS"/>
          <w:b/>
          <w:bCs/>
          <w:szCs w:val="26"/>
          <w:rtl/>
        </w:rPr>
        <w:t xml:space="preserve"> (לרשות </w:t>
      </w:r>
      <w:r w:rsidRPr="00E40DD3">
        <w:rPr>
          <w:rFonts w:eastAsia="Arial Unicode MS" w:hint="eastAsia"/>
          <w:b/>
          <w:bCs/>
          <w:szCs w:val="26"/>
          <w:rtl/>
        </w:rPr>
        <w:t>שוק</w:t>
      </w:r>
      <w:r w:rsidRPr="00E40DD3">
        <w:rPr>
          <w:rFonts w:eastAsia="Arial Unicode MS"/>
          <w:b/>
          <w:bCs/>
          <w:szCs w:val="26"/>
          <w:rtl/>
        </w:rPr>
        <w:t xml:space="preserve"> </w:t>
      </w:r>
      <w:r w:rsidRPr="00E40DD3">
        <w:rPr>
          <w:rFonts w:eastAsia="Arial Unicode MS" w:hint="eastAsia"/>
          <w:b/>
          <w:bCs/>
          <w:szCs w:val="26"/>
          <w:rtl/>
        </w:rPr>
        <w:t>ההון</w:t>
      </w:r>
      <w:r w:rsidRPr="00E40DD3">
        <w:rPr>
          <w:rFonts w:eastAsia="Arial Unicode MS"/>
          <w:b/>
          <w:bCs/>
          <w:szCs w:val="26"/>
          <w:rtl/>
        </w:rPr>
        <w:t xml:space="preserve">) </w:t>
      </w:r>
      <w:r w:rsidRPr="00E40DD3">
        <w:rPr>
          <w:rFonts w:eastAsia="Arial Unicode MS" w:hint="eastAsia"/>
          <w:b/>
          <w:bCs/>
          <w:szCs w:val="26"/>
          <w:rtl/>
        </w:rPr>
        <w:t>לבחון</w:t>
      </w:r>
      <w:r w:rsidRPr="00E40DD3">
        <w:rPr>
          <w:rFonts w:eastAsia="Arial Unicode MS"/>
          <w:b/>
          <w:bCs/>
          <w:szCs w:val="26"/>
          <w:rtl/>
        </w:rPr>
        <w:t xml:space="preserve"> </w:t>
      </w:r>
      <w:r w:rsidRPr="00E40DD3">
        <w:rPr>
          <w:rFonts w:eastAsia="Arial Unicode MS" w:hint="eastAsia"/>
          <w:b/>
          <w:bCs/>
          <w:szCs w:val="26"/>
          <w:rtl/>
        </w:rPr>
        <w:t>כלים</w:t>
      </w:r>
      <w:r w:rsidRPr="00E40DD3">
        <w:rPr>
          <w:rFonts w:eastAsia="Arial Unicode MS"/>
          <w:b/>
          <w:bCs/>
          <w:szCs w:val="26"/>
          <w:rtl/>
        </w:rPr>
        <w:t xml:space="preserve"> נוספים </w:t>
      </w:r>
      <w:r w:rsidRPr="00E40DD3">
        <w:rPr>
          <w:rFonts w:eastAsia="Arial Unicode MS" w:hint="eastAsia"/>
          <w:b/>
          <w:bCs/>
          <w:szCs w:val="26"/>
          <w:rtl/>
        </w:rPr>
        <w:t>להתמודד</w:t>
      </w:r>
      <w:r w:rsidRPr="00E40DD3">
        <w:rPr>
          <w:rFonts w:eastAsia="Arial Unicode MS"/>
          <w:b/>
          <w:bCs/>
          <w:szCs w:val="26"/>
          <w:rtl/>
        </w:rPr>
        <w:t xml:space="preserve"> </w:t>
      </w:r>
      <w:r w:rsidRPr="00E40DD3">
        <w:rPr>
          <w:rFonts w:eastAsia="Arial Unicode MS" w:hint="eastAsia"/>
          <w:b/>
          <w:bCs/>
          <w:szCs w:val="26"/>
          <w:rtl/>
        </w:rPr>
        <w:t>עם</w:t>
      </w:r>
      <w:r w:rsidRPr="00E40DD3">
        <w:rPr>
          <w:rFonts w:eastAsia="Arial Unicode MS"/>
          <w:b/>
          <w:bCs/>
          <w:szCs w:val="26"/>
          <w:rtl/>
        </w:rPr>
        <w:t xml:space="preserve"> </w:t>
      </w:r>
      <w:r w:rsidRPr="00E40DD3">
        <w:rPr>
          <w:rFonts w:eastAsia="Arial Unicode MS" w:hint="eastAsia"/>
          <w:b/>
          <w:bCs/>
          <w:szCs w:val="26"/>
          <w:rtl/>
        </w:rPr>
        <w:t>התופעה</w:t>
      </w:r>
      <w:r w:rsidRPr="00E40DD3">
        <w:rPr>
          <w:rFonts w:eastAsia="Arial Unicode MS"/>
          <w:b/>
          <w:bCs/>
          <w:szCs w:val="26"/>
          <w:rtl/>
        </w:rPr>
        <w:t xml:space="preserve"> </w:t>
      </w:r>
      <w:r w:rsidRPr="00E40DD3">
        <w:rPr>
          <w:rFonts w:eastAsia="Arial Unicode MS" w:hint="eastAsia"/>
          <w:b/>
          <w:bCs/>
          <w:szCs w:val="26"/>
          <w:rtl/>
        </w:rPr>
        <w:t>במסגרת</w:t>
      </w:r>
      <w:r w:rsidRPr="00E40DD3">
        <w:rPr>
          <w:rFonts w:eastAsia="Arial Unicode MS"/>
          <w:b/>
          <w:bCs/>
          <w:szCs w:val="26"/>
          <w:rtl/>
        </w:rPr>
        <w:t xml:space="preserve"> </w:t>
      </w:r>
      <w:r w:rsidRPr="00E40DD3">
        <w:rPr>
          <w:rFonts w:eastAsia="Arial Unicode MS" w:hint="eastAsia"/>
          <w:b/>
          <w:bCs/>
          <w:szCs w:val="26"/>
          <w:rtl/>
        </w:rPr>
        <w:t>הכלים</w:t>
      </w:r>
      <w:r w:rsidRPr="00E40DD3">
        <w:rPr>
          <w:rFonts w:eastAsia="Arial Unicode MS"/>
          <w:b/>
          <w:bCs/>
          <w:szCs w:val="26"/>
          <w:rtl/>
        </w:rPr>
        <w:t xml:space="preserve"> </w:t>
      </w:r>
      <w:r w:rsidRPr="00E40DD3">
        <w:rPr>
          <w:rFonts w:eastAsia="Arial Unicode MS" w:hint="eastAsia"/>
          <w:b/>
          <w:bCs/>
          <w:szCs w:val="26"/>
          <w:rtl/>
        </w:rPr>
        <w:t>המוקנים</w:t>
      </w:r>
      <w:r w:rsidRPr="00E40DD3">
        <w:rPr>
          <w:rFonts w:eastAsia="Arial Unicode MS"/>
          <w:b/>
          <w:bCs/>
          <w:szCs w:val="26"/>
          <w:rtl/>
        </w:rPr>
        <w:t xml:space="preserve"> לה בחוק </w:t>
      </w:r>
      <w:proofErr w:type="spellStart"/>
      <w:r w:rsidRPr="00E40DD3">
        <w:rPr>
          <w:rFonts w:eastAsia="Arial Unicode MS" w:hint="eastAsia"/>
          <w:b/>
          <w:bCs/>
          <w:szCs w:val="26"/>
          <w:rtl/>
        </w:rPr>
        <w:t>כמאסדרת</w:t>
      </w:r>
      <w:proofErr w:type="spellEnd"/>
      <w:r w:rsidRPr="00E40DD3">
        <w:rPr>
          <w:rFonts w:eastAsia="Arial Unicode MS"/>
          <w:b/>
          <w:bCs/>
          <w:szCs w:val="26"/>
          <w:rtl/>
        </w:rPr>
        <w:t xml:space="preserve"> התחום.</w:t>
      </w:r>
      <w:r w:rsidRPr="00E40DD3">
        <w:rPr>
          <w:rFonts w:ascii="Arial" w:eastAsia="Arial Unicode MS" w:hAnsi="Arial"/>
          <w:sz w:val="26"/>
          <w:szCs w:val="26"/>
          <w:rtl/>
        </w:rPr>
        <w:t xml:space="preserve">" </w:t>
      </w:r>
      <w:r w:rsidRPr="00B96F76">
        <w:rPr>
          <w:rFonts w:ascii="Arial" w:eastAsia="Arial Unicode MS" w:hAnsi="Arial" w:hint="cs"/>
          <w:sz w:val="26"/>
          <w:szCs w:val="26"/>
          <w:rtl/>
        </w:rPr>
        <w:t>וכן</w:t>
      </w:r>
      <w:r w:rsidRPr="00E40DD3">
        <w:rPr>
          <w:rFonts w:ascii="Arial" w:eastAsia="Arial Unicode MS" w:hAnsi="Arial"/>
          <w:sz w:val="26"/>
          <w:szCs w:val="26"/>
          <w:rtl/>
        </w:rPr>
        <w:t xml:space="preserve"> </w:t>
      </w:r>
      <w:r w:rsidRPr="00E40DD3">
        <w:rPr>
          <w:rFonts w:eastAsia="Arial Unicode MS"/>
          <w:b/>
          <w:bCs/>
          <w:szCs w:val="26"/>
          <w:rtl/>
        </w:rPr>
        <w:t xml:space="preserve">"לצד זאת, על הרשות לוודא כי היא פועלת במלוא האמצעים העומדים לרשותה לצורך </w:t>
      </w:r>
      <w:proofErr w:type="spellStart"/>
      <w:r w:rsidRPr="00E40DD3">
        <w:rPr>
          <w:rFonts w:eastAsia="Arial Unicode MS" w:hint="eastAsia"/>
          <w:b/>
          <w:bCs/>
          <w:szCs w:val="26"/>
          <w:rtl/>
        </w:rPr>
        <w:t>הנגשת</w:t>
      </w:r>
      <w:proofErr w:type="spellEnd"/>
      <w:r w:rsidRPr="00E40DD3">
        <w:rPr>
          <w:rFonts w:eastAsia="Arial Unicode MS"/>
          <w:b/>
          <w:bCs/>
          <w:szCs w:val="26"/>
          <w:rtl/>
        </w:rPr>
        <w:t xml:space="preserve"> מלוא המידע הנדרש לקהל המבוטחים, ולצורך יידוע המבוטחים על זכויותיהם במסגרת הפוליסות שהם רכשו, בבואם לקבל טיפול רפואי הן במערכות הבריאות הציבוריות והן במערכות הפרטיות..."</w:t>
      </w:r>
    </w:p>
    <w:p w:rsidR="00325A9B" w:rsidRPr="00356CD4" w:rsidRDefault="00325A9B" w:rsidP="00325A9B">
      <w:pPr>
        <w:snapToGrid w:val="0"/>
        <w:rPr>
          <w:rFonts w:ascii="Arial" w:eastAsia="Arial Unicode MS" w:hAnsi="Arial"/>
          <w:b/>
          <w:bCs/>
          <w:szCs w:val="26"/>
          <w:rtl/>
        </w:rPr>
      </w:pPr>
      <w:r w:rsidRPr="003526E8">
        <w:rPr>
          <w:rFonts w:ascii="Arial" w:eastAsia="Arial Unicode MS" w:hAnsi="Arial" w:hint="cs"/>
          <w:szCs w:val="26"/>
          <w:rtl/>
        </w:rPr>
        <w:t>בפרק העוסק בהסדרת פעילותם של סוכני הביטוח בתחום ביטוחי הבריאות המסחריים</w:t>
      </w:r>
      <w:r w:rsidRPr="003526E8">
        <w:rPr>
          <w:rFonts w:ascii="Arial" w:eastAsia="Arial Unicode MS" w:hAnsi="Arial" w:hint="cs"/>
          <w:sz w:val="26"/>
          <w:szCs w:val="26"/>
          <w:rtl/>
        </w:rPr>
        <w:t xml:space="preserve"> ציין המבקר</w:t>
      </w:r>
      <w:r w:rsidRPr="003526E8">
        <w:rPr>
          <w:rFonts w:ascii="Arial" w:eastAsia="Arial Unicode MS" w:hAnsi="Arial" w:hint="cs"/>
          <w:i/>
          <w:iCs/>
          <w:sz w:val="26"/>
          <w:szCs w:val="26"/>
          <w:rtl/>
        </w:rPr>
        <w:t xml:space="preserve"> </w:t>
      </w:r>
      <w:r w:rsidRPr="003526E8">
        <w:rPr>
          <w:rFonts w:ascii="Arial" w:eastAsia="Arial Unicode MS" w:hAnsi="Arial" w:hint="cs"/>
          <w:sz w:val="26"/>
          <w:szCs w:val="26"/>
          <w:rtl/>
        </w:rPr>
        <w:t xml:space="preserve">כי </w:t>
      </w:r>
      <w:r w:rsidRPr="003526E8">
        <w:rPr>
          <w:rFonts w:ascii="Arial" w:eastAsia="Arial Unicode MS" w:hAnsi="Arial" w:hint="cs"/>
          <w:szCs w:val="26"/>
          <w:rtl/>
        </w:rPr>
        <w:t>"</w:t>
      </w:r>
      <w:r w:rsidRPr="00356CD4">
        <w:rPr>
          <w:rFonts w:ascii="Arial" w:eastAsia="Arial Unicode MS" w:hAnsi="Arial" w:hint="eastAsia"/>
          <w:b/>
          <w:bCs/>
          <w:szCs w:val="26"/>
          <w:rtl/>
        </w:rPr>
        <w:t>אוריינות</w:t>
      </w:r>
      <w:r w:rsidRPr="00356CD4">
        <w:rPr>
          <w:rFonts w:ascii="Arial" w:eastAsia="Arial Unicode MS" w:hAnsi="Arial"/>
          <w:b/>
          <w:bCs/>
          <w:szCs w:val="26"/>
          <w:rtl/>
        </w:rPr>
        <w:t xml:space="preserve"> </w:t>
      </w:r>
      <w:r w:rsidRPr="00356CD4">
        <w:rPr>
          <w:rFonts w:ascii="Arial" w:eastAsia="Arial Unicode MS" w:hAnsi="Arial" w:hint="eastAsia"/>
          <w:b/>
          <w:bCs/>
          <w:szCs w:val="26"/>
          <w:rtl/>
        </w:rPr>
        <w:t>פיננסית</w:t>
      </w:r>
      <w:r w:rsidRPr="00356CD4">
        <w:rPr>
          <w:rFonts w:ascii="Arial" w:eastAsia="Arial Unicode MS" w:hAnsi="Arial"/>
          <w:b/>
          <w:bCs/>
          <w:szCs w:val="26"/>
          <w:rtl/>
        </w:rPr>
        <w:t xml:space="preserve"> </w:t>
      </w:r>
      <w:r w:rsidRPr="00356CD4">
        <w:rPr>
          <w:rFonts w:ascii="Arial" w:eastAsia="Arial Unicode MS" w:hAnsi="Arial" w:hint="eastAsia"/>
          <w:b/>
          <w:bCs/>
          <w:szCs w:val="26"/>
          <w:rtl/>
        </w:rPr>
        <w:t>נמוכה</w:t>
      </w:r>
      <w:r w:rsidRPr="00356CD4">
        <w:rPr>
          <w:rFonts w:ascii="Arial" w:eastAsia="Arial Unicode MS" w:hAnsi="Arial" w:cs="Times New Roman"/>
          <w:b/>
          <w:bCs/>
          <w:sz w:val="12"/>
          <w:szCs w:val="18"/>
          <w:vertAlign w:val="superscript"/>
          <w:rtl/>
        </w:rPr>
        <w:footnoteReference w:id="1"/>
      </w:r>
      <w:r w:rsidRPr="00356CD4">
        <w:rPr>
          <w:rFonts w:ascii="Arial" w:eastAsia="Arial Unicode MS" w:hAnsi="Arial"/>
          <w:b/>
          <w:bCs/>
          <w:szCs w:val="26"/>
          <w:rtl/>
        </w:rPr>
        <w:t xml:space="preserve"> בקרב הציבור הרחב היא אחד הגורמים המרכזיים לעלויות יתר שהציבור </w:t>
      </w:r>
      <w:r w:rsidRPr="00356CD4">
        <w:rPr>
          <w:rFonts w:ascii="Arial" w:eastAsia="Arial Unicode MS" w:hAnsi="Arial" w:hint="eastAsia"/>
          <w:b/>
          <w:bCs/>
          <w:szCs w:val="26"/>
          <w:rtl/>
        </w:rPr>
        <w:t>נושא</w:t>
      </w:r>
      <w:r w:rsidRPr="00356CD4">
        <w:rPr>
          <w:rFonts w:ascii="Arial" w:eastAsia="Arial Unicode MS" w:hAnsi="Arial"/>
          <w:b/>
          <w:bCs/>
          <w:szCs w:val="26"/>
          <w:rtl/>
        </w:rPr>
        <w:t xml:space="preserve"> </w:t>
      </w:r>
      <w:r w:rsidRPr="00356CD4">
        <w:rPr>
          <w:rFonts w:ascii="Arial" w:eastAsia="Arial Unicode MS" w:hAnsi="Arial" w:hint="eastAsia"/>
          <w:b/>
          <w:bCs/>
          <w:szCs w:val="26"/>
          <w:rtl/>
        </w:rPr>
        <w:t>בהן</w:t>
      </w:r>
      <w:r w:rsidRPr="00356CD4">
        <w:rPr>
          <w:rFonts w:ascii="Arial" w:eastAsia="Arial Unicode MS" w:hAnsi="Arial"/>
          <w:b/>
          <w:bCs/>
          <w:szCs w:val="26"/>
          <w:rtl/>
        </w:rPr>
        <w:t xml:space="preserve"> </w:t>
      </w:r>
      <w:r w:rsidRPr="00356CD4">
        <w:rPr>
          <w:rFonts w:ascii="Arial" w:eastAsia="Arial Unicode MS" w:hAnsi="Arial" w:hint="eastAsia"/>
          <w:b/>
          <w:bCs/>
          <w:szCs w:val="26"/>
          <w:rtl/>
        </w:rPr>
        <w:t>ברכישת</w:t>
      </w:r>
      <w:r w:rsidRPr="00356CD4">
        <w:rPr>
          <w:rFonts w:ascii="Arial" w:eastAsia="Arial Unicode MS" w:hAnsi="Arial"/>
          <w:b/>
          <w:bCs/>
          <w:szCs w:val="26"/>
          <w:rtl/>
        </w:rPr>
        <w:t xml:space="preserve"> </w:t>
      </w:r>
      <w:r w:rsidRPr="00356CD4">
        <w:rPr>
          <w:rFonts w:ascii="Arial" w:eastAsia="Arial Unicode MS" w:hAnsi="Arial" w:hint="eastAsia"/>
          <w:b/>
          <w:bCs/>
          <w:szCs w:val="26"/>
          <w:rtl/>
        </w:rPr>
        <w:t>שירותים</w:t>
      </w:r>
      <w:r w:rsidRPr="00356CD4">
        <w:rPr>
          <w:rFonts w:ascii="Arial" w:eastAsia="Arial Unicode MS" w:hAnsi="Arial"/>
          <w:b/>
          <w:bCs/>
          <w:szCs w:val="26"/>
          <w:rtl/>
        </w:rPr>
        <w:t xml:space="preserve"> </w:t>
      </w:r>
      <w:r w:rsidRPr="00356CD4">
        <w:rPr>
          <w:rFonts w:ascii="Arial" w:eastAsia="Arial Unicode MS" w:hAnsi="Arial" w:hint="eastAsia"/>
          <w:b/>
          <w:bCs/>
          <w:szCs w:val="26"/>
          <w:rtl/>
        </w:rPr>
        <w:t>פיננסיים</w:t>
      </w:r>
      <w:r w:rsidRPr="00356CD4">
        <w:rPr>
          <w:rFonts w:ascii="Arial" w:eastAsia="Arial Unicode MS" w:hAnsi="Arial" w:cs="Times New Roman"/>
          <w:sz w:val="12"/>
          <w:szCs w:val="18"/>
          <w:vertAlign w:val="superscript"/>
          <w:rtl/>
        </w:rPr>
        <w:footnoteReference w:id="2"/>
      </w:r>
      <w:r w:rsidRPr="00356CD4">
        <w:rPr>
          <w:rFonts w:ascii="Arial" w:eastAsia="Arial Unicode MS" w:hAnsi="Arial"/>
          <w:szCs w:val="26"/>
          <w:rtl/>
        </w:rPr>
        <w:t>.</w:t>
      </w:r>
      <w:r w:rsidRPr="00356CD4">
        <w:rPr>
          <w:rFonts w:ascii="Arial" w:eastAsia="Arial Unicode MS" w:hAnsi="Arial"/>
          <w:b/>
          <w:bCs/>
          <w:szCs w:val="26"/>
          <w:rtl/>
        </w:rPr>
        <w:t xml:space="preserve"> סקר אוריינות פיננסית שערכה הלשכה המרכזית לסטטיסטיקה בשנת 2012, בהזמנת המועצה הלאומית לכלכלה ובשיתוף משרד האוצר ובנק ישראל, הציג ממצאים המעידים כי רמת האוריינות הפיננסית של הציבור בישראל נמוכה מאוד</w:t>
      </w:r>
      <w:r w:rsidRPr="00356CD4">
        <w:rPr>
          <w:rFonts w:ascii="Arial" w:eastAsia="Arial Unicode MS" w:hAnsi="Arial" w:cs="Times New Roman"/>
          <w:sz w:val="12"/>
          <w:szCs w:val="18"/>
          <w:vertAlign w:val="superscript"/>
          <w:rtl/>
        </w:rPr>
        <w:footnoteReference w:id="3"/>
      </w:r>
      <w:r w:rsidRPr="00356CD4">
        <w:rPr>
          <w:rFonts w:ascii="Arial" w:eastAsia="Arial Unicode MS" w:hAnsi="Arial"/>
          <w:b/>
          <w:bCs/>
          <w:szCs w:val="26"/>
          <w:rtl/>
        </w:rPr>
        <w:t>.</w:t>
      </w:r>
    </w:p>
    <w:p w:rsidR="00325A9B" w:rsidRPr="003526E8" w:rsidRDefault="00325A9B" w:rsidP="00325A9B">
      <w:pPr>
        <w:rPr>
          <w:rFonts w:ascii="Arial" w:eastAsia="Arial Unicode MS" w:hAnsi="Arial"/>
          <w:szCs w:val="26"/>
          <w:rtl/>
        </w:rPr>
      </w:pPr>
      <w:r w:rsidRPr="00356CD4">
        <w:rPr>
          <w:rFonts w:ascii="Arial" w:eastAsia="Arial Unicode MS" w:hAnsi="Arial" w:hint="eastAsia"/>
          <w:b/>
          <w:bCs/>
          <w:szCs w:val="26"/>
          <w:rtl/>
        </w:rPr>
        <w:t>במחקר</w:t>
      </w:r>
      <w:r w:rsidRPr="00356CD4">
        <w:rPr>
          <w:rFonts w:ascii="Arial" w:eastAsia="Arial Unicode MS" w:hAnsi="Arial"/>
          <w:b/>
          <w:bCs/>
          <w:szCs w:val="26"/>
          <w:rtl/>
        </w:rPr>
        <w:t xml:space="preserve"> </w:t>
      </w:r>
      <w:r w:rsidRPr="00356CD4">
        <w:rPr>
          <w:rFonts w:ascii="Arial" w:eastAsia="Arial Unicode MS" w:hAnsi="Arial" w:hint="eastAsia"/>
          <w:b/>
          <w:bCs/>
          <w:szCs w:val="26"/>
          <w:rtl/>
        </w:rPr>
        <w:t>שנערך</w:t>
      </w:r>
      <w:r w:rsidRPr="00356CD4">
        <w:rPr>
          <w:rFonts w:ascii="Arial" w:eastAsia="Arial Unicode MS" w:hAnsi="Arial"/>
          <w:b/>
          <w:bCs/>
          <w:szCs w:val="26"/>
          <w:rtl/>
        </w:rPr>
        <w:t xml:space="preserve"> </w:t>
      </w:r>
      <w:r w:rsidRPr="00356CD4">
        <w:rPr>
          <w:rFonts w:ascii="Arial" w:eastAsia="Arial Unicode MS" w:hAnsi="Arial" w:hint="eastAsia"/>
          <w:b/>
          <w:bCs/>
          <w:szCs w:val="26"/>
          <w:rtl/>
        </w:rPr>
        <w:t>בישראל</w:t>
      </w:r>
      <w:r w:rsidRPr="00356CD4">
        <w:rPr>
          <w:rFonts w:ascii="Arial" w:eastAsia="Arial Unicode MS" w:hAnsi="Arial"/>
          <w:b/>
          <w:bCs/>
          <w:szCs w:val="26"/>
          <w:rtl/>
        </w:rPr>
        <w:t xml:space="preserve"> </w:t>
      </w:r>
      <w:r w:rsidRPr="00356CD4">
        <w:rPr>
          <w:rFonts w:ascii="Arial" w:eastAsia="Arial Unicode MS" w:hAnsi="Arial" w:hint="eastAsia"/>
          <w:b/>
          <w:bCs/>
          <w:szCs w:val="26"/>
          <w:rtl/>
        </w:rPr>
        <w:t>נמצא</w:t>
      </w:r>
      <w:r w:rsidRPr="00356CD4">
        <w:rPr>
          <w:rFonts w:ascii="Arial" w:eastAsia="Arial Unicode MS" w:hAnsi="Arial"/>
          <w:b/>
          <w:bCs/>
          <w:szCs w:val="26"/>
          <w:rtl/>
        </w:rPr>
        <w:t xml:space="preserve"> </w:t>
      </w:r>
      <w:r w:rsidRPr="00356CD4">
        <w:rPr>
          <w:rFonts w:ascii="Arial" w:eastAsia="Arial Unicode MS" w:hAnsi="Arial" w:hint="eastAsia"/>
          <w:b/>
          <w:bCs/>
          <w:szCs w:val="26"/>
          <w:rtl/>
        </w:rPr>
        <w:t>כי</w:t>
      </w:r>
      <w:r w:rsidRPr="00356CD4">
        <w:rPr>
          <w:rFonts w:ascii="Arial" w:eastAsia="Arial Unicode MS" w:hAnsi="Arial"/>
          <w:b/>
          <w:bCs/>
          <w:szCs w:val="26"/>
          <w:rtl/>
        </w:rPr>
        <w:t xml:space="preserve"> </w:t>
      </w:r>
      <w:r w:rsidRPr="00356CD4">
        <w:rPr>
          <w:rFonts w:ascii="Arial" w:eastAsia="Arial Unicode MS" w:hAnsi="Arial" w:hint="eastAsia"/>
          <w:b/>
          <w:bCs/>
          <w:szCs w:val="26"/>
          <w:rtl/>
        </w:rPr>
        <w:t>להמלצת</w:t>
      </w:r>
      <w:r w:rsidRPr="00356CD4">
        <w:rPr>
          <w:rFonts w:ascii="Arial" w:eastAsia="Arial Unicode MS" w:hAnsi="Arial"/>
          <w:b/>
          <w:bCs/>
          <w:szCs w:val="26"/>
          <w:rtl/>
        </w:rPr>
        <w:t xml:space="preserve"> </w:t>
      </w:r>
      <w:r w:rsidRPr="00356CD4">
        <w:rPr>
          <w:rFonts w:ascii="Arial" w:eastAsia="Arial Unicode MS" w:hAnsi="Arial" w:hint="eastAsia"/>
          <w:b/>
          <w:bCs/>
          <w:szCs w:val="26"/>
          <w:rtl/>
        </w:rPr>
        <w:t>סוכן</w:t>
      </w:r>
      <w:r w:rsidRPr="00356CD4">
        <w:rPr>
          <w:rFonts w:ascii="Arial" w:eastAsia="Arial Unicode MS" w:hAnsi="Arial"/>
          <w:b/>
          <w:bCs/>
          <w:szCs w:val="26"/>
          <w:rtl/>
        </w:rPr>
        <w:t xml:space="preserve"> </w:t>
      </w:r>
      <w:r w:rsidRPr="00356CD4">
        <w:rPr>
          <w:rFonts w:ascii="Arial" w:eastAsia="Arial Unicode MS" w:hAnsi="Arial" w:hint="eastAsia"/>
          <w:b/>
          <w:bCs/>
          <w:szCs w:val="26"/>
          <w:rtl/>
        </w:rPr>
        <w:t>הביטוח</w:t>
      </w:r>
      <w:r w:rsidRPr="00356CD4">
        <w:rPr>
          <w:rFonts w:ascii="Arial" w:eastAsia="Arial Unicode MS" w:hAnsi="Arial"/>
          <w:b/>
          <w:bCs/>
          <w:szCs w:val="26"/>
          <w:rtl/>
        </w:rPr>
        <w:t xml:space="preserve"> </w:t>
      </w:r>
      <w:r w:rsidRPr="00356CD4">
        <w:rPr>
          <w:rFonts w:ascii="Arial" w:eastAsia="Arial Unicode MS" w:hAnsi="Arial" w:hint="eastAsia"/>
          <w:b/>
          <w:bCs/>
          <w:szCs w:val="26"/>
          <w:rtl/>
        </w:rPr>
        <w:t>יש</w:t>
      </w:r>
      <w:r w:rsidRPr="00356CD4">
        <w:rPr>
          <w:rFonts w:ascii="Arial" w:eastAsia="Arial Unicode MS" w:hAnsi="Arial"/>
          <w:b/>
          <w:bCs/>
          <w:szCs w:val="26"/>
          <w:rtl/>
        </w:rPr>
        <w:t xml:space="preserve"> </w:t>
      </w:r>
      <w:r w:rsidRPr="00356CD4">
        <w:rPr>
          <w:rFonts w:ascii="Arial" w:eastAsia="Arial Unicode MS" w:hAnsi="Arial" w:hint="eastAsia"/>
          <w:b/>
          <w:bCs/>
          <w:szCs w:val="26"/>
          <w:rtl/>
        </w:rPr>
        <w:t>השפעה</w:t>
      </w:r>
      <w:r w:rsidRPr="00356CD4">
        <w:rPr>
          <w:rFonts w:ascii="Arial" w:eastAsia="Arial Unicode MS" w:hAnsi="Arial"/>
          <w:b/>
          <w:bCs/>
          <w:szCs w:val="26"/>
          <w:rtl/>
        </w:rPr>
        <w:t xml:space="preserve"> </w:t>
      </w:r>
      <w:r w:rsidRPr="00356CD4">
        <w:rPr>
          <w:rFonts w:ascii="Arial" w:eastAsia="Arial Unicode MS" w:hAnsi="Arial" w:hint="eastAsia"/>
          <w:b/>
          <w:bCs/>
          <w:szCs w:val="26"/>
          <w:rtl/>
        </w:rPr>
        <w:t>ניכרת</w:t>
      </w:r>
      <w:r w:rsidRPr="00356CD4">
        <w:rPr>
          <w:rFonts w:ascii="Arial" w:eastAsia="Arial Unicode MS" w:hAnsi="Arial"/>
          <w:b/>
          <w:bCs/>
          <w:szCs w:val="26"/>
          <w:rtl/>
        </w:rPr>
        <w:t xml:space="preserve"> </w:t>
      </w:r>
      <w:r w:rsidRPr="00356CD4">
        <w:rPr>
          <w:rFonts w:ascii="Arial" w:eastAsia="Arial Unicode MS" w:hAnsi="Arial" w:hint="eastAsia"/>
          <w:b/>
          <w:bCs/>
          <w:szCs w:val="26"/>
          <w:rtl/>
        </w:rPr>
        <w:t>על</w:t>
      </w:r>
      <w:r w:rsidRPr="00356CD4">
        <w:rPr>
          <w:rFonts w:ascii="Arial" w:eastAsia="Arial Unicode MS" w:hAnsi="Arial"/>
          <w:b/>
          <w:bCs/>
          <w:szCs w:val="26"/>
          <w:rtl/>
        </w:rPr>
        <w:t xml:space="preserve"> </w:t>
      </w:r>
      <w:r w:rsidRPr="00356CD4">
        <w:rPr>
          <w:rFonts w:ascii="Arial" w:eastAsia="Arial Unicode MS" w:hAnsi="Arial" w:hint="eastAsia"/>
          <w:b/>
          <w:bCs/>
          <w:szCs w:val="26"/>
          <w:rtl/>
        </w:rPr>
        <w:t>קבלת</w:t>
      </w:r>
      <w:r w:rsidRPr="00356CD4">
        <w:rPr>
          <w:rFonts w:ascii="Arial" w:eastAsia="Arial Unicode MS" w:hAnsi="Arial"/>
          <w:b/>
          <w:bCs/>
          <w:szCs w:val="26"/>
          <w:rtl/>
        </w:rPr>
        <w:t xml:space="preserve"> </w:t>
      </w:r>
      <w:r w:rsidRPr="00356CD4">
        <w:rPr>
          <w:rFonts w:ascii="Arial" w:eastAsia="Arial Unicode MS" w:hAnsi="Arial" w:hint="eastAsia"/>
          <w:b/>
          <w:bCs/>
          <w:szCs w:val="26"/>
          <w:rtl/>
        </w:rPr>
        <w:t>ההחלטות</w:t>
      </w:r>
      <w:r w:rsidRPr="00356CD4">
        <w:rPr>
          <w:rFonts w:ascii="Arial" w:eastAsia="Arial Unicode MS" w:hAnsi="Arial"/>
          <w:b/>
          <w:bCs/>
          <w:szCs w:val="26"/>
          <w:rtl/>
        </w:rPr>
        <w:t xml:space="preserve"> </w:t>
      </w:r>
      <w:r w:rsidRPr="00356CD4">
        <w:rPr>
          <w:rFonts w:ascii="Arial" w:eastAsia="Arial Unicode MS" w:hAnsi="Arial" w:hint="eastAsia"/>
          <w:b/>
          <w:bCs/>
          <w:szCs w:val="26"/>
          <w:rtl/>
        </w:rPr>
        <w:t>של</w:t>
      </w:r>
      <w:r w:rsidRPr="00356CD4">
        <w:rPr>
          <w:rFonts w:ascii="Arial" w:eastAsia="Arial Unicode MS" w:hAnsi="Arial"/>
          <w:b/>
          <w:bCs/>
          <w:szCs w:val="26"/>
          <w:rtl/>
        </w:rPr>
        <w:t xml:space="preserve"> </w:t>
      </w:r>
      <w:r w:rsidRPr="00356CD4">
        <w:rPr>
          <w:rFonts w:ascii="Arial" w:eastAsia="Arial Unicode MS" w:hAnsi="Arial" w:hint="eastAsia"/>
          <w:b/>
          <w:bCs/>
          <w:szCs w:val="26"/>
          <w:rtl/>
        </w:rPr>
        <w:t>הצרכנים</w:t>
      </w:r>
      <w:r w:rsidRPr="00356CD4">
        <w:rPr>
          <w:rFonts w:ascii="Arial" w:eastAsia="Arial Unicode MS" w:hAnsi="Arial"/>
          <w:b/>
          <w:bCs/>
          <w:szCs w:val="26"/>
          <w:rtl/>
        </w:rPr>
        <w:t xml:space="preserve"> </w:t>
      </w:r>
      <w:r w:rsidRPr="00356CD4">
        <w:rPr>
          <w:rFonts w:ascii="Arial" w:eastAsia="Arial Unicode MS" w:hAnsi="Arial" w:hint="eastAsia"/>
          <w:b/>
          <w:bCs/>
          <w:szCs w:val="26"/>
          <w:rtl/>
        </w:rPr>
        <w:t>גם</w:t>
      </w:r>
      <w:r w:rsidRPr="00356CD4">
        <w:rPr>
          <w:rFonts w:ascii="Arial" w:eastAsia="Arial Unicode MS" w:hAnsi="Arial"/>
          <w:b/>
          <w:bCs/>
          <w:szCs w:val="26"/>
          <w:rtl/>
        </w:rPr>
        <w:t xml:space="preserve"> </w:t>
      </w:r>
      <w:r w:rsidRPr="00356CD4">
        <w:rPr>
          <w:rFonts w:ascii="Arial" w:eastAsia="Arial Unicode MS" w:hAnsi="Arial" w:hint="eastAsia"/>
          <w:b/>
          <w:bCs/>
          <w:szCs w:val="26"/>
          <w:rtl/>
        </w:rPr>
        <w:t>בקרב</w:t>
      </w:r>
      <w:r w:rsidRPr="00356CD4">
        <w:rPr>
          <w:rFonts w:ascii="Arial" w:eastAsia="Arial Unicode MS" w:hAnsi="Arial"/>
          <w:b/>
          <w:bCs/>
          <w:szCs w:val="26"/>
          <w:rtl/>
        </w:rPr>
        <w:t xml:space="preserve"> </w:t>
      </w:r>
      <w:r w:rsidRPr="00356CD4">
        <w:rPr>
          <w:rFonts w:ascii="Arial" w:eastAsia="Arial Unicode MS" w:hAnsi="Arial" w:hint="eastAsia"/>
          <w:b/>
          <w:bCs/>
          <w:szCs w:val="26"/>
          <w:rtl/>
        </w:rPr>
        <w:t>בעלי</w:t>
      </w:r>
      <w:r w:rsidRPr="00356CD4">
        <w:rPr>
          <w:rFonts w:ascii="Arial" w:eastAsia="Arial Unicode MS" w:hAnsi="Arial"/>
          <w:b/>
          <w:bCs/>
          <w:szCs w:val="26"/>
          <w:rtl/>
        </w:rPr>
        <w:t xml:space="preserve"> </w:t>
      </w:r>
      <w:r w:rsidRPr="00356CD4">
        <w:rPr>
          <w:rFonts w:ascii="Arial" w:eastAsia="Arial Unicode MS" w:hAnsi="Arial" w:hint="eastAsia"/>
          <w:b/>
          <w:bCs/>
          <w:szCs w:val="26"/>
          <w:rtl/>
        </w:rPr>
        <w:t>אוריינות</w:t>
      </w:r>
      <w:r w:rsidRPr="00356CD4">
        <w:rPr>
          <w:rFonts w:ascii="Arial" w:eastAsia="Arial Unicode MS" w:hAnsi="Arial"/>
          <w:b/>
          <w:bCs/>
          <w:szCs w:val="26"/>
          <w:rtl/>
        </w:rPr>
        <w:t xml:space="preserve"> </w:t>
      </w:r>
      <w:r w:rsidRPr="00356CD4">
        <w:rPr>
          <w:rFonts w:ascii="Arial" w:eastAsia="Arial Unicode MS" w:hAnsi="Arial" w:hint="eastAsia"/>
          <w:b/>
          <w:bCs/>
          <w:szCs w:val="26"/>
          <w:rtl/>
        </w:rPr>
        <w:t>פיננסית</w:t>
      </w:r>
      <w:r w:rsidRPr="00356CD4">
        <w:rPr>
          <w:rFonts w:ascii="Arial" w:eastAsia="Arial Unicode MS" w:hAnsi="Arial"/>
          <w:b/>
          <w:bCs/>
          <w:szCs w:val="26"/>
          <w:rtl/>
        </w:rPr>
        <w:t xml:space="preserve"> </w:t>
      </w:r>
      <w:r w:rsidRPr="00356CD4">
        <w:rPr>
          <w:rFonts w:ascii="Arial" w:eastAsia="Arial Unicode MS" w:hAnsi="Arial" w:hint="eastAsia"/>
          <w:b/>
          <w:bCs/>
          <w:szCs w:val="26"/>
          <w:rtl/>
        </w:rPr>
        <w:t>גבוהה</w:t>
      </w:r>
      <w:r w:rsidRPr="00356CD4">
        <w:rPr>
          <w:rFonts w:ascii="Arial" w:eastAsia="Arial Unicode MS" w:hAnsi="Arial"/>
          <w:b/>
          <w:bCs/>
          <w:szCs w:val="26"/>
          <w:rtl/>
        </w:rPr>
        <w:t xml:space="preserve">, </w:t>
      </w:r>
      <w:r w:rsidRPr="00356CD4">
        <w:rPr>
          <w:rFonts w:ascii="Arial" w:eastAsia="Arial Unicode MS" w:hAnsi="Arial" w:hint="eastAsia"/>
          <w:b/>
          <w:bCs/>
          <w:szCs w:val="26"/>
          <w:rtl/>
        </w:rPr>
        <w:t>ואף</w:t>
      </w:r>
      <w:r w:rsidRPr="00356CD4">
        <w:rPr>
          <w:rFonts w:ascii="Arial" w:eastAsia="Arial Unicode MS" w:hAnsi="Arial"/>
          <w:b/>
          <w:bCs/>
          <w:szCs w:val="26"/>
          <w:rtl/>
        </w:rPr>
        <w:t xml:space="preserve"> </w:t>
      </w:r>
      <w:r w:rsidRPr="00356CD4">
        <w:rPr>
          <w:rFonts w:ascii="Arial" w:eastAsia="Arial Unicode MS" w:hAnsi="Arial" w:hint="eastAsia"/>
          <w:b/>
          <w:bCs/>
          <w:szCs w:val="26"/>
          <w:rtl/>
        </w:rPr>
        <w:t>לאחר</w:t>
      </w:r>
      <w:r w:rsidRPr="00356CD4">
        <w:rPr>
          <w:rFonts w:ascii="Arial" w:eastAsia="Arial Unicode MS" w:hAnsi="Arial"/>
          <w:b/>
          <w:bCs/>
          <w:szCs w:val="26"/>
          <w:rtl/>
        </w:rPr>
        <w:t xml:space="preserve"> </w:t>
      </w:r>
      <w:r w:rsidRPr="00356CD4">
        <w:rPr>
          <w:rFonts w:ascii="Arial" w:eastAsia="Arial Unicode MS" w:hAnsi="Arial" w:hint="eastAsia"/>
          <w:b/>
          <w:bCs/>
          <w:szCs w:val="26"/>
          <w:rtl/>
        </w:rPr>
        <w:t>שקיבלו</w:t>
      </w:r>
      <w:r w:rsidRPr="00356CD4">
        <w:rPr>
          <w:rFonts w:ascii="Arial" w:eastAsia="Arial Unicode MS" w:hAnsi="Arial"/>
          <w:b/>
          <w:bCs/>
          <w:szCs w:val="26"/>
          <w:rtl/>
        </w:rPr>
        <w:t xml:space="preserve"> </w:t>
      </w:r>
      <w:r w:rsidRPr="00356CD4">
        <w:rPr>
          <w:rFonts w:ascii="Arial" w:eastAsia="Arial Unicode MS" w:hAnsi="Arial" w:hint="eastAsia"/>
          <w:b/>
          <w:bCs/>
          <w:szCs w:val="26"/>
          <w:rtl/>
        </w:rPr>
        <w:t>גילוי</w:t>
      </w:r>
      <w:r w:rsidRPr="00356CD4">
        <w:rPr>
          <w:rFonts w:ascii="Arial" w:eastAsia="Arial Unicode MS" w:hAnsi="Arial"/>
          <w:b/>
          <w:bCs/>
          <w:szCs w:val="26"/>
          <w:rtl/>
        </w:rPr>
        <w:t xml:space="preserve"> </w:t>
      </w:r>
      <w:r w:rsidRPr="00356CD4">
        <w:rPr>
          <w:rFonts w:ascii="Arial" w:eastAsia="Arial Unicode MS" w:hAnsi="Arial" w:hint="eastAsia"/>
          <w:b/>
          <w:bCs/>
          <w:szCs w:val="26"/>
          <w:rtl/>
        </w:rPr>
        <w:t>נאות</w:t>
      </w:r>
      <w:r w:rsidRPr="00356CD4">
        <w:rPr>
          <w:rFonts w:ascii="Arial" w:eastAsia="Arial Unicode MS" w:hAnsi="Arial"/>
          <w:b/>
          <w:bCs/>
          <w:szCs w:val="26"/>
          <w:rtl/>
        </w:rPr>
        <w:t xml:space="preserve"> </w:t>
      </w:r>
      <w:r w:rsidRPr="00356CD4">
        <w:rPr>
          <w:rFonts w:ascii="Arial" w:eastAsia="Arial Unicode MS" w:hAnsi="Arial" w:hint="eastAsia"/>
          <w:b/>
          <w:bCs/>
          <w:szCs w:val="26"/>
          <w:rtl/>
        </w:rPr>
        <w:t>בדבר</w:t>
      </w:r>
      <w:r w:rsidRPr="00356CD4">
        <w:rPr>
          <w:rFonts w:ascii="Arial" w:eastAsia="Arial Unicode MS" w:hAnsi="Arial"/>
          <w:b/>
          <w:bCs/>
          <w:szCs w:val="26"/>
          <w:rtl/>
        </w:rPr>
        <w:t xml:space="preserve"> </w:t>
      </w:r>
      <w:r w:rsidRPr="00356CD4">
        <w:rPr>
          <w:rFonts w:ascii="Arial" w:eastAsia="Arial Unicode MS" w:hAnsi="Arial" w:hint="eastAsia"/>
          <w:b/>
          <w:bCs/>
          <w:szCs w:val="26"/>
          <w:rtl/>
        </w:rPr>
        <w:t>ניגודי</w:t>
      </w:r>
      <w:r w:rsidRPr="00356CD4">
        <w:rPr>
          <w:rFonts w:ascii="Arial" w:eastAsia="Arial Unicode MS" w:hAnsi="Arial"/>
          <w:b/>
          <w:bCs/>
          <w:szCs w:val="26"/>
          <w:rtl/>
        </w:rPr>
        <w:t xml:space="preserve"> </w:t>
      </w:r>
      <w:r w:rsidRPr="00356CD4">
        <w:rPr>
          <w:rFonts w:ascii="Arial" w:eastAsia="Arial Unicode MS" w:hAnsi="Arial" w:hint="eastAsia"/>
          <w:b/>
          <w:bCs/>
          <w:szCs w:val="26"/>
          <w:rtl/>
        </w:rPr>
        <w:t>אינטרסים</w:t>
      </w:r>
      <w:r w:rsidRPr="00356CD4">
        <w:rPr>
          <w:rFonts w:ascii="Arial" w:eastAsia="Arial Unicode MS" w:hAnsi="Arial"/>
          <w:b/>
          <w:bCs/>
          <w:szCs w:val="26"/>
          <w:rtl/>
        </w:rPr>
        <w:t xml:space="preserve"> </w:t>
      </w:r>
      <w:r w:rsidRPr="00356CD4">
        <w:rPr>
          <w:rFonts w:ascii="Arial" w:eastAsia="Arial Unicode MS" w:hAnsi="Arial" w:hint="eastAsia"/>
          <w:b/>
          <w:bCs/>
          <w:szCs w:val="26"/>
          <w:rtl/>
        </w:rPr>
        <w:t>שסוכן</w:t>
      </w:r>
      <w:r w:rsidRPr="00356CD4">
        <w:rPr>
          <w:rFonts w:ascii="Arial" w:eastAsia="Arial Unicode MS" w:hAnsi="Arial"/>
          <w:b/>
          <w:bCs/>
          <w:szCs w:val="26"/>
          <w:rtl/>
        </w:rPr>
        <w:t xml:space="preserve"> </w:t>
      </w:r>
      <w:r w:rsidRPr="00356CD4">
        <w:rPr>
          <w:rFonts w:ascii="Arial" w:eastAsia="Arial Unicode MS" w:hAnsi="Arial" w:hint="eastAsia"/>
          <w:b/>
          <w:bCs/>
          <w:szCs w:val="26"/>
          <w:rtl/>
        </w:rPr>
        <w:t>הביטוח</w:t>
      </w:r>
      <w:r w:rsidRPr="00356CD4">
        <w:rPr>
          <w:rFonts w:ascii="Arial" w:eastAsia="Arial Unicode MS" w:hAnsi="Arial"/>
          <w:b/>
          <w:bCs/>
          <w:szCs w:val="26"/>
          <w:rtl/>
        </w:rPr>
        <w:t xml:space="preserve"> </w:t>
      </w:r>
      <w:r w:rsidRPr="00356CD4">
        <w:rPr>
          <w:rFonts w:ascii="Arial" w:eastAsia="Arial Unicode MS" w:hAnsi="Arial" w:hint="eastAsia"/>
          <w:b/>
          <w:bCs/>
          <w:szCs w:val="26"/>
          <w:rtl/>
        </w:rPr>
        <w:t>נתון</w:t>
      </w:r>
      <w:r w:rsidRPr="00356CD4">
        <w:rPr>
          <w:rFonts w:ascii="Arial" w:eastAsia="Arial Unicode MS" w:hAnsi="Arial"/>
          <w:b/>
          <w:bCs/>
          <w:szCs w:val="26"/>
          <w:rtl/>
        </w:rPr>
        <w:t xml:space="preserve"> </w:t>
      </w:r>
      <w:r w:rsidRPr="00356CD4">
        <w:rPr>
          <w:rFonts w:ascii="Arial" w:eastAsia="Arial Unicode MS" w:hAnsi="Arial" w:hint="eastAsia"/>
          <w:b/>
          <w:bCs/>
          <w:szCs w:val="26"/>
          <w:rtl/>
        </w:rPr>
        <w:t>בהם</w:t>
      </w:r>
      <w:r w:rsidRPr="00356CD4">
        <w:rPr>
          <w:rFonts w:cs="Times New Roman"/>
          <w:sz w:val="12"/>
          <w:szCs w:val="18"/>
          <w:vertAlign w:val="superscript"/>
          <w:rtl/>
        </w:rPr>
        <w:footnoteReference w:id="4"/>
      </w:r>
      <w:r w:rsidRPr="00356CD4">
        <w:rPr>
          <w:rFonts w:ascii="Arial" w:eastAsia="Arial Unicode MS" w:hAnsi="Arial"/>
          <w:szCs w:val="26"/>
          <w:rtl/>
        </w:rPr>
        <w:t>.</w:t>
      </w:r>
      <w:r w:rsidRPr="00356CD4">
        <w:rPr>
          <w:rFonts w:ascii="Arial" w:eastAsia="Arial Unicode MS" w:hAnsi="Arial"/>
          <w:b/>
          <w:bCs/>
          <w:szCs w:val="26"/>
          <w:rtl/>
        </w:rPr>
        <w:t xml:space="preserve"> לשכת סוכני הביטוח ציינה כי היא תומכת ומחזקת את הממצאים כי הציבור פועל על פי המלצות סוכן הביטוח שכן זו תכלית עבודתו, לספק המלצה ראויה למבוטחים</w:t>
      </w:r>
      <w:r w:rsidRPr="003526E8">
        <w:rPr>
          <w:rFonts w:ascii="Arial" w:eastAsia="Arial Unicode MS" w:hAnsi="Arial" w:hint="cs"/>
          <w:szCs w:val="26"/>
          <w:rtl/>
        </w:rPr>
        <w:t>".</w:t>
      </w:r>
    </w:p>
    <w:p w:rsidR="00325A9B" w:rsidRPr="003526E8" w:rsidRDefault="00325A9B" w:rsidP="00325A9B">
      <w:pPr>
        <w:snapToGrid w:val="0"/>
        <w:rPr>
          <w:rFonts w:ascii="Arial" w:eastAsia="Arial Unicode MS" w:hAnsi="Arial"/>
          <w:sz w:val="26"/>
          <w:szCs w:val="26"/>
          <w:rtl/>
        </w:rPr>
      </w:pPr>
    </w:p>
    <w:p w:rsidR="00325A9B" w:rsidRPr="003526E8" w:rsidRDefault="00325A9B" w:rsidP="00325A9B">
      <w:pPr>
        <w:snapToGrid w:val="0"/>
        <w:rPr>
          <w:rFonts w:ascii="Arial" w:eastAsia="Arial Unicode MS" w:hAnsi="Arial" w:cs="Arial"/>
          <w:szCs w:val="26"/>
          <w:rtl/>
        </w:rPr>
      </w:pPr>
      <w:r w:rsidRPr="003526E8">
        <w:rPr>
          <w:rFonts w:ascii="Arial" w:eastAsia="Arial Unicode MS" w:hAnsi="Arial" w:hint="cs"/>
          <w:szCs w:val="26"/>
          <w:rtl/>
        </w:rPr>
        <w:t xml:space="preserve">החלטה על תכניות ביטוח בריאות היא החלטה מורכבת, שלתוצאותיה השלכות משמעותיות על עתידו הכלכלי של אדם. מורכבות זו מקשה בבחירת מוצרים ויצרנים, וגורמת לכך שרבים נזקקים לעצת בעל רישיון או בבחירת מוצר ויצרן המתאימים להם. למעשה, </w:t>
      </w:r>
      <w:r>
        <w:rPr>
          <w:rFonts w:ascii="Arial" w:eastAsia="Arial Unicode MS" w:hAnsi="Arial" w:hint="cs"/>
          <w:szCs w:val="26"/>
          <w:rtl/>
        </w:rPr>
        <w:t>ישנם מקרים שבהם</w:t>
      </w:r>
      <w:r w:rsidRPr="003526E8">
        <w:rPr>
          <w:rFonts w:ascii="Arial" w:eastAsia="Arial Unicode MS" w:hAnsi="Arial" w:hint="cs"/>
          <w:szCs w:val="26"/>
          <w:rtl/>
        </w:rPr>
        <w:t xml:space="preserve"> הצרכן אינו זה שבוחר </w:t>
      </w:r>
      <w:r>
        <w:rPr>
          <w:rFonts w:ascii="Arial" w:eastAsia="Arial Unicode MS" w:hAnsi="Arial" w:hint="cs"/>
          <w:szCs w:val="26"/>
          <w:rtl/>
        </w:rPr>
        <w:t>באופן עצמאי את פוליסת הביטוח שאותה ירכוש</w:t>
      </w:r>
      <w:r w:rsidRPr="003526E8">
        <w:rPr>
          <w:rFonts w:ascii="Arial" w:eastAsia="Arial Unicode MS" w:hAnsi="Arial" w:hint="cs"/>
          <w:szCs w:val="26"/>
          <w:rtl/>
        </w:rPr>
        <w:t xml:space="preserve">, אלא </w:t>
      </w:r>
      <w:r>
        <w:rPr>
          <w:rFonts w:ascii="Arial" w:eastAsia="Arial Unicode MS" w:hAnsi="Arial" w:hint="cs"/>
          <w:szCs w:val="26"/>
          <w:rtl/>
        </w:rPr>
        <w:t xml:space="preserve">בהתאם להיוועצות או להמלצה של </w:t>
      </w:r>
      <w:r w:rsidRPr="003526E8">
        <w:rPr>
          <w:rFonts w:ascii="Arial" w:eastAsia="Arial Unicode MS" w:hAnsi="Arial" w:hint="cs"/>
          <w:szCs w:val="26"/>
          <w:rtl/>
        </w:rPr>
        <w:t xml:space="preserve">בעל רישיון </w:t>
      </w:r>
      <w:r w:rsidRPr="003526E8">
        <w:rPr>
          <w:rFonts w:ascii="Arial" w:eastAsia="Arial Unicode MS" w:hAnsi="Arial" w:hint="cs"/>
          <w:szCs w:val="26"/>
          <w:rtl/>
        </w:rPr>
        <w:lastRenderedPageBreak/>
        <w:t>על מוצרים ויצרנים. לכן, חשוב להבטיח שלבעל הרישיון, המתווך בין לקוחות ליצרנים, יהיו את הכלים המקצועיים הראויים על מנת שזה יפעל במקצועיות ראויה וגבוהה כלפי לקוחותיו.</w:t>
      </w:r>
      <w:r>
        <w:rPr>
          <w:rFonts w:ascii="Arial" w:eastAsia="Arial Unicode MS" w:hAnsi="Arial" w:hint="cs"/>
          <w:szCs w:val="26"/>
          <w:rtl/>
        </w:rPr>
        <w:t xml:space="preserve"> לפיכך, </w:t>
      </w:r>
      <w:r w:rsidRPr="003526E8">
        <w:rPr>
          <w:rFonts w:ascii="Arial" w:eastAsia="Arial Unicode MS" w:hAnsi="Arial"/>
          <w:szCs w:val="26"/>
          <w:rtl/>
        </w:rPr>
        <w:t>תכלית</w:t>
      </w:r>
      <w:r>
        <w:rPr>
          <w:rFonts w:ascii="Arial" w:eastAsia="Arial Unicode MS" w:hAnsi="Arial" w:hint="cs"/>
          <w:szCs w:val="26"/>
          <w:rtl/>
        </w:rPr>
        <w:t>ו</w:t>
      </w:r>
      <w:r w:rsidRPr="003526E8">
        <w:rPr>
          <w:rFonts w:ascii="Arial" w:eastAsia="Arial Unicode MS" w:hAnsi="Arial"/>
          <w:szCs w:val="26"/>
          <w:rtl/>
        </w:rPr>
        <w:t xml:space="preserve"> העיקרי</w:t>
      </w:r>
      <w:r w:rsidR="007734DA">
        <w:rPr>
          <w:rFonts w:ascii="Arial" w:eastAsia="Arial Unicode MS" w:hAnsi="Arial" w:hint="cs"/>
          <w:szCs w:val="26"/>
          <w:rtl/>
        </w:rPr>
        <w:t>ת</w:t>
      </w:r>
      <w:r w:rsidRPr="003526E8">
        <w:rPr>
          <w:rFonts w:ascii="Arial" w:eastAsia="Arial Unicode MS" w:hAnsi="Arial"/>
          <w:szCs w:val="26"/>
          <w:rtl/>
        </w:rPr>
        <w:t xml:space="preserve"> של </w:t>
      </w:r>
      <w:r>
        <w:rPr>
          <w:rFonts w:ascii="Arial" w:eastAsia="Arial Unicode MS" w:hAnsi="Arial" w:hint="cs"/>
          <w:szCs w:val="26"/>
          <w:rtl/>
        </w:rPr>
        <w:t>התזכיר המוצע</w:t>
      </w:r>
      <w:r w:rsidRPr="003526E8">
        <w:rPr>
          <w:rFonts w:ascii="Arial" w:eastAsia="Arial Unicode MS" w:hAnsi="Arial"/>
          <w:szCs w:val="26"/>
          <w:rtl/>
        </w:rPr>
        <w:t xml:space="preserve"> </w:t>
      </w:r>
      <w:r w:rsidRPr="003526E8">
        <w:rPr>
          <w:rFonts w:ascii="Arial" w:eastAsia="Arial Unicode MS" w:hAnsi="Arial" w:hint="cs"/>
          <w:szCs w:val="26"/>
          <w:rtl/>
        </w:rPr>
        <w:t>היא לוודא כי בעל הרישיון שמתווך בין מבטח לבין לקוח יהיה אדם מקצועי ובעל יכולת להתאים את המוצר הבריאותי לצרכיו ולטעמיו האישיים של כל לקוח ולקוח. בעל הרישיון יהיה בעל ידע לאפיין את צרכיו הביטוחים של המבוטח ולהתאים את מוצר הביטוח המורכב לאותם צרכים.</w:t>
      </w:r>
    </w:p>
    <w:p w:rsidR="00325A9B" w:rsidRPr="003526E8" w:rsidRDefault="00325A9B" w:rsidP="00325A9B">
      <w:pPr>
        <w:snapToGrid w:val="0"/>
        <w:rPr>
          <w:rFonts w:ascii="Arial" w:eastAsia="Arial Unicode MS" w:hAnsi="Arial"/>
          <w:szCs w:val="26"/>
          <w:rtl/>
        </w:rPr>
      </w:pPr>
    </w:p>
    <w:p w:rsidR="00325A9B" w:rsidRPr="003526E8" w:rsidRDefault="00325A9B" w:rsidP="00325A9B">
      <w:pPr>
        <w:snapToGrid w:val="0"/>
        <w:rPr>
          <w:rFonts w:ascii="Arial" w:eastAsia="Arial Unicode MS" w:hAnsi="Arial"/>
          <w:szCs w:val="26"/>
          <w:rtl/>
        </w:rPr>
      </w:pPr>
      <w:r w:rsidRPr="003526E8">
        <w:rPr>
          <w:rFonts w:ascii="Arial" w:eastAsia="Arial Unicode MS" w:hAnsi="Arial" w:hint="cs"/>
          <w:szCs w:val="26"/>
          <w:rtl/>
        </w:rPr>
        <w:t>הוספת ענף רישוי של ביטוח בריאות כחלק מענפי רישיון הסוכן</w:t>
      </w:r>
      <w:r w:rsidRPr="003526E8">
        <w:rPr>
          <w:rFonts w:ascii="Arial" w:eastAsia="Arial Unicode MS" w:hAnsi="Arial"/>
          <w:szCs w:val="26"/>
          <w:rtl/>
        </w:rPr>
        <w:t>, כמוצע ב</w:t>
      </w:r>
      <w:r>
        <w:rPr>
          <w:rFonts w:ascii="Arial" w:eastAsia="Arial Unicode MS" w:hAnsi="Arial" w:hint="cs"/>
          <w:szCs w:val="26"/>
          <w:rtl/>
        </w:rPr>
        <w:t>תזכיר זה</w:t>
      </w:r>
      <w:r w:rsidRPr="003526E8">
        <w:rPr>
          <w:rFonts w:ascii="Arial" w:eastAsia="Arial Unicode MS" w:hAnsi="Arial"/>
          <w:szCs w:val="26"/>
          <w:rtl/>
        </w:rPr>
        <w:t>, תקדם את המטרות הבאות:</w:t>
      </w:r>
    </w:p>
    <w:p w:rsidR="00325A9B" w:rsidRPr="003526E8" w:rsidRDefault="00325A9B" w:rsidP="003725DA">
      <w:pPr>
        <w:snapToGrid w:val="0"/>
        <w:ind w:left="991" w:hanging="284"/>
        <w:rPr>
          <w:rFonts w:ascii="Arial" w:eastAsia="Arial Unicode MS" w:hAnsi="Arial"/>
          <w:szCs w:val="26"/>
        </w:rPr>
      </w:pPr>
      <w:r w:rsidRPr="003526E8">
        <w:rPr>
          <w:rFonts w:ascii="Arial" w:eastAsia="Arial Unicode MS" w:hAnsi="Arial"/>
          <w:b/>
          <w:bCs/>
          <w:szCs w:val="26"/>
          <w:rtl/>
        </w:rPr>
        <w:t>1.</w:t>
      </w:r>
      <w:r w:rsidRPr="003526E8">
        <w:rPr>
          <w:rFonts w:ascii="Arial" w:eastAsia="Arial Unicode MS" w:hAnsi="Arial" w:hint="cs"/>
          <w:b/>
          <w:bCs/>
          <w:szCs w:val="26"/>
          <w:rtl/>
        </w:rPr>
        <w:t xml:space="preserve"> מקצועיות בעל הרישיון</w:t>
      </w:r>
      <w:r w:rsidRPr="003526E8">
        <w:rPr>
          <w:rFonts w:ascii="Arial" w:eastAsia="Arial Unicode MS" w:hAnsi="Arial"/>
          <w:szCs w:val="26"/>
          <w:rtl/>
        </w:rPr>
        <w:t xml:space="preserve"> – </w:t>
      </w:r>
      <w:r w:rsidRPr="003526E8">
        <w:rPr>
          <w:rFonts w:ascii="Arial" w:eastAsia="Arial Unicode MS" w:hAnsi="Arial" w:hint="cs"/>
          <w:szCs w:val="26"/>
          <w:rtl/>
        </w:rPr>
        <w:t>יצירת ענף ביטוח בריאות ברישיון סוכן ביטוח</w:t>
      </w:r>
      <w:r w:rsidRPr="003526E8">
        <w:rPr>
          <w:rFonts w:ascii="Arial" w:eastAsia="Arial Unicode MS" w:hAnsi="Arial"/>
          <w:szCs w:val="26"/>
          <w:rtl/>
        </w:rPr>
        <w:t xml:space="preserve">, היא צעד נוסף במסגרת </w:t>
      </w:r>
      <w:r w:rsidRPr="003526E8">
        <w:rPr>
          <w:rFonts w:ascii="Arial" w:eastAsia="Arial Unicode MS" w:hAnsi="Arial" w:hint="cs"/>
          <w:szCs w:val="26"/>
          <w:rtl/>
        </w:rPr>
        <w:t>הרפורמה לשיפור הליך ההכשרה של בעלי רישיון בישראל</w:t>
      </w:r>
      <w:r w:rsidRPr="003526E8">
        <w:rPr>
          <w:rFonts w:ascii="Arial" w:eastAsia="Arial Unicode MS" w:hAnsi="Arial"/>
          <w:szCs w:val="26"/>
          <w:rtl/>
        </w:rPr>
        <w:t xml:space="preserve">, </w:t>
      </w:r>
      <w:r w:rsidRPr="003526E8">
        <w:rPr>
          <w:rFonts w:ascii="Arial" w:eastAsia="Arial Unicode MS" w:hAnsi="Arial" w:hint="cs"/>
          <w:szCs w:val="26"/>
          <w:rtl/>
        </w:rPr>
        <w:t xml:space="preserve">כמו כן, </w:t>
      </w:r>
      <w:r w:rsidRPr="003526E8">
        <w:rPr>
          <w:rFonts w:ascii="Arial" w:eastAsia="Arial Unicode MS" w:hAnsi="Arial"/>
          <w:szCs w:val="26"/>
          <w:rtl/>
        </w:rPr>
        <w:t>הצעת החוק תביא לכך ש</w:t>
      </w:r>
      <w:r w:rsidRPr="003526E8">
        <w:rPr>
          <w:rFonts w:ascii="Arial" w:eastAsia="Arial Unicode MS" w:hAnsi="Arial" w:hint="cs"/>
          <w:szCs w:val="26"/>
          <w:rtl/>
        </w:rPr>
        <w:t>הליך ההכשרה בתחום הבריאות יהיה</w:t>
      </w:r>
      <w:r w:rsidRPr="003526E8">
        <w:rPr>
          <w:rFonts w:ascii="Arial" w:eastAsia="Arial Unicode MS" w:hAnsi="Arial"/>
          <w:szCs w:val="26"/>
          <w:rtl/>
        </w:rPr>
        <w:t>, במתכונת דומה לזו הקיימת ב</w:t>
      </w:r>
      <w:r w:rsidRPr="003526E8">
        <w:rPr>
          <w:rFonts w:ascii="Arial" w:eastAsia="Arial Unicode MS" w:hAnsi="Arial" w:hint="cs"/>
          <w:szCs w:val="26"/>
          <w:rtl/>
        </w:rPr>
        <w:t>ענפי הרישוי האחרים לרבות בחינה ייעודית בתחום זה</w:t>
      </w:r>
      <w:r w:rsidRPr="003526E8">
        <w:rPr>
          <w:rFonts w:ascii="Arial" w:eastAsia="Arial Unicode MS" w:hAnsi="Arial"/>
          <w:szCs w:val="26"/>
          <w:rtl/>
        </w:rPr>
        <w:t>.</w:t>
      </w:r>
    </w:p>
    <w:p w:rsidR="00325A9B" w:rsidRPr="003526E8" w:rsidRDefault="00325A9B" w:rsidP="003725DA">
      <w:pPr>
        <w:snapToGrid w:val="0"/>
        <w:ind w:left="991" w:hanging="284"/>
        <w:rPr>
          <w:rFonts w:ascii="Arial" w:eastAsia="Arial Unicode MS" w:hAnsi="Arial"/>
          <w:szCs w:val="26"/>
        </w:rPr>
      </w:pPr>
      <w:r w:rsidRPr="003526E8">
        <w:rPr>
          <w:rFonts w:ascii="Arial" w:eastAsia="Arial Unicode MS" w:hAnsi="Arial"/>
          <w:b/>
          <w:bCs/>
          <w:szCs w:val="26"/>
          <w:rtl/>
        </w:rPr>
        <w:t>2.</w:t>
      </w:r>
      <w:r w:rsidRPr="003526E8">
        <w:rPr>
          <w:rFonts w:ascii="Arial" w:eastAsia="Arial Unicode MS" w:hAnsi="Arial" w:hint="cs"/>
          <w:b/>
          <w:bCs/>
          <w:szCs w:val="26"/>
          <w:rtl/>
        </w:rPr>
        <w:t xml:space="preserve"> </w:t>
      </w:r>
      <w:r w:rsidRPr="003526E8">
        <w:rPr>
          <w:rFonts w:ascii="Arial" w:eastAsia="Arial Unicode MS" w:hAnsi="Arial"/>
          <w:b/>
          <w:bCs/>
          <w:szCs w:val="26"/>
          <w:rtl/>
        </w:rPr>
        <w:t>פיתוח מקצועיות ומומחיות</w:t>
      </w:r>
      <w:r w:rsidRPr="003526E8">
        <w:rPr>
          <w:rFonts w:ascii="Arial" w:eastAsia="Arial Unicode MS" w:hAnsi="Arial"/>
          <w:szCs w:val="26"/>
          <w:rtl/>
        </w:rPr>
        <w:t xml:space="preserve"> – ריכוז ה</w:t>
      </w:r>
      <w:r w:rsidRPr="003526E8">
        <w:rPr>
          <w:rFonts w:ascii="Arial" w:eastAsia="Arial Unicode MS" w:hAnsi="Arial" w:hint="cs"/>
          <w:szCs w:val="26"/>
          <w:rtl/>
        </w:rPr>
        <w:t>מוצרים הביטוחים</w:t>
      </w:r>
      <w:r w:rsidRPr="003526E8">
        <w:rPr>
          <w:rFonts w:ascii="Arial" w:eastAsia="Arial Unicode MS" w:hAnsi="Arial"/>
          <w:szCs w:val="26"/>
          <w:rtl/>
        </w:rPr>
        <w:t xml:space="preserve">, </w:t>
      </w:r>
      <w:r w:rsidRPr="003526E8">
        <w:rPr>
          <w:rFonts w:ascii="Arial" w:eastAsia="Arial Unicode MS" w:hAnsi="Arial" w:hint="cs"/>
          <w:szCs w:val="26"/>
          <w:rtl/>
        </w:rPr>
        <w:t>תחת ענף ייחודי</w:t>
      </w:r>
      <w:r w:rsidRPr="003526E8">
        <w:rPr>
          <w:rFonts w:ascii="Arial" w:eastAsia="Arial Unicode MS" w:hAnsi="Arial"/>
          <w:szCs w:val="26"/>
          <w:rtl/>
        </w:rPr>
        <w:t xml:space="preserve"> </w:t>
      </w:r>
      <w:r w:rsidRPr="003526E8">
        <w:rPr>
          <w:rFonts w:ascii="Arial" w:eastAsia="Arial Unicode MS" w:hAnsi="Arial" w:hint="cs"/>
          <w:szCs w:val="26"/>
          <w:rtl/>
        </w:rPr>
        <w:t xml:space="preserve">של סוכן ביטוח </w:t>
      </w:r>
      <w:r w:rsidRPr="003526E8">
        <w:rPr>
          <w:rFonts w:ascii="Arial" w:eastAsia="Arial Unicode MS" w:hAnsi="Arial"/>
          <w:szCs w:val="26"/>
          <w:rtl/>
        </w:rPr>
        <w:t xml:space="preserve">שיקבל הכשרה </w:t>
      </w:r>
      <w:r w:rsidRPr="003526E8">
        <w:rPr>
          <w:rFonts w:ascii="Arial" w:eastAsia="Arial Unicode MS" w:hAnsi="Arial" w:hint="cs"/>
          <w:szCs w:val="26"/>
          <w:rtl/>
        </w:rPr>
        <w:t xml:space="preserve">פרטנית וממוקדת </w:t>
      </w:r>
      <w:r w:rsidRPr="003526E8">
        <w:rPr>
          <w:rFonts w:ascii="Arial" w:eastAsia="Arial Unicode MS" w:hAnsi="Arial"/>
          <w:szCs w:val="26"/>
          <w:rtl/>
        </w:rPr>
        <w:t xml:space="preserve">בתחום זה, אמור להביא לפיתוח מקצועיות ומומחיות בתחום </w:t>
      </w:r>
      <w:r w:rsidRPr="003526E8">
        <w:rPr>
          <w:rFonts w:ascii="Arial" w:eastAsia="Arial Unicode MS" w:hAnsi="Arial" w:hint="cs"/>
          <w:szCs w:val="26"/>
          <w:rtl/>
        </w:rPr>
        <w:t>ביטוח הבריאות</w:t>
      </w:r>
      <w:r w:rsidRPr="003526E8">
        <w:rPr>
          <w:rFonts w:ascii="Arial" w:eastAsia="Arial Unicode MS" w:hAnsi="Arial"/>
          <w:szCs w:val="26"/>
          <w:rtl/>
        </w:rPr>
        <w:t xml:space="preserve">. </w:t>
      </w:r>
    </w:p>
    <w:p w:rsidR="00325A9B" w:rsidRPr="003526E8" w:rsidRDefault="00325A9B" w:rsidP="003725DA">
      <w:pPr>
        <w:snapToGrid w:val="0"/>
        <w:ind w:left="991" w:hanging="284"/>
        <w:rPr>
          <w:rFonts w:ascii="Arial" w:eastAsia="Arial Unicode MS" w:hAnsi="Arial"/>
          <w:szCs w:val="26"/>
        </w:rPr>
      </w:pPr>
      <w:r w:rsidRPr="003526E8">
        <w:rPr>
          <w:rFonts w:ascii="Arial" w:eastAsia="Arial Unicode MS" w:hAnsi="Arial" w:hint="cs"/>
          <w:b/>
          <w:bCs/>
          <w:szCs w:val="26"/>
          <w:rtl/>
        </w:rPr>
        <w:t>3</w:t>
      </w:r>
      <w:r w:rsidRPr="003526E8">
        <w:rPr>
          <w:rFonts w:ascii="Arial" w:eastAsia="Arial Unicode MS" w:hAnsi="Arial"/>
          <w:b/>
          <w:bCs/>
          <w:szCs w:val="26"/>
          <w:rtl/>
        </w:rPr>
        <w:t>.</w:t>
      </w:r>
      <w:r w:rsidRPr="003526E8">
        <w:rPr>
          <w:rFonts w:ascii="Arial" w:eastAsia="Arial Unicode MS" w:hAnsi="Arial" w:hint="cs"/>
          <w:b/>
          <w:bCs/>
          <w:szCs w:val="26"/>
          <w:rtl/>
        </w:rPr>
        <w:t xml:space="preserve"> </w:t>
      </w:r>
      <w:r w:rsidRPr="003526E8">
        <w:rPr>
          <w:rFonts w:ascii="Arial" w:eastAsia="Arial Unicode MS" w:hAnsi="Arial"/>
          <w:b/>
          <w:bCs/>
          <w:szCs w:val="26"/>
          <w:rtl/>
        </w:rPr>
        <w:t>שיפור הנגישות</w:t>
      </w:r>
      <w:r w:rsidRPr="003526E8">
        <w:rPr>
          <w:rFonts w:ascii="Arial" w:eastAsia="Arial Unicode MS" w:hAnsi="Arial" w:hint="cs"/>
          <w:b/>
          <w:bCs/>
          <w:szCs w:val="26"/>
          <w:rtl/>
        </w:rPr>
        <w:t xml:space="preserve"> למוצרי הבריאות</w:t>
      </w:r>
      <w:r w:rsidRPr="003526E8">
        <w:rPr>
          <w:rFonts w:ascii="Arial" w:eastAsia="Arial Unicode MS" w:hAnsi="Arial"/>
          <w:szCs w:val="26"/>
          <w:rtl/>
        </w:rPr>
        <w:t xml:space="preserve"> – </w:t>
      </w:r>
      <w:r w:rsidRPr="003526E8">
        <w:rPr>
          <w:rFonts w:ascii="Arial" w:eastAsia="Arial Unicode MS" w:hAnsi="Arial" w:hint="cs"/>
          <w:szCs w:val="26"/>
          <w:rtl/>
        </w:rPr>
        <w:t xml:space="preserve">יצירת ענף ביטוח בריאות ברישיון סוכן ביטוח </w:t>
      </w:r>
      <w:r w:rsidRPr="003526E8">
        <w:rPr>
          <w:rFonts w:ascii="Arial" w:eastAsia="Arial Unicode MS" w:hAnsi="Arial"/>
          <w:szCs w:val="26"/>
          <w:rtl/>
        </w:rPr>
        <w:t xml:space="preserve">תביא לשיפור הנגישות של </w:t>
      </w:r>
      <w:r w:rsidRPr="003526E8">
        <w:rPr>
          <w:rFonts w:ascii="Arial" w:eastAsia="Arial Unicode MS" w:hAnsi="Arial" w:hint="cs"/>
          <w:szCs w:val="26"/>
          <w:rtl/>
        </w:rPr>
        <w:t>ה</w:t>
      </w:r>
      <w:r w:rsidRPr="003526E8">
        <w:rPr>
          <w:rFonts w:ascii="Arial" w:eastAsia="Arial Unicode MS" w:hAnsi="Arial"/>
          <w:szCs w:val="26"/>
          <w:rtl/>
        </w:rPr>
        <w:t>אזרחים</w:t>
      </w:r>
      <w:r w:rsidRPr="003526E8">
        <w:rPr>
          <w:rFonts w:ascii="Arial" w:eastAsia="Arial Unicode MS" w:hAnsi="Arial" w:hint="cs"/>
          <w:szCs w:val="26"/>
          <w:rtl/>
        </w:rPr>
        <w:t xml:space="preserve"> למוצרים אלה</w:t>
      </w:r>
      <w:r w:rsidRPr="003526E8">
        <w:rPr>
          <w:rFonts w:ascii="Arial" w:eastAsia="Arial Unicode MS" w:hAnsi="Arial"/>
          <w:szCs w:val="26"/>
          <w:rtl/>
        </w:rPr>
        <w:t xml:space="preserve">, שכן </w:t>
      </w:r>
      <w:r w:rsidRPr="003526E8">
        <w:rPr>
          <w:rFonts w:ascii="Arial" w:eastAsia="Arial Unicode MS" w:hAnsi="Arial" w:hint="cs"/>
          <w:szCs w:val="26"/>
          <w:rtl/>
        </w:rPr>
        <w:t xml:space="preserve">בעלי הרישיון יוכלו </w:t>
      </w:r>
      <w:proofErr w:type="spellStart"/>
      <w:r w:rsidRPr="003526E8">
        <w:rPr>
          <w:rFonts w:ascii="Arial" w:eastAsia="Arial Unicode MS" w:hAnsi="Arial" w:hint="cs"/>
          <w:szCs w:val="26"/>
          <w:rtl/>
        </w:rPr>
        <w:t>להנגיש</w:t>
      </w:r>
      <w:proofErr w:type="spellEnd"/>
      <w:r w:rsidRPr="003526E8">
        <w:rPr>
          <w:rFonts w:ascii="Arial" w:eastAsia="Arial Unicode MS" w:hAnsi="Arial" w:hint="cs"/>
          <w:szCs w:val="26"/>
          <w:rtl/>
        </w:rPr>
        <w:t xml:space="preserve"> מוצרים בהם הם מקצועיים לציבור,</w:t>
      </w:r>
      <w:r w:rsidRPr="003526E8">
        <w:rPr>
          <w:rFonts w:ascii="Arial" w:eastAsia="Arial Unicode MS" w:hAnsi="Arial"/>
          <w:szCs w:val="26"/>
          <w:rtl/>
        </w:rPr>
        <w:t xml:space="preserve"> והדבר אף עשוי להוזיל את העלויות הקשורות בכך.</w:t>
      </w:r>
    </w:p>
    <w:p w:rsidR="00325A9B" w:rsidRPr="003526E8" w:rsidRDefault="00325A9B" w:rsidP="00325A9B">
      <w:pPr>
        <w:rPr>
          <w:rtl/>
        </w:rPr>
      </w:pPr>
    </w:p>
    <w:p w:rsidR="00325A9B" w:rsidRDefault="00325A9B" w:rsidP="00E40DD3">
      <w:pPr>
        <w:pStyle w:val="TableSideHeading"/>
        <w:keepLines w:val="0"/>
        <w:numPr>
          <w:ilvl w:val="0"/>
          <w:numId w:val="29"/>
        </w:numPr>
        <w:rPr>
          <w:rFonts w:eastAsiaTheme="minorHAnsi"/>
          <w:b/>
          <w:bCs/>
          <w:caps/>
          <w:spacing w:val="10"/>
          <w:sz w:val="26"/>
        </w:rPr>
      </w:pPr>
      <w:bookmarkStart w:id="8" w:name="_Toc102894724"/>
      <w:r w:rsidRPr="00356CD4">
        <w:rPr>
          <w:rFonts w:eastAsiaTheme="minorHAnsi"/>
          <w:b/>
          <w:bCs/>
          <w:caps/>
          <w:spacing w:val="10"/>
          <w:sz w:val="26"/>
          <w:rtl/>
        </w:rPr>
        <w:t>השפעת החוק המוצע על קבוצות אוכלוסייה מסוימות</w:t>
      </w:r>
      <w:bookmarkEnd w:id="8"/>
      <w:r w:rsidRPr="00356CD4">
        <w:rPr>
          <w:rFonts w:eastAsiaTheme="minorHAnsi"/>
          <w:b/>
          <w:bCs/>
          <w:caps/>
          <w:spacing w:val="10"/>
          <w:sz w:val="26"/>
          <w:rtl/>
        </w:rPr>
        <w:t xml:space="preserve"> </w:t>
      </w:r>
    </w:p>
    <w:p w:rsidR="00B96F76" w:rsidRPr="00E40DD3" w:rsidRDefault="00B96F76" w:rsidP="00E40DD3">
      <w:pPr>
        <w:spacing w:before="40" w:after="120"/>
        <w:outlineLvl w:val="3"/>
        <w:rPr>
          <w:caps/>
          <w:spacing w:val="10"/>
          <w:sz w:val="26"/>
          <w:szCs w:val="26"/>
          <w:rtl/>
        </w:rPr>
      </w:pPr>
      <w:r w:rsidRPr="00E40DD3">
        <w:rPr>
          <w:rFonts w:hint="eastAsia"/>
          <w:caps/>
          <w:spacing w:val="10"/>
          <w:sz w:val="26"/>
          <w:szCs w:val="26"/>
          <w:rtl/>
        </w:rPr>
        <w:t>אין</w:t>
      </w:r>
      <w:r w:rsidRPr="00E40DD3">
        <w:rPr>
          <w:caps/>
          <w:spacing w:val="10"/>
          <w:sz w:val="26"/>
          <w:szCs w:val="26"/>
          <w:rtl/>
        </w:rPr>
        <w:t>.</w:t>
      </w:r>
    </w:p>
    <w:p w:rsidR="00325A9B" w:rsidRPr="00356CD4" w:rsidRDefault="00325A9B" w:rsidP="00325A9B">
      <w:pPr>
        <w:rPr>
          <w:sz w:val="26"/>
          <w:szCs w:val="26"/>
          <w:rtl/>
        </w:rPr>
      </w:pPr>
    </w:p>
    <w:p w:rsidR="00B96F76" w:rsidRDefault="00325A9B" w:rsidP="00E40DD3">
      <w:pPr>
        <w:pStyle w:val="TableSideHeading"/>
        <w:keepLines w:val="0"/>
        <w:numPr>
          <w:ilvl w:val="0"/>
          <w:numId w:val="29"/>
        </w:numPr>
        <w:rPr>
          <w:rFonts w:eastAsiaTheme="minorHAnsi"/>
          <w:b/>
          <w:bCs/>
          <w:caps/>
          <w:spacing w:val="10"/>
          <w:sz w:val="26"/>
        </w:rPr>
      </w:pPr>
      <w:bookmarkStart w:id="9" w:name="_Toc102894725"/>
      <w:r w:rsidRPr="00356CD4">
        <w:rPr>
          <w:rFonts w:eastAsiaTheme="minorHAnsi"/>
          <w:b/>
          <w:bCs/>
          <w:caps/>
          <w:spacing w:val="10"/>
          <w:sz w:val="26"/>
          <w:rtl/>
        </w:rPr>
        <w:t xml:space="preserve">השפעת </w:t>
      </w:r>
      <w:r w:rsidRPr="00E40DD3">
        <w:rPr>
          <w:b/>
          <w:bCs/>
          <w:rtl/>
        </w:rPr>
        <w:t>תזכיר</w:t>
      </w:r>
      <w:r w:rsidRPr="00356CD4">
        <w:rPr>
          <w:rFonts w:eastAsiaTheme="minorHAnsi"/>
          <w:b/>
          <w:bCs/>
          <w:caps/>
          <w:spacing w:val="10"/>
          <w:sz w:val="26"/>
          <w:rtl/>
        </w:rPr>
        <w:t xml:space="preserve"> החוק המוצע על התקציב ועל התקן המנהלי של המשרד היוזם, משרדים אחרים ורשויות אחרות</w:t>
      </w:r>
      <w:bookmarkEnd w:id="9"/>
    </w:p>
    <w:p w:rsidR="00325A9B" w:rsidRPr="00356CD4" w:rsidRDefault="00B96F76" w:rsidP="00E40DD3">
      <w:pPr>
        <w:spacing w:before="40" w:after="120"/>
        <w:outlineLvl w:val="3"/>
        <w:rPr>
          <w:b/>
          <w:bCs/>
          <w:caps/>
          <w:spacing w:val="10"/>
          <w:sz w:val="26"/>
          <w:szCs w:val="26"/>
          <w:rtl/>
        </w:rPr>
      </w:pPr>
      <w:r w:rsidRPr="00E40DD3">
        <w:rPr>
          <w:rFonts w:hint="eastAsia"/>
          <w:caps/>
          <w:spacing w:val="10"/>
          <w:sz w:val="26"/>
          <w:szCs w:val="26"/>
          <w:rtl/>
        </w:rPr>
        <w:t>אין</w:t>
      </w:r>
      <w:r w:rsidRPr="00E40DD3">
        <w:rPr>
          <w:caps/>
          <w:spacing w:val="10"/>
          <w:sz w:val="26"/>
          <w:szCs w:val="26"/>
          <w:rtl/>
        </w:rPr>
        <w:t>.</w:t>
      </w:r>
    </w:p>
    <w:p w:rsidR="00325A9B" w:rsidRPr="003526E8" w:rsidRDefault="00325A9B" w:rsidP="00325A9B">
      <w:pPr>
        <w:rPr>
          <w:rtl/>
        </w:rPr>
      </w:pPr>
    </w:p>
    <w:p w:rsidR="00325A9B" w:rsidRPr="003725DA" w:rsidRDefault="00325A9B" w:rsidP="00E40DD3">
      <w:pPr>
        <w:pStyle w:val="TableSideHeading"/>
        <w:keepLines w:val="0"/>
        <w:numPr>
          <w:ilvl w:val="0"/>
          <w:numId w:val="29"/>
        </w:numPr>
        <w:rPr>
          <w:rFonts w:eastAsiaTheme="minorHAnsi"/>
          <w:b/>
          <w:bCs/>
          <w:caps/>
          <w:spacing w:val="10"/>
          <w:sz w:val="26"/>
          <w:rtl/>
        </w:rPr>
      </w:pPr>
      <w:bookmarkStart w:id="10" w:name="_Toc102894726"/>
      <w:r w:rsidRPr="00356CD4">
        <w:rPr>
          <w:rFonts w:eastAsiaTheme="minorHAnsi"/>
          <w:b/>
          <w:bCs/>
          <w:caps/>
          <w:spacing w:val="10"/>
          <w:sz w:val="26"/>
          <w:rtl/>
        </w:rPr>
        <w:t>להלן</w:t>
      </w:r>
      <w:r w:rsidRPr="003725DA">
        <w:rPr>
          <w:rFonts w:eastAsiaTheme="minorHAnsi"/>
          <w:b/>
          <w:bCs/>
          <w:caps/>
          <w:spacing w:val="10"/>
          <w:sz w:val="26"/>
          <w:rtl/>
        </w:rPr>
        <w:t xml:space="preserve"> נוסח </w:t>
      </w:r>
      <w:r w:rsidRPr="00E40DD3">
        <w:rPr>
          <w:rtl/>
        </w:rPr>
        <w:t>תזכיר</w:t>
      </w:r>
      <w:r w:rsidRPr="003725DA">
        <w:rPr>
          <w:rFonts w:eastAsiaTheme="minorHAnsi"/>
          <w:b/>
          <w:bCs/>
          <w:caps/>
          <w:spacing w:val="10"/>
          <w:sz w:val="26"/>
          <w:rtl/>
        </w:rPr>
        <w:t xml:space="preserve"> החוק המוצע ודברי הסבר</w:t>
      </w:r>
      <w:r w:rsidR="00B96F76">
        <w:rPr>
          <w:rFonts w:eastAsiaTheme="minorHAnsi" w:hint="cs"/>
          <w:b/>
          <w:bCs/>
          <w:caps/>
          <w:spacing w:val="10"/>
          <w:sz w:val="26"/>
          <w:rtl/>
        </w:rPr>
        <w:t>.</w:t>
      </w:r>
      <w:bookmarkEnd w:id="10"/>
    </w:p>
    <w:p w:rsidR="00325A9B" w:rsidRDefault="00325A9B" w:rsidP="00325A9B">
      <w:pPr>
        <w:pStyle w:val="HeadMitparsemetBaze"/>
        <w:keepNext w:val="0"/>
        <w:keepLines w:val="0"/>
        <w:pageBreakBefore w:val="0"/>
        <w:rPr>
          <w:rtl/>
        </w:rPr>
      </w:pPr>
      <w:r>
        <w:rPr>
          <w:rtl/>
        </w:rPr>
        <w:br w:type="page"/>
      </w:r>
    </w:p>
    <w:p w:rsidR="00325A9B" w:rsidRDefault="00B96F76" w:rsidP="00325A9B">
      <w:pPr>
        <w:pStyle w:val="HeadMitparsemetBaze"/>
        <w:keepNext w:val="0"/>
        <w:keepLines w:val="0"/>
        <w:pageBreakBefore w:val="0"/>
        <w:rPr>
          <w:rtl/>
        </w:rPr>
      </w:pPr>
      <w:r>
        <w:rPr>
          <w:rFonts w:hint="cs"/>
          <w:rtl/>
        </w:rPr>
        <w:lastRenderedPageBreak/>
        <w:t>תזכיר חוק מטעם משרד האוצר</w:t>
      </w:r>
      <w:r w:rsidR="00325A9B">
        <w:rPr>
          <w:rFonts w:hint="cs"/>
          <w:rtl/>
        </w:rPr>
        <w:t xml:space="preserve">: </w:t>
      </w:r>
    </w:p>
    <w:p w:rsidR="00325A9B" w:rsidRPr="00E40DD3" w:rsidRDefault="00632251" w:rsidP="00B96F76">
      <w:pPr>
        <w:pStyle w:val="HeadHatzaotHok"/>
        <w:keepNext w:val="0"/>
        <w:keepLines w:val="0"/>
        <w:rPr>
          <w:sz w:val="28"/>
          <w:szCs w:val="28"/>
          <w:rtl/>
        </w:rPr>
      </w:pPr>
      <w:bookmarkStart w:id="11" w:name="_Toc102894336"/>
      <w:bookmarkStart w:id="12" w:name="_Toc102894352"/>
      <w:bookmarkStart w:id="13" w:name="_Toc102894727"/>
      <w:r w:rsidRPr="00E40DD3">
        <w:rPr>
          <w:rStyle w:val="10"/>
          <w:rFonts w:hint="eastAsia"/>
          <w:bCs/>
          <w:sz w:val="26"/>
          <w:szCs w:val="26"/>
          <w:rtl/>
        </w:rPr>
        <w:t>תזכיר</w:t>
      </w:r>
      <w:r w:rsidR="00325A9B" w:rsidRPr="00E40DD3">
        <w:rPr>
          <w:rStyle w:val="10"/>
          <w:bCs/>
          <w:sz w:val="26"/>
          <w:szCs w:val="26"/>
          <w:rtl/>
        </w:rPr>
        <w:t xml:space="preserve"> חו</w:t>
      </w:r>
      <w:r w:rsidR="00325A9B" w:rsidRPr="00E40DD3">
        <w:rPr>
          <w:rStyle w:val="10"/>
          <w:rFonts w:hint="eastAsia"/>
          <w:bCs/>
          <w:sz w:val="26"/>
          <w:szCs w:val="26"/>
          <w:rtl/>
        </w:rPr>
        <w:t>ק</w:t>
      </w:r>
      <w:r w:rsidR="00325A9B" w:rsidRPr="00E40DD3">
        <w:rPr>
          <w:rStyle w:val="10"/>
          <w:bCs/>
          <w:sz w:val="26"/>
          <w:szCs w:val="26"/>
          <w:rtl/>
        </w:rPr>
        <w:t xml:space="preserve"> </w:t>
      </w:r>
      <w:bookmarkStart w:id="14" w:name="Title"/>
      <w:r w:rsidR="00325A9B" w:rsidRPr="00E40DD3">
        <w:rPr>
          <w:rStyle w:val="10"/>
          <w:rFonts w:hint="eastAsia"/>
          <w:bCs/>
          <w:sz w:val="26"/>
          <w:szCs w:val="26"/>
          <w:rtl/>
        </w:rPr>
        <w:t>הפיקוח</w:t>
      </w:r>
      <w:r w:rsidR="00325A9B" w:rsidRPr="00E40DD3">
        <w:rPr>
          <w:rStyle w:val="10"/>
          <w:bCs/>
          <w:sz w:val="26"/>
          <w:szCs w:val="26"/>
          <w:rtl/>
        </w:rPr>
        <w:t xml:space="preserve"> </w:t>
      </w:r>
      <w:r w:rsidR="00325A9B" w:rsidRPr="00E40DD3">
        <w:rPr>
          <w:rStyle w:val="10"/>
          <w:rFonts w:hint="eastAsia"/>
          <w:bCs/>
          <w:sz w:val="26"/>
          <w:szCs w:val="26"/>
          <w:rtl/>
        </w:rPr>
        <w:t>על</w:t>
      </w:r>
      <w:r w:rsidR="00325A9B" w:rsidRPr="00E40DD3">
        <w:rPr>
          <w:rStyle w:val="10"/>
          <w:bCs/>
          <w:sz w:val="26"/>
          <w:szCs w:val="26"/>
          <w:rtl/>
        </w:rPr>
        <w:t xml:space="preserve"> </w:t>
      </w:r>
      <w:r w:rsidR="00325A9B" w:rsidRPr="00E40DD3">
        <w:rPr>
          <w:rStyle w:val="10"/>
          <w:rFonts w:hint="eastAsia"/>
          <w:bCs/>
          <w:sz w:val="26"/>
          <w:szCs w:val="26"/>
          <w:rtl/>
        </w:rPr>
        <w:t>שירותים</w:t>
      </w:r>
      <w:r w:rsidR="00325A9B" w:rsidRPr="00E40DD3">
        <w:rPr>
          <w:rStyle w:val="10"/>
          <w:bCs/>
          <w:sz w:val="26"/>
          <w:szCs w:val="26"/>
          <w:rtl/>
        </w:rPr>
        <w:t xml:space="preserve"> </w:t>
      </w:r>
      <w:r w:rsidR="00325A9B" w:rsidRPr="00E40DD3">
        <w:rPr>
          <w:rStyle w:val="10"/>
          <w:rFonts w:hint="eastAsia"/>
          <w:bCs/>
          <w:sz w:val="26"/>
          <w:szCs w:val="26"/>
          <w:rtl/>
        </w:rPr>
        <w:t>פיננסיים</w:t>
      </w:r>
      <w:r w:rsidR="00325A9B" w:rsidRPr="00E40DD3">
        <w:rPr>
          <w:rStyle w:val="10"/>
          <w:bCs/>
          <w:sz w:val="26"/>
          <w:szCs w:val="26"/>
          <w:rtl/>
        </w:rPr>
        <w:t xml:space="preserve"> (ביטוח)</w:t>
      </w:r>
      <w:bookmarkEnd w:id="14"/>
      <w:r w:rsidR="00325A9B" w:rsidRPr="00E40DD3">
        <w:rPr>
          <w:rStyle w:val="10"/>
          <w:bCs/>
          <w:sz w:val="26"/>
          <w:szCs w:val="26"/>
          <w:rtl/>
        </w:rPr>
        <w:t xml:space="preserve"> (תיקון מס' </w:t>
      </w:r>
      <w:r w:rsidR="00B96F76" w:rsidRPr="00E40DD3">
        <w:rPr>
          <w:rStyle w:val="10"/>
          <w:bCs/>
          <w:sz w:val="26"/>
          <w:szCs w:val="26"/>
          <w:rtl/>
        </w:rPr>
        <w:t>__</w:t>
      </w:r>
      <w:r w:rsidR="00325A9B" w:rsidRPr="00E40DD3">
        <w:rPr>
          <w:rStyle w:val="10"/>
          <w:bCs/>
          <w:sz w:val="26"/>
          <w:szCs w:val="26"/>
          <w:rtl/>
        </w:rPr>
        <w:t xml:space="preserve">)(הוספת </w:t>
      </w:r>
      <w:r w:rsidR="00325A9B" w:rsidRPr="00E40DD3">
        <w:rPr>
          <w:rStyle w:val="10"/>
          <w:rFonts w:hint="eastAsia"/>
          <w:bCs/>
          <w:sz w:val="26"/>
          <w:szCs w:val="26"/>
          <w:rtl/>
        </w:rPr>
        <w:t>ענף</w:t>
      </w:r>
      <w:r w:rsidR="00325A9B" w:rsidRPr="00E40DD3">
        <w:rPr>
          <w:rStyle w:val="10"/>
          <w:bCs/>
          <w:sz w:val="26"/>
          <w:szCs w:val="26"/>
          <w:rtl/>
        </w:rPr>
        <w:t xml:space="preserve"> </w:t>
      </w:r>
      <w:r w:rsidR="00325A9B" w:rsidRPr="00E40DD3">
        <w:rPr>
          <w:rStyle w:val="10"/>
          <w:rFonts w:hint="eastAsia"/>
          <w:bCs/>
          <w:sz w:val="26"/>
          <w:szCs w:val="26"/>
          <w:rtl/>
        </w:rPr>
        <w:t>ביטוח</w:t>
      </w:r>
      <w:r w:rsidR="00325A9B" w:rsidRPr="00E40DD3">
        <w:rPr>
          <w:rStyle w:val="10"/>
          <w:bCs/>
          <w:sz w:val="26"/>
          <w:szCs w:val="26"/>
          <w:rtl/>
        </w:rPr>
        <w:t xml:space="preserve"> </w:t>
      </w:r>
      <w:r w:rsidR="00325A9B" w:rsidRPr="00E40DD3">
        <w:rPr>
          <w:rStyle w:val="10"/>
          <w:rFonts w:hint="eastAsia"/>
          <w:bCs/>
          <w:sz w:val="26"/>
          <w:szCs w:val="26"/>
          <w:rtl/>
        </w:rPr>
        <w:t>בריאות</w:t>
      </w:r>
      <w:r w:rsidR="00325A9B" w:rsidRPr="00E40DD3">
        <w:rPr>
          <w:rStyle w:val="10"/>
          <w:bCs/>
          <w:sz w:val="26"/>
          <w:szCs w:val="26"/>
          <w:rtl/>
        </w:rPr>
        <w:t xml:space="preserve"> </w:t>
      </w:r>
      <w:r w:rsidR="00325A9B" w:rsidRPr="00E40DD3">
        <w:rPr>
          <w:rStyle w:val="10"/>
          <w:rFonts w:hint="eastAsia"/>
          <w:bCs/>
          <w:sz w:val="26"/>
          <w:szCs w:val="26"/>
          <w:rtl/>
        </w:rPr>
        <w:t>לרישיון</w:t>
      </w:r>
      <w:r w:rsidR="00325A9B" w:rsidRPr="00E40DD3">
        <w:rPr>
          <w:rStyle w:val="10"/>
          <w:bCs/>
          <w:sz w:val="26"/>
          <w:szCs w:val="26"/>
          <w:rtl/>
        </w:rPr>
        <w:t xml:space="preserve"> </w:t>
      </w:r>
      <w:r w:rsidR="00325A9B" w:rsidRPr="00E40DD3">
        <w:rPr>
          <w:rStyle w:val="10"/>
          <w:rFonts w:hint="eastAsia"/>
          <w:bCs/>
          <w:sz w:val="26"/>
          <w:szCs w:val="26"/>
          <w:rtl/>
        </w:rPr>
        <w:t>סוכן</w:t>
      </w:r>
      <w:r w:rsidR="00325A9B" w:rsidRPr="00E40DD3">
        <w:rPr>
          <w:rStyle w:val="10"/>
          <w:bCs/>
          <w:sz w:val="26"/>
          <w:szCs w:val="26"/>
          <w:rtl/>
        </w:rPr>
        <w:t xml:space="preserve">), </w:t>
      </w:r>
      <w:r w:rsidR="00325A9B" w:rsidRPr="00E40DD3">
        <w:rPr>
          <w:rStyle w:val="10"/>
          <w:rFonts w:hint="eastAsia"/>
          <w:bCs/>
          <w:sz w:val="26"/>
          <w:szCs w:val="26"/>
          <w:rtl/>
        </w:rPr>
        <w:t>התשפ</w:t>
      </w:r>
      <w:r w:rsidR="00325A9B" w:rsidRPr="00E40DD3">
        <w:rPr>
          <w:rStyle w:val="10"/>
          <w:bCs/>
          <w:sz w:val="26"/>
          <w:szCs w:val="26"/>
          <w:rtl/>
        </w:rPr>
        <w:t>"</w:t>
      </w:r>
      <w:r w:rsidRPr="00E40DD3">
        <w:rPr>
          <w:rStyle w:val="10"/>
          <w:rFonts w:hint="eastAsia"/>
          <w:bCs/>
          <w:sz w:val="26"/>
          <w:szCs w:val="26"/>
          <w:rtl/>
        </w:rPr>
        <w:t>ב</w:t>
      </w:r>
      <w:r w:rsidR="00325A9B" w:rsidRPr="00E40DD3">
        <w:rPr>
          <w:rStyle w:val="10"/>
          <w:bCs/>
          <w:sz w:val="26"/>
          <w:szCs w:val="26"/>
          <w:rtl/>
        </w:rPr>
        <w:t>-</w:t>
      </w:r>
      <w:r w:rsidR="00B96F76" w:rsidRPr="00E40DD3">
        <w:rPr>
          <w:rStyle w:val="10"/>
          <w:sz w:val="28"/>
          <w:szCs w:val="28"/>
          <w:rtl/>
        </w:rPr>
        <w:t>202</w:t>
      </w:r>
      <w:r w:rsidR="00B96F76">
        <w:rPr>
          <w:rStyle w:val="10"/>
          <w:rFonts w:hint="cs"/>
          <w:sz w:val="28"/>
          <w:szCs w:val="28"/>
          <w:rtl/>
        </w:rPr>
        <w:t>2</w:t>
      </w:r>
      <w:bookmarkEnd w:id="11"/>
      <w:bookmarkEnd w:id="12"/>
      <w:bookmarkEnd w:id="13"/>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5274"/>
      </w:tblGrid>
      <w:tr w:rsidR="00325A9B" w:rsidTr="0034777D">
        <w:trPr>
          <w:cantSplit/>
          <w:trHeight w:val="60"/>
        </w:trPr>
        <w:tc>
          <w:tcPr>
            <w:tcW w:w="1871" w:type="dxa"/>
          </w:tcPr>
          <w:p w:rsidR="00325A9B" w:rsidRDefault="00325A9B" w:rsidP="0034777D">
            <w:pPr>
              <w:pStyle w:val="TableSideHeading"/>
              <w:keepLines w:val="0"/>
            </w:pPr>
            <w:bookmarkStart w:id="15" w:name="_Toc102894337"/>
            <w:bookmarkStart w:id="16" w:name="_Toc102894353"/>
            <w:bookmarkStart w:id="17" w:name="_Toc102894728"/>
            <w:r>
              <w:rPr>
                <w:rFonts w:hint="cs"/>
                <w:rtl/>
              </w:rPr>
              <w:t>מחיקת סעיף 27</w:t>
            </w:r>
            <w:bookmarkEnd w:id="15"/>
            <w:bookmarkEnd w:id="16"/>
            <w:bookmarkEnd w:id="17"/>
          </w:p>
        </w:tc>
        <w:tc>
          <w:tcPr>
            <w:tcW w:w="624" w:type="dxa"/>
          </w:tcPr>
          <w:p w:rsidR="00325A9B" w:rsidRDefault="00325A9B" w:rsidP="00325A9B">
            <w:pPr>
              <w:pStyle w:val="TableText"/>
              <w:keepLines w:val="0"/>
              <w:numPr>
                <w:ilvl w:val="0"/>
                <w:numId w:val="8"/>
              </w:numPr>
            </w:pPr>
          </w:p>
        </w:tc>
        <w:tc>
          <w:tcPr>
            <w:tcW w:w="7146" w:type="dxa"/>
            <w:gridSpan w:val="4"/>
          </w:tcPr>
          <w:p w:rsidR="00325A9B" w:rsidRPr="00C34DE2" w:rsidRDefault="00325A9B" w:rsidP="007734DA">
            <w:pPr>
              <w:pStyle w:val="TableBlock"/>
              <w:keepLines w:val="0"/>
            </w:pPr>
            <w:r>
              <w:rPr>
                <w:rFonts w:hint="cs"/>
                <w:rtl/>
              </w:rPr>
              <w:t>סעיף 27 לחוק הפיקוח על שירותים פיננסיים (ביטוח), התשמ"א-1981</w:t>
            </w:r>
            <w:r>
              <w:rPr>
                <w:rStyle w:val="af1"/>
                <w:rtl/>
              </w:rPr>
              <w:footnoteReference w:id="5"/>
            </w:r>
            <w:r>
              <w:rPr>
                <w:rFonts w:hint="cs"/>
                <w:rtl/>
              </w:rPr>
              <w:t xml:space="preserve"> (להלן </w:t>
            </w:r>
            <w:r>
              <w:rPr>
                <w:rtl/>
              </w:rPr>
              <w:t>–</w:t>
            </w:r>
            <w:r>
              <w:rPr>
                <w:rFonts w:hint="cs"/>
                <w:rtl/>
              </w:rPr>
              <w:t xml:space="preserve"> החוק העיקרי) - </w:t>
            </w:r>
            <w:r w:rsidR="007734DA">
              <w:rPr>
                <w:rFonts w:hint="cs"/>
                <w:rtl/>
              </w:rPr>
              <w:t>בטל</w:t>
            </w:r>
            <w:r>
              <w:rPr>
                <w:rFonts w:hint="cs"/>
                <w:rtl/>
              </w:rPr>
              <w:t>.</w:t>
            </w:r>
          </w:p>
        </w:tc>
      </w:tr>
      <w:tr w:rsidR="00325A9B" w:rsidTr="0034777D">
        <w:trPr>
          <w:cantSplit/>
          <w:trHeight w:val="60"/>
        </w:trPr>
        <w:tc>
          <w:tcPr>
            <w:tcW w:w="1871" w:type="dxa"/>
          </w:tcPr>
          <w:p w:rsidR="00325A9B" w:rsidRDefault="00325A9B" w:rsidP="0034777D">
            <w:pPr>
              <w:pStyle w:val="TableSideHeading"/>
              <w:keepLines w:val="0"/>
            </w:pPr>
            <w:bookmarkStart w:id="18" w:name="_Toc102894338"/>
            <w:bookmarkStart w:id="19" w:name="_Toc102894354"/>
            <w:bookmarkStart w:id="20" w:name="_Toc102894729"/>
            <w:r>
              <w:rPr>
                <w:rFonts w:hint="cs"/>
                <w:rtl/>
              </w:rPr>
              <w:t>תיקון סעיף 28</w:t>
            </w:r>
            <w:bookmarkEnd w:id="18"/>
            <w:bookmarkEnd w:id="19"/>
            <w:bookmarkEnd w:id="20"/>
            <w:r>
              <w:rPr>
                <w:rFonts w:hint="cs"/>
                <w:rtl/>
              </w:rPr>
              <w:t xml:space="preserve"> </w:t>
            </w:r>
          </w:p>
        </w:tc>
        <w:tc>
          <w:tcPr>
            <w:tcW w:w="624" w:type="dxa"/>
          </w:tcPr>
          <w:p w:rsidR="00325A9B" w:rsidRDefault="00325A9B" w:rsidP="00325A9B">
            <w:pPr>
              <w:pStyle w:val="TableText"/>
              <w:keepLines w:val="0"/>
              <w:numPr>
                <w:ilvl w:val="0"/>
                <w:numId w:val="8"/>
              </w:numPr>
            </w:pPr>
          </w:p>
        </w:tc>
        <w:tc>
          <w:tcPr>
            <w:tcW w:w="7146" w:type="dxa"/>
            <w:gridSpan w:val="4"/>
          </w:tcPr>
          <w:p w:rsidR="00325A9B" w:rsidRPr="00C34DE2" w:rsidRDefault="00325A9B" w:rsidP="0034777D">
            <w:pPr>
              <w:pStyle w:val="TableBlock"/>
              <w:keepLines w:val="0"/>
            </w:pPr>
            <w:r>
              <w:rPr>
                <w:rFonts w:hint="cs"/>
                <w:rtl/>
              </w:rPr>
              <w:t xml:space="preserve">בסעיף 28(א) לחוק העיקרי - </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522" w:type="dxa"/>
            <w:gridSpan w:val="3"/>
          </w:tcPr>
          <w:p w:rsidR="00325A9B" w:rsidRDefault="00325A9B" w:rsidP="00325A9B">
            <w:pPr>
              <w:pStyle w:val="TableBlock"/>
              <w:numPr>
                <w:ilvl w:val="0"/>
                <w:numId w:val="9"/>
              </w:numPr>
              <w:tabs>
                <w:tab w:val="left" w:pos="624"/>
              </w:tabs>
            </w:pPr>
            <w:r>
              <w:rPr>
                <w:rFonts w:hint="cs"/>
                <w:rtl/>
              </w:rPr>
              <w:t>בפסקה (1), אחר</w:t>
            </w:r>
            <w:r w:rsidR="007734DA">
              <w:rPr>
                <w:rFonts w:hint="cs"/>
                <w:rtl/>
              </w:rPr>
              <w:t>י</w:t>
            </w:r>
            <w:r>
              <w:rPr>
                <w:rFonts w:hint="cs"/>
                <w:rtl/>
              </w:rPr>
              <w:t xml:space="preserve"> "ביטוח פנסיוני" יבוא "ביטוח בריאות";</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522" w:type="dxa"/>
            <w:gridSpan w:val="3"/>
          </w:tcPr>
          <w:p w:rsidR="00325A9B" w:rsidRDefault="00325A9B" w:rsidP="00325A9B">
            <w:pPr>
              <w:pStyle w:val="TableBlock"/>
              <w:numPr>
                <w:ilvl w:val="0"/>
                <w:numId w:val="9"/>
              </w:numPr>
              <w:tabs>
                <w:tab w:val="left" w:pos="624"/>
              </w:tabs>
              <w:rPr>
                <w:rtl/>
              </w:rPr>
            </w:pPr>
            <w:r>
              <w:rPr>
                <w:rFonts w:hint="cs"/>
                <w:rtl/>
              </w:rPr>
              <w:t>פסקה (2) תימחק;</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522" w:type="dxa"/>
            <w:gridSpan w:val="3"/>
          </w:tcPr>
          <w:p w:rsidR="00325A9B" w:rsidRDefault="00325A9B" w:rsidP="00325A9B">
            <w:pPr>
              <w:pStyle w:val="TableBlock"/>
              <w:numPr>
                <w:ilvl w:val="0"/>
                <w:numId w:val="9"/>
              </w:numPr>
              <w:tabs>
                <w:tab w:val="left" w:pos="624"/>
              </w:tabs>
              <w:rPr>
                <w:rtl/>
              </w:rPr>
            </w:pPr>
            <w:r>
              <w:rPr>
                <w:rFonts w:hint="cs"/>
                <w:rtl/>
              </w:rPr>
              <w:t xml:space="preserve">בפסקה (3) -  </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5898" w:type="dxa"/>
            <w:gridSpan w:val="2"/>
          </w:tcPr>
          <w:p w:rsidR="00325A9B" w:rsidRDefault="007734DA" w:rsidP="00325A9B">
            <w:pPr>
              <w:pStyle w:val="TableBlock"/>
              <w:numPr>
                <w:ilvl w:val="0"/>
                <w:numId w:val="10"/>
              </w:numPr>
              <w:tabs>
                <w:tab w:val="left" w:pos="624"/>
              </w:tabs>
            </w:pPr>
            <w:r>
              <w:rPr>
                <w:rtl/>
              </w:rPr>
              <w:t>–</w:t>
            </w:r>
            <w:r>
              <w:rPr>
                <w:rFonts w:hint="cs"/>
                <w:rtl/>
              </w:rPr>
              <w:t>אחרי המילים "בסעיף זה" יבוא:</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5274" w:type="dxa"/>
          </w:tcPr>
          <w:p w:rsidR="00325A9B" w:rsidRPr="003610DA" w:rsidRDefault="007734DA" w:rsidP="0034777D">
            <w:pPr>
              <w:pStyle w:val="TableBlockOutdent"/>
            </w:pPr>
            <w:r>
              <w:rPr>
                <w:rFonts w:hint="cs"/>
                <w:rtl/>
              </w:rPr>
              <w:t>"</w:t>
            </w:r>
            <w:r w:rsidR="00325A9B" w:rsidRPr="003610DA">
              <w:rPr>
                <w:rtl/>
              </w:rPr>
              <w:t>"</w:t>
            </w:r>
            <w:r w:rsidR="00325A9B" w:rsidRPr="003610DA">
              <w:rPr>
                <w:rFonts w:hint="cs"/>
                <w:rtl/>
              </w:rPr>
              <w:t xml:space="preserve">ענף ביטוח בריאות" </w:t>
            </w:r>
            <w:r w:rsidR="00325A9B" w:rsidRPr="003610DA">
              <w:rPr>
                <w:rtl/>
              </w:rPr>
              <w:t>–</w:t>
            </w:r>
            <w:r w:rsidR="00325A9B" w:rsidRPr="003610DA">
              <w:rPr>
                <w:rFonts w:hint="cs"/>
                <w:rtl/>
              </w:rPr>
              <w:t xml:space="preserve"> עיסוק בתיווך בביטוח מפני תאונות אישיות ובביטוח מפני מחלות ואשפוז</w:t>
            </w:r>
            <w:r>
              <w:rPr>
                <w:rFonts w:hint="cs"/>
                <w:rtl/>
              </w:rPr>
              <w:t>"</w:t>
            </w:r>
            <w:r w:rsidR="00325A9B" w:rsidRPr="003610DA">
              <w:rPr>
                <w:rFonts w:hint="cs"/>
                <w:rtl/>
              </w:rPr>
              <w:t xml:space="preserve">; </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5898" w:type="dxa"/>
            <w:gridSpan w:val="2"/>
          </w:tcPr>
          <w:p w:rsidR="00325A9B" w:rsidRPr="003610DA" w:rsidRDefault="00325A9B" w:rsidP="007734DA">
            <w:pPr>
              <w:pStyle w:val="TableBlock"/>
              <w:numPr>
                <w:ilvl w:val="0"/>
                <w:numId w:val="10"/>
              </w:numPr>
              <w:tabs>
                <w:tab w:val="left" w:pos="624"/>
              </w:tabs>
              <w:rPr>
                <w:rtl/>
              </w:rPr>
            </w:pPr>
            <w:r>
              <w:rPr>
                <w:rFonts w:hint="cs"/>
                <w:rtl/>
              </w:rPr>
              <w:t>בהגדרה "ענף ביטוח פנסיוני", במקום "מפני סיכון תאונה, מחלה או נכות" יבוא "בענף ביטוח חיים מקיף ובענף ביטוח חיים סיכון בלבד";</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5898" w:type="dxa"/>
            <w:gridSpan w:val="2"/>
          </w:tcPr>
          <w:p w:rsidR="00325A9B" w:rsidRPr="003610DA" w:rsidRDefault="00325A9B" w:rsidP="00325A9B">
            <w:pPr>
              <w:pStyle w:val="TableBlock"/>
              <w:numPr>
                <w:ilvl w:val="0"/>
                <w:numId w:val="10"/>
              </w:numPr>
              <w:tabs>
                <w:tab w:val="left" w:pos="624"/>
              </w:tabs>
              <w:rPr>
                <w:rtl/>
              </w:rPr>
            </w:pPr>
            <w:r>
              <w:rPr>
                <w:rFonts w:hint="cs"/>
                <w:rtl/>
              </w:rPr>
              <w:t>בהגדרה "ענף ביטוח ימי", בסיפא יבוא "או בביטוח אווירי";</w:t>
            </w:r>
          </w:p>
        </w:tc>
      </w:tr>
      <w:tr w:rsidR="00325A9B" w:rsidTr="0034777D">
        <w:trPr>
          <w:cantSplit/>
          <w:trHeight w:val="60"/>
        </w:trPr>
        <w:tc>
          <w:tcPr>
            <w:tcW w:w="1871" w:type="dxa"/>
          </w:tcPr>
          <w:p w:rsidR="00325A9B" w:rsidRDefault="00325A9B" w:rsidP="0034777D">
            <w:pPr>
              <w:pStyle w:val="TableSideHeading"/>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624" w:type="dxa"/>
          </w:tcPr>
          <w:p w:rsidR="00325A9B" w:rsidRDefault="00325A9B" w:rsidP="0034777D">
            <w:pPr>
              <w:pStyle w:val="TableText"/>
            </w:pPr>
          </w:p>
        </w:tc>
        <w:tc>
          <w:tcPr>
            <w:tcW w:w="5898" w:type="dxa"/>
            <w:gridSpan w:val="2"/>
          </w:tcPr>
          <w:p w:rsidR="00325A9B" w:rsidRDefault="00325A9B" w:rsidP="00325A9B">
            <w:pPr>
              <w:pStyle w:val="TableBlock"/>
              <w:numPr>
                <w:ilvl w:val="0"/>
                <w:numId w:val="10"/>
              </w:numPr>
              <w:tabs>
                <w:tab w:val="left" w:pos="624"/>
              </w:tabs>
              <w:rPr>
                <w:rtl/>
              </w:rPr>
            </w:pPr>
            <w:r>
              <w:rPr>
                <w:rFonts w:hint="cs"/>
                <w:rtl/>
              </w:rPr>
              <w:t xml:space="preserve">בהגדרה "ענף ביטוח כללי", הסיפא החל במילים "בכל אחד מאלה" </w:t>
            </w:r>
            <w:r>
              <w:rPr>
                <w:rtl/>
              </w:rPr>
              <w:t>–</w:t>
            </w:r>
            <w:r>
              <w:rPr>
                <w:rFonts w:hint="cs"/>
                <w:rtl/>
              </w:rPr>
              <w:t xml:space="preserve"> תימחק, ובמקומה יבוא "שאינו כלול בענף ביטוח בריאות, בענף ביטוח פנסיוני או בענף ביטוח ימי"</w:t>
            </w:r>
            <w:r w:rsidR="007734DA">
              <w:rPr>
                <w:rFonts w:hint="cs"/>
                <w:rtl/>
              </w:rPr>
              <w:t>.</w:t>
            </w:r>
          </w:p>
        </w:tc>
      </w:tr>
      <w:tr w:rsidR="0051626D">
        <w:trPr>
          <w:cantSplit/>
          <w:trHeight w:val="60"/>
        </w:trPr>
        <w:tc>
          <w:tcPr>
            <w:tcW w:w="1871" w:type="dxa"/>
          </w:tcPr>
          <w:p w:rsidR="0051626D" w:rsidRDefault="0051626D" w:rsidP="007E751D">
            <w:pPr>
              <w:pStyle w:val="TableSideHeading"/>
              <w:keepLines w:val="0"/>
            </w:pPr>
            <w:bookmarkStart w:id="21" w:name="_Toc102894339"/>
            <w:bookmarkStart w:id="22" w:name="_Toc102894355"/>
            <w:bookmarkStart w:id="23" w:name="_Toc102894730"/>
            <w:r>
              <w:rPr>
                <w:rFonts w:hint="cs"/>
                <w:rtl/>
              </w:rPr>
              <w:t>הוראת מעבר</w:t>
            </w:r>
            <w:bookmarkEnd w:id="21"/>
            <w:bookmarkEnd w:id="22"/>
            <w:bookmarkEnd w:id="23"/>
          </w:p>
        </w:tc>
        <w:tc>
          <w:tcPr>
            <w:tcW w:w="624" w:type="dxa"/>
          </w:tcPr>
          <w:p w:rsidR="0051626D" w:rsidRDefault="0051626D" w:rsidP="0051626D">
            <w:pPr>
              <w:pStyle w:val="TableText"/>
              <w:keepLines w:val="0"/>
              <w:numPr>
                <w:ilvl w:val="0"/>
                <w:numId w:val="8"/>
              </w:numPr>
            </w:pPr>
          </w:p>
        </w:tc>
        <w:tc>
          <w:tcPr>
            <w:tcW w:w="7146" w:type="dxa"/>
            <w:gridSpan w:val="4"/>
          </w:tcPr>
          <w:p w:rsidR="0051626D" w:rsidRPr="00C34DE2" w:rsidRDefault="0051626D" w:rsidP="007734DA">
            <w:pPr>
              <w:pStyle w:val="TableBlock"/>
              <w:keepLines w:val="0"/>
            </w:pPr>
            <w:r>
              <w:rPr>
                <w:rFonts w:hint="cs"/>
                <w:rtl/>
              </w:rPr>
              <w:t>מי שערב יום תחילתו של חוק זה היה</w:t>
            </w:r>
            <w:r w:rsidR="00703107">
              <w:rPr>
                <w:rFonts w:hint="cs"/>
                <w:rtl/>
              </w:rPr>
              <w:t xml:space="preserve"> רשאי לעסוק בתיווך בביטוח בענף ביטוח בריאות כהגדרתו בסעיף 28(א)(ג)(1) </w:t>
            </w:r>
            <w:r w:rsidR="007734DA">
              <w:rPr>
                <w:rFonts w:hint="cs"/>
                <w:rtl/>
              </w:rPr>
              <w:t xml:space="preserve">לחוק העיקרי, כנוסחם בסעיף 2(ג) לחוק זה, </w:t>
            </w:r>
            <w:r w:rsidR="00703107">
              <w:rPr>
                <w:rFonts w:hint="cs"/>
                <w:rtl/>
              </w:rPr>
              <w:t>יהיה רשאי לק</w:t>
            </w:r>
            <w:r w:rsidR="00B361AA">
              <w:rPr>
                <w:rFonts w:hint="cs"/>
                <w:rtl/>
              </w:rPr>
              <w:t>ב</w:t>
            </w:r>
            <w:r w:rsidR="00703107">
              <w:rPr>
                <w:rFonts w:hint="cs"/>
                <w:rtl/>
              </w:rPr>
              <w:t xml:space="preserve">ל לידיו רישיון לעסוק בתיווך בביטוח בענף </w:t>
            </w:r>
            <w:r w:rsidR="00B361AA">
              <w:rPr>
                <w:rFonts w:hint="cs"/>
                <w:rtl/>
              </w:rPr>
              <w:t>בריאות כהגדרתו כאמור, ללא צורך בתקופת התמחות ובעמידה בבחינות כאמור בסעיף 25(ב)(3) לחוק העיקרי</w:t>
            </w:r>
            <w:r w:rsidR="007734DA">
              <w:rPr>
                <w:rFonts w:hint="cs"/>
                <w:rtl/>
              </w:rPr>
              <w:t>.</w:t>
            </w:r>
          </w:p>
        </w:tc>
      </w:tr>
    </w:tbl>
    <w:p w:rsidR="00325A9B" w:rsidRPr="007734DA" w:rsidRDefault="00325A9B" w:rsidP="00325A9B">
      <w:pPr>
        <w:pStyle w:val="HeadDivreiHesber"/>
        <w:rPr>
          <w:bCs/>
          <w:color w:val="FF0000"/>
          <w:spacing w:val="0"/>
          <w:w w:val="80"/>
          <w:rtl/>
        </w:rPr>
      </w:pPr>
    </w:p>
    <w:p w:rsidR="00325A9B" w:rsidRDefault="00325A9B" w:rsidP="00325A9B">
      <w:pPr>
        <w:pStyle w:val="HeadDivreiHesber"/>
        <w:rPr>
          <w:rtl/>
        </w:rPr>
      </w:pPr>
      <w:r>
        <w:rPr>
          <w:bCs/>
          <w:color w:val="FF0000"/>
          <w:spacing w:val="0"/>
          <w:w w:val="80"/>
          <w:rtl/>
        </w:rPr>
        <w:br w:type="page"/>
      </w:r>
      <w:bookmarkStart w:id="24" w:name="_Toc102894340"/>
      <w:bookmarkStart w:id="25" w:name="_Toc102894356"/>
      <w:bookmarkStart w:id="26" w:name="_Toc102894731"/>
      <w:r>
        <w:rPr>
          <w:rFonts w:hint="cs"/>
          <w:rtl/>
        </w:rPr>
        <w:lastRenderedPageBreak/>
        <w:t>דברי הסבר</w:t>
      </w:r>
      <w:bookmarkEnd w:id="24"/>
      <w:bookmarkEnd w:id="25"/>
      <w:bookmarkEnd w:id="26"/>
    </w:p>
    <w:p w:rsidR="00325A9B" w:rsidRPr="00103247" w:rsidRDefault="0034679F" w:rsidP="00103247">
      <w:pPr>
        <w:pStyle w:val="HeadDivreiHesber"/>
        <w:jc w:val="both"/>
        <w:rPr>
          <w:rtl/>
        </w:rPr>
      </w:pPr>
      <w:bookmarkStart w:id="27" w:name="_Toc102894341"/>
      <w:bookmarkStart w:id="28" w:name="_Toc102894357"/>
      <w:bookmarkStart w:id="29" w:name="_Toc102894732"/>
      <w:r w:rsidRPr="00103247">
        <w:rPr>
          <w:rFonts w:hint="cs"/>
          <w:rtl/>
        </w:rPr>
        <w:t>לסעיף 1</w:t>
      </w:r>
      <w:bookmarkEnd w:id="27"/>
      <w:bookmarkEnd w:id="28"/>
      <w:bookmarkEnd w:id="29"/>
    </w:p>
    <w:p w:rsidR="00325A9B" w:rsidRDefault="00325A9B" w:rsidP="00103247">
      <w:pPr>
        <w:rPr>
          <w:sz w:val="26"/>
          <w:szCs w:val="26"/>
          <w:rtl/>
        </w:rPr>
      </w:pPr>
      <w:r w:rsidRPr="001F56E8">
        <w:rPr>
          <w:sz w:val="26"/>
          <w:szCs w:val="26"/>
          <w:rtl/>
        </w:rPr>
        <w:t>מוצע ל</w:t>
      </w:r>
      <w:r w:rsidR="0034679F" w:rsidRPr="001F56E8">
        <w:rPr>
          <w:sz w:val="26"/>
          <w:szCs w:val="26"/>
          <w:rtl/>
        </w:rPr>
        <w:t xml:space="preserve">מחוק את סעיף 27 לחוק </w:t>
      </w:r>
      <w:r w:rsidR="00D8731E">
        <w:rPr>
          <w:rFonts w:hint="cs"/>
          <w:sz w:val="26"/>
          <w:szCs w:val="26"/>
          <w:rtl/>
        </w:rPr>
        <w:t xml:space="preserve">הפיקוח על שירותים פיננסיים (ביטוח), התשמ"א-1981 (להלן </w:t>
      </w:r>
      <w:r w:rsidR="00D8731E">
        <w:rPr>
          <w:sz w:val="26"/>
          <w:szCs w:val="26"/>
          <w:rtl/>
        </w:rPr>
        <w:t>–</w:t>
      </w:r>
      <w:r w:rsidR="00D8731E">
        <w:rPr>
          <w:rFonts w:hint="cs"/>
          <w:sz w:val="26"/>
          <w:szCs w:val="26"/>
          <w:rtl/>
        </w:rPr>
        <w:t xml:space="preserve"> חוק הפיקוח), </w:t>
      </w:r>
      <w:r w:rsidR="0034679F" w:rsidRPr="001F56E8">
        <w:rPr>
          <w:sz w:val="26"/>
          <w:szCs w:val="26"/>
          <w:rtl/>
        </w:rPr>
        <w:t xml:space="preserve">אשר מסדיר את פעילותו של סוכן מתמחה. מדובר </w:t>
      </w:r>
      <w:r w:rsidR="001F56E8">
        <w:rPr>
          <w:rFonts w:hint="cs"/>
          <w:sz w:val="26"/>
          <w:szCs w:val="26"/>
          <w:rtl/>
        </w:rPr>
        <w:t xml:space="preserve">בסעיף המהווה שריד לאסדרה ישנה אשר הוחלפה, וכיום מוסדרת באמצעות מנגנון התמחות לשם קבלת רישיון סוכן ביטוח במסגרת </w:t>
      </w:r>
      <w:r w:rsidRPr="001F56E8">
        <w:rPr>
          <w:sz w:val="26"/>
          <w:szCs w:val="26"/>
          <w:rtl/>
        </w:rPr>
        <w:t>תקנות הפיקוח על</w:t>
      </w:r>
      <w:r w:rsidR="001F56E8">
        <w:rPr>
          <w:sz w:val="26"/>
          <w:szCs w:val="26"/>
          <w:rtl/>
        </w:rPr>
        <w:t xml:space="preserve"> שירותים פיננסיים (ביטוח) (בקשה</w:t>
      </w:r>
      <w:r w:rsidR="001F56E8">
        <w:rPr>
          <w:rFonts w:hint="cs"/>
          <w:sz w:val="26"/>
          <w:szCs w:val="26"/>
          <w:rtl/>
        </w:rPr>
        <w:t xml:space="preserve"> </w:t>
      </w:r>
      <w:r w:rsidRPr="001F56E8">
        <w:rPr>
          <w:sz w:val="26"/>
          <w:szCs w:val="26"/>
          <w:rtl/>
        </w:rPr>
        <w:t xml:space="preserve">לרישיון, הכשרה, התמחות ובחינות של סוכני ביטוח, יועצים פנסיוניים וסוכני שיווק פנסיוני), </w:t>
      </w:r>
      <w:r w:rsidR="001F56E8" w:rsidRPr="001F56E8">
        <w:rPr>
          <w:rFonts w:hint="cs"/>
          <w:sz w:val="26"/>
          <w:szCs w:val="26"/>
          <w:rtl/>
        </w:rPr>
        <w:t>ה</w:t>
      </w:r>
      <w:r w:rsidRPr="001F56E8">
        <w:rPr>
          <w:sz w:val="26"/>
          <w:szCs w:val="26"/>
          <w:rtl/>
        </w:rPr>
        <w:t>תשס"ו-2006</w:t>
      </w:r>
      <w:r w:rsidR="001F56E8">
        <w:rPr>
          <w:rFonts w:hint="cs"/>
          <w:sz w:val="26"/>
          <w:szCs w:val="26"/>
          <w:rtl/>
        </w:rPr>
        <w:t>.</w:t>
      </w:r>
      <w:r w:rsidR="0034679F" w:rsidRPr="001F56E8">
        <w:rPr>
          <w:sz w:val="26"/>
          <w:szCs w:val="26"/>
          <w:rtl/>
        </w:rPr>
        <w:t xml:space="preserve"> </w:t>
      </w:r>
      <w:r w:rsidR="001F56E8">
        <w:rPr>
          <w:rFonts w:hint="cs"/>
          <w:sz w:val="26"/>
          <w:szCs w:val="26"/>
          <w:rtl/>
        </w:rPr>
        <w:t>כאמור</w:t>
      </w:r>
      <w:r w:rsidR="0034679F" w:rsidRPr="001F56E8">
        <w:rPr>
          <w:sz w:val="26"/>
          <w:szCs w:val="26"/>
          <w:rtl/>
        </w:rPr>
        <w:t xml:space="preserve"> רישיון</w:t>
      </w:r>
      <w:r w:rsidR="001F56E8">
        <w:rPr>
          <w:rFonts w:hint="cs"/>
          <w:sz w:val="26"/>
          <w:szCs w:val="26"/>
          <w:rtl/>
        </w:rPr>
        <w:t xml:space="preserve"> של סוכן מתמחה כבר לא ניתן מאז התקנת התקנות האמורות ועל כן</w:t>
      </w:r>
      <w:r w:rsidRPr="001F56E8">
        <w:rPr>
          <w:sz w:val="26"/>
          <w:szCs w:val="26"/>
          <w:rtl/>
        </w:rPr>
        <w:t xml:space="preserve"> אינו רלבנטי </w:t>
      </w:r>
      <w:r w:rsidR="00D8731E">
        <w:rPr>
          <w:rFonts w:hint="cs"/>
          <w:sz w:val="26"/>
          <w:szCs w:val="26"/>
          <w:rtl/>
        </w:rPr>
        <w:t xml:space="preserve">עוד ויש להסירו מנוסח </w:t>
      </w:r>
      <w:r w:rsidR="001F56E8">
        <w:rPr>
          <w:rFonts w:hint="cs"/>
          <w:sz w:val="26"/>
          <w:szCs w:val="26"/>
          <w:rtl/>
        </w:rPr>
        <w:t>חוק</w:t>
      </w:r>
      <w:r w:rsidR="00D8731E">
        <w:rPr>
          <w:rFonts w:hint="cs"/>
          <w:sz w:val="26"/>
          <w:szCs w:val="26"/>
          <w:rtl/>
        </w:rPr>
        <w:t xml:space="preserve"> הפיקוח</w:t>
      </w:r>
      <w:r w:rsidR="001F56E8">
        <w:rPr>
          <w:rFonts w:hint="cs"/>
          <w:sz w:val="26"/>
          <w:szCs w:val="26"/>
          <w:rtl/>
        </w:rPr>
        <w:t>.</w:t>
      </w:r>
      <w:r w:rsidRPr="001F56E8">
        <w:rPr>
          <w:sz w:val="26"/>
          <w:szCs w:val="26"/>
          <w:rtl/>
        </w:rPr>
        <w:t xml:space="preserve"> </w:t>
      </w:r>
      <w:r w:rsidR="00723157">
        <w:rPr>
          <w:rFonts w:hint="cs"/>
          <w:sz w:val="26"/>
          <w:szCs w:val="26"/>
          <w:rtl/>
        </w:rPr>
        <w:t>להלן נוסח הסעיף שמוצע ל</w:t>
      </w:r>
      <w:r w:rsidR="007734DA">
        <w:rPr>
          <w:rFonts w:hint="cs"/>
          <w:sz w:val="26"/>
          <w:szCs w:val="26"/>
          <w:rtl/>
        </w:rPr>
        <w:t>בטלו</w:t>
      </w:r>
      <w:r w:rsidR="00723157">
        <w:rPr>
          <w:rFonts w:hint="cs"/>
          <w:sz w:val="26"/>
          <w:szCs w:val="26"/>
          <w:rtl/>
        </w:rPr>
        <w:t>:</w:t>
      </w:r>
    </w:p>
    <w:p w:rsidR="00723157" w:rsidRPr="00E40DD3" w:rsidRDefault="00723157" w:rsidP="003725DA">
      <w:pPr>
        <w:pStyle w:val="Hesber"/>
        <w:ind w:left="991" w:hanging="567"/>
        <w:rPr>
          <w:rFonts w:ascii="David" w:hAnsi="David"/>
          <w:noProof/>
          <w:rtl/>
        </w:rPr>
      </w:pPr>
      <w:r w:rsidRPr="00E40DD3">
        <w:rPr>
          <w:rFonts w:asciiTheme="majorBidi" w:hAnsiTheme="majorBidi" w:cstheme="majorBidi"/>
          <w:noProof/>
          <w:sz w:val="26"/>
        </w:rPr>
        <w:t>"</w:t>
      </w:r>
      <w:r w:rsidRPr="00E40DD3">
        <w:rPr>
          <w:rFonts w:ascii="David" w:hAnsi="David"/>
          <w:noProof/>
          <w:sz w:val="26"/>
          <w:rtl/>
        </w:rPr>
        <w:t>27</w:t>
      </w:r>
      <w:r w:rsidR="00D02251" w:rsidRPr="00E40DD3">
        <w:rPr>
          <w:rFonts w:ascii="David" w:hAnsi="David"/>
          <w:noProof/>
          <w:sz w:val="26"/>
          <w:rtl/>
        </w:rPr>
        <w:t>.</w:t>
      </w:r>
      <w:r w:rsidRPr="00E40DD3">
        <w:rPr>
          <w:rFonts w:ascii="David" w:hAnsi="David"/>
          <w:noProof/>
          <w:sz w:val="26"/>
          <w:rtl/>
        </w:rPr>
        <w:tab/>
      </w:r>
      <w:r w:rsidRPr="00E40DD3">
        <w:rPr>
          <w:rFonts w:ascii="David" w:hAnsi="David"/>
          <w:noProof/>
          <w:rtl/>
        </w:rPr>
        <w:t xml:space="preserve"> (א)</w:t>
      </w:r>
      <w:r w:rsidRPr="00E40DD3">
        <w:rPr>
          <w:rFonts w:ascii="David" w:hAnsi="David"/>
          <w:noProof/>
          <w:rtl/>
        </w:rPr>
        <w:tab/>
        <w:t>הממונה רשאי, לפי שיקול דעתו, לתת לתושב ישראל שמלאו לו 18 שנים רשיון סוכן מתמחה לתקופה שלא תעלה על שלוש שנים; הוראות סעיף 25(ג) ו-(ג1) יחולו על מתן רשיון סוכן מתמחה.</w:t>
      </w:r>
    </w:p>
    <w:p w:rsidR="00723157" w:rsidRPr="00E40DD3" w:rsidRDefault="00723157" w:rsidP="003725DA">
      <w:pPr>
        <w:pStyle w:val="Hesber"/>
        <w:ind w:left="991" w:hanging="567"/>
        <w:rPr>
          <w:rFonts w:ascii="David" w:hAnsi="David"/>
          <w:noProof/>
          <w:sz w:val="26"/>
          <w:rtl/>
        </w:rPr>
      </w:pPr>
      <w:r w:rsidRPr="00E40DD3">
        <w:rPr>
          <w:rFonts w:ascii="David" w:hAnsi="David"/>
          <w:noProof/>
          <w:rtl/>
        </w:rPr>
        <w:tab/>
        <w:t>(ב)</w:t>
      </w:r>
      <w:r w:rsidRPr="00E40DD3">
        <w:rPr>
          <w:rFonts w:ascii="David" w:hAnsi="David"/>
          <w:noProof/>
          <w:rtl/>
        </w:rPr>
        <w:tab/>
        <w:t>מי שקיבל רשיון סוכן מתמחה רשאי לעשות פעולת תיווך אם מאמנו נתן מראש אישור לפעולה.</w:t>
      </w:r>
    </w:p>
    <w:p w:rsidR="00325A9B" w:rsidRPr="00E40DD3" w:rsidRDefault="00723157" w:rsidP="003725DA">
      <w:pPr>
        <w:pStyle w:val="Hesber"/>
        <w:ind w:left="991" w:hanging="567"/>
        <w:rPr>
          <w:rFonts w:ascii="David" w:hAnsi="David"/>
          <w:noProof/>
          <w:sz w:val="26"/>
          <w:rtl/>
        </w:rPr>
      </w:pPr>
      <w:r w:rsidRPr="00E40DD3">
        <w:rPr>
          <w:rFonts w:ascii="David" w:hAnsi="David"/>
          <w:noProof/>
          <w:sz w:val="26"/>
          <w:rtl/>
        </w:rPr>
        <w:tab/>
      </w:r>
      <w:r w:rsidRPr="00E40DD3">
        <w:rPr>
          <w:rFonts w:ascii="David" w:hAnsi="David"/>
          <w:noProof/>
          <w:rtl/>
        </w:rPr>
        <w:t>(ג)</w:t>
      </w:r>
      <w:r w:rsidRPr="00E40DD3">
        <w:rPr>
          <w:rFonts w:ascii="David" w:hAnsi="David"/>
          <w:noProof/>
          <w:rtl/>
        </w:rPr>
        <w:tab/>
        <w:t>הוראות סעיפים 28, 29, 55 עד 59, 85(ג) ו-99 יחולו גם לגבי סוכן מתמחה.</w:t>
      </w:r>
      <w:r w:rsidR="00D8731E" w:rsidRPr="00E40DD3">
        <w:rPr>
          <w:rFonts w:ascii="David" w:hAnsi="David"/>
          <w:noProof/>
          <w:rtl/>
        </w:rPr>
        <w:t>"</w:t>
      </w:r>
      <w:r w:rsidR="00D02251" w:rsidRPr="00E40DD3">
        <w:rPr>
          <w:rFonts w:ascii="David" w:hAnsi="David"/>
          <w:noProof/>
          <w:rtl/>
        </w:rPr>
        <w:t>.</w:t>
      </w:r>
    </w:p>
    <w:p w:rsidR="001F56E8" w:rsidRPr="00D02251" w:rsidRDefault="001F56E8" w:rsidP="00D02251">
      <w:pPr>
        <w:pStyle w:val="HeadDivreiHesber"/>
        <w:jc w:val="both"/>
        <w:rPr>
          <w:rtl/>
        </w:rPr>
      </w:pPr>
      <w:bookmarkStart w:id="30" w:name="_Toc102894342"/>
      <w:bookmarkStart w:id="31" w:name="_Toc102894358"/>
      <w:bookmarkStart w:id="32" w:name="_Toc102894733"/>
      <w:r w:rsidRPr="00D02251">
        <w:rPr>
          <w:rFonts w:hint="cs"/>
          <w:rtl/>
        </w:rPr>
        <w:t>לסעיף 2</w:t>
      </w:r>
      <w:bookmarkEnd w:id="30"/>
      <w:bookmarkEnd w:id="31"/>
      <w:bookmarkEnd w:id="32"/>
      <w:r w:rsidRPr="00D02251">
        <w:rPr>
          <w:rFonts w:hint="cs"/>
          <w:rtl/>
        </w:rPr>
        <w:t xml:space="preserve"> </w:t>
      </w:r>
    </w:p>
    <w:p w:rsidR="008420E2" w:rsidRDefault="00D8731E" w:rsidP="00103247">
      <w:pPr>
        <w:rPr>
          <w:sz w:val="26"/>
          <w:szCs w:val="26"/>
          <w:rtl/>
        </w:rPr>
      </w:pPr>
      <w:r>
        <w:rPr>
          <w:rFonts w:hint="cs"/>
          <w:sz w:val="26"/>
          <w:szCs w:val="26"/>
          <w:rtl/>
        </w:rPr>
        <w:t xml:space="preserve">סעיף 28 לחוק הפיקוח קובע כיום כי רישיון סוכן ביטוח יכול שיינתן לאחד משלושה ענפי פעילות: ביטוח פנסיוני, ביטוח ימי או ביטוח כללי. כיום הן </w:t>
      </w:r>
      <w:r w:rsidR="008825A4">
        <w:rPr>
          <w:rFonts w:hint="cs"/>
          <w:sz w:val="26"/>
          <w:szCs w:val="26"/>
          <w:rtl/>
        </w:rPr>
        <w:t>בעלי רישיון ב</w:t>
      </w:r>
      <w:r>
        <w:rPr>
          <w:rFonts w:hint="cs"/>
          <w:sz w:val="26"/>
          <w:szCs w:val="26"/>
          <w:rtl/>
        </w:rPr>
        <w:t xml:space="preserve">ענף ביטוח פנסיוני והן </w:t>
      </w:r>
      <w:r w:rsidR="008825A4">
        <w:rPr>
          <w:rFonts w:hint="cs"/>
          <w:sz w:val="26"/>
          <w:szCs w:val="26"/>
          <w:rtl/>
        </w:rPr>
        <w:t>בעלי רישיון ב</w:t>
      </w:r>
      <w:r>
        <w:rPr>
          <w:rFonts w:hint="cs"/>
          <w:sz w:val="26"/>
          <w:szCs w:val="26"/>
          <w:rtl/>
        </w:rPr>
        <w:t xml:space="preserve">ענף ביטוח כללי </w:t>
      </w:r>
      <w:r w:rsidR="008825A4">
        <w:rPr>
          <w:rFonts w:hint="cs"/>
          <w:sz w:val="26"/>
          <w:szCs w:val="26"/>
          <w:rtl/>
        </w:rPr>
        <w:t>רשאים לעסוק גם בביטוחי בריאות בהתאם להוראות הדין.</w:t>
      </w:r>
      <w:r w:rsidR="00723157">
        <w:rPr>
          <w:rFonts w:hint="cs"/>
          <w:sz w:val="26"/>
          <w:szCs w:val="26"/>
          <w:rtl/>
        </w:rPr>
        <w:t xml:space="preserve"> </w:t>
      </w:r>
      <w:r w:rsidR="008420E2">
        <w:rPr>
          <w:rFonts w:hint="cs"/>
          <w:sz w:val="26"/>
          <w:szCs w:val="26"/>
          <w:rtl/>
        </w:rPr>
        <w:t xml:space="preserve">ביטוח </w:t>
      </w:r>
      <w:r w:rsidR="008420E2" w:rsidRPr="008420E2">
        <w:rPr>
          <w:rFonts w:hint="cs"/>
          <w:sz w:val="26"/>
          <w:szCs w:val="26"/>
          <w:rtl/>
        </w:rPr>
        <w:t xml:space="preserve">בריאות כולל שני ענפים: </w:t>
      </w:r>
      <w:r w:rsidR="008420E2" w:rsidRPr="008420E2">
        <w:rPr>
          <w:rFonts w:hint="cs"/>
          <w:b/>
          <w:bCs/>
          <w:sz w:val="26"/>
          <w:szCs w:val="26"/>
          <w:rtl/>
        </w:rPr>
        <w:t>ענף מחלות ואשפוז</w:t>
      </w:r>
      <w:r w:rsidR="008420E2">
        <w:rPr>
          <w:rFonts w:hint="cs"/>
          <w:b/>
          <w:bCs/>
          <w:sz w:val="26"/>
          <w:szCs w:val="26"/>
          <w:rtl/>
        </w:rPr>
        <w:t>, ו</w:t>
      </w:r>
      <w:r w:rsidR="008420E2" w:rsidRPr="008420E2">
        <w:rPr>
          <w:rFonts w:hint="cs"/>
          <w:b/>
          <w:bCs/>
          <w:sz w:val="26"/>
          <w:szCs w:val="26"/>
          <w:rtl/>
        </w:rPr>
        <w:t xml:space="preserve">ענף התאונות האישיות. </w:t>
      </w:r>
      <w:r w:rsidR="008420E2" w:rsidRPr="008420E2">
        <w:rPr>
          <w:rFonts w:hint="cs"/>
          <w:sz w:val="26"/>
          <w:szCs w:val="26"/>
          <w:rtl/>
        </w:rPr>
        <w:t>ב</w:t>
      </w:r>
      <w:r w:rsidR="008420E2">
        <w:rPr>
          <w:rFonts w:hint="cs"/>
          <w:sz w:val="26"/>
          <w:szCs w:val="26"/>
          <w:rtl/>
        </w:rPr>
        <w:t xml:space="preserve">התאם לממצאי רשות שוק ההון, ביטוח וחיסכון (להלן </w:t>
      </w:r>
      <w:r w:rsidR="008420E2">
        <w:rPr>
          <w:sz w:val="26"/>
          <w:szCs w:val="26"/>
          <w:rtl/>
        </w:rPr>
        <w:t>–</w:t>
      </w:r>
      <w:r w:rsidR="008420E2">
        <w:rPr>
          <w:rFonts w:hint="cs"/>
          <w:sz w:val="26"/>
          <w:szCs w:val="26"/>
          <w:rtl/>
        </w:rPr>
        <w:t xml:space="preserve"> רשות שוק ההון), ב</w:t>
      </w:r>
      <w:r w:rsidR="008420E2" w:rsidRPr="008420E2">
        <w:rPr>
          <w:rFonts w:hint="cs"/>
          <w:sz w:val="26"/>
          <w:szCs w:val="26"/>
          <w:rtl/>
        </w:rPr>
        <w:t>עשר השנים האחרונות גדל שוק ביטוח הבריאות בישראל בכ-133% מכ-5.15 מיליארד ש"ח בשנת 2009</w:t>
      </w:r>
      <w:r w:rsidR="008420E2">
        <w:rPr>
          <w:rFonts w:hint="cs"/>
          <w:sz w:val="26"/>
          <w:szCs w:val="26"/>
          <w:rtl/>
        </w:rPr>
        <w:t xml:space="preserve"> לכ-12.02 מיליארד ש"ח בשנת 2019,</w:t>
      </w:r>
      <w:r w:rsidR="008420E2" w:rsidRPr="008420E2">
        <w:rPr>
          <w:rFonts w:hint="cs"/>
          <w:sz w:val="26"/>
          <w:szCs w:val="26"/>
          <w:rtl/>
        </w:rPr>
        <w:t xml:space="preserve"> עלייה </w:t>
      </w:r>
      <w:r w:rsidR="008420E2">
        <w:rPr>
          <w:rFonts w:hint="cs"/>
          <w:sz w:val="26"/>
          <w:szCs w:val="26"/>
          <w:rtl/>
        </w:rPr>
        <w:t xml:space="preserve">אשר מדגישה </w:t>
      </w:r>
      <w:r w:rsidR="008420E2" w:rsidRPr="008420E2">
        <w:rPr>
          <w:rFonts w:hint="cs"/>
          <w:sz w:val="26"/>
          <w:szCs w:val="26"/>
          <w:rtl/>
        </w:rPr>
        <w:t>את הצורך בייחוד ביטוח הבריאות ברישיונו של הסוכן ואת הצורך ביצירת מקצועיות ייחודית בתחום זה.</w:t>
      </w:r>
    </w:p>
    <w:p w:rsidR="00103247" w:rsidRPr="00103247" w:rsidRDefault="008420E2" w:rsidP="00103247">
      <w:pPr>
        <w:pStyle w:val="Hesber"/>
        <w:rPr>
          <w:rtl/>
        </w:rPr>
      </w:pPr>
      <w:r w:rsidRPr="00103247">
        <w:rPr>
          <w:rFonts w:hint="cs"/>
          <w:rtl/>
        </w:rPr>
        <w:t xml:space="preserve">לאור </w:t>
      </w:r>
      <w:r w:rsidR="00103247" w:rsidRPr="00103247">
        <w:rPr>
          <w:rFonts w:hint="cs"/>
          <w:rtl/>
        </w:rPr>
        <w:t xml:space="preserve">האמור </w:t>
      </w:r>
      <w:r w:rsidR="00325A9B" w:rsidRPr="00103247">
        <w:rPr>
          <w:rFonts w:hint="cs"/>
          <w:rtl/>
        </w:rPr>
        <w:t>מוצע ל</w:t>
      </w:r>
      <w:r w:rsidR="00103247" w:rsidRPr="00103247">
        <w:rPr>
          <w:rFonts w:hint="cs"/>
          <w:rtl/>
        </w:rPr>
        <w:t>ייחד</w:t>
      </w:r>
      <w:r w:rsidRPr="00103247">
        <w:rPr>
          <w:rFonts w:hint="cs"/>
          <w:rtl/>
        </w:rPr>
        <w:t xml:space="preserve"> </w:t>
      </w:r>
      <w:r w:rsidR="00103247" w:rsidRPr="00103247">
        <w:rPr>
          <w:rFonts w:hint="cs"/>
          <w:rtl/>
        </w:rPr>
        <w:t>רישיון ל</w:t>
      </w:r>
      <w:r w:rsidR="00325A9B" w:rsidRPr="00103247">
        <w:rPr>
          <w:rFonts w:hint="cs"/>
          <w:rtl/>
        </w:rPr>
        <w:t xml:space="preserve">ענף ביטוח </w:t>
      </w:r>
      <w:r w:rsidR="00103247" w:rsidRPr="00103247">
        <w:rPr>
          <w:rFonts w:hint="cs"/>
          <w:rtl/>
        </w:rPr>
        <w:t>ה</w:t>
      </w:r>
      <w:r w:rsidR="00325A9B" w:rsidRPr="00103247">
        <w:rPr>
          <w:rFonts w:hint="cs"/>
          <w:rtl/>
        </w:rPr>
        <w:t xml:space="preserve">בריאות </w:t>
      </w:r>
      <w:r w:rsidR="00103247" w:rsidRPr="00103247">
        <w:rPr>
          <w:rFonts w:hint="cs"/>
          <w:rtl/>
        </w:rPr>
        <w:t xml:space="preserve">בדומה </w:t>
      </w:r>
      <w:r w:rsidR="00325A9B" w:rsidRPr="00103247">
        <w:rPr>
          <w:rFonts w:hint="cs"/>
          <w:rtl/>
        </w:rPr>
        <w:t>לענפי ביטוח פנסיוני, ביטוח ימי וביטוח כללי</w:t>
      </w:r>
      <w:r w:rsidR="00103247" w:rsidRPr="00103247">
        <w:rPr>
          <w:rFonts w:hint="cs"/>
          <w:rtl/>
        </w:rPr>
        <w:t>, כך שענף ביטוח הבריאות יעמוד בפני עצמו ולא יהיה חלק מהענפים האחרים</w:t>
      </w:r>
      <w:r w:rsidR="00325A9B" w:rsidRPr="00103247">
        <w:rPr>
          <w:rFonts w:hint="cs"/>
          <w:rtl/>
        </w:rPr>
        <w:t xml:space="preserve">. </w:t>
      </w:r>
      <w:r w:rsidR="00103247" w:rsidRPr="00103247">
        <w:rPr>
          <w:rFonts w:hint="cs"/>
          <w:rtl/>
        </w:rPr>
        <w:t xml:space="preserve">כמו כן מוצע לקבוע כי </w:t>
      </w:r>
      <w:r w:rsidR="00325A9B" w:rsidRPr="00103247">
        <w:rPr>
          <w:rFonts w:hint="cs"/>
          <w:rtl/>
        </w:rPr>
        <w:t xml:space="preserve">ענף ביטוח בריאות יכלול ביטוח מפני תאונות אישיות וביטוח מפני מחלות ואשפוז, </w:t>
      </w:r>
      <w:r w:rsidR="00325A9B" w:rsidRPr="00103247">
        <w:rPr>
          <w:rtl/>
        </w:rPr>
        <w:t>ענף מחלות ואשפוז כולל את תתי הענפים הבאים: ביטוח הוצאות רפואיות (דוגמת ניתוחים, תרופות והשתלות) ביטוח סיעודי, ביטוח מחלות קשות, ביטוח שיניים, ביטוח נכות, ביטוח נסיעות לחו"ל וביטוח עובדים זרים.</w:t>
      </w:r>
      <w:r w:rsidR="00325A9B" w:rsidRPr="00103247">
        <w:rPr>
          <w:rFonts w:hint="cs"/>
          <w:rtl/>
        </w:rPr>
        <w:t xml:space="preserve"> </w:t>
      </w:r>
    </w:p>
    <w:p w:rsidR="00723157" w:rsidRPr="00103247" w:rsidRDefault="00325A9B" w:rsidP="00103247">
      <w:pPr>
        <w:pStyle w:val="Hesber"/>
        <w:rPr>
          <w:rtl/>
        </w:rPr>
      </w:pPr>
      <w:r w:rsidRPr="00103247">
        <w:rPr>
          <w:rFonts w:hint="cs"/>
          <w:rtl/>
        </w:rPr>
        <w:t xml:space="preserve">בנוסף מוצע להסיר מהגדרת ענף ביטוח פנסיוני וענף ביטוח כללי את ביטוח מפני תאונה, מחלה או נכות </w:t>
      </w:r>
      <w:r w:rsidR="00103247" w:rsidRPr="00103247">
        <w:rPr>
          <w:rFonts w:hint="cs"/>
          <w:rtl/>
        </w:rPr>
        <w:t>שכן ביטוחים</w:t>
      </w:r>
      <w:r w:rsidRPr="00103247">
        <w:rPr>
          <w:rFonts w:hint="cs"/>
          <w:rtl/>
        </w:rPr>
        <w:t xml:space="preserve"> אלה </w:t>
      </w:r>
      <w:r w:rsidR="00103247" w:rsidRPr="00103247">
        <w:rPr>
          <w:rFonts w:hint="cs"/>
          <w:rtl/>
        </w:rPr>
        <w:t xml:space="preserve">שייכים לענף ביטוח בריאות אשר כאמור הפך לענף נפרד. </w:t>
      </w:r>
      <w:r w:rsidRPr="00103247">
        <w:rPr>
          <w:rFonts w:hint="cs"/>
          <w:rtl/>
        </w:rPr>
        <w:t xml:space="preserve">בנוסף מוצע להבהיר כי ענף ביטוח ימי כולל גם ביטוח אווירי וזאת </w:t>
      </w:r>
      <w:r w:rsidRPr="00103247">
        <w:rPr>
          <w:rFonts w:hint="eastAsia"/>
          <w:rtl/>
        </w:rPr>
        <w:t>משו</w:t>
      </w:r>
      <w:r w:rsidRPr="00103247">
        <w:rPr>
          <w:rFonts w:hint="cs"/>
          <w:rtl/>
        </w:rPr>
        <w:t>ם שהדבר משקף באופן מדויק ונכון את המצב החוקי הקיים</w:t>
      </w:r>
      <w:r w:rsidR="00103247" w:rsidRPr="00103247">
        <w:rPr>
          <w:rFonts w:hint="cs"/>
          <w:rtl/>
        </w:rPr>
        <w:t xml:space="preserve"> כיום, ועל כן יש מקום לייצר ודאות בנושא גם מבחינת נוסח החוק</w:t>
      </w:r>
      <w:r w:rsidRPr="00103247">
        <w:rPr>
          <w:rFonts w:hint="cs"/>
          <w:rtl/>
        </w:rPr>
        <w:t xml:space="preserve">. </w:t>
      </w:r>
    </w:p>
    <w:p w:rsidR="007734DA" w:rsidRDefault="007734DA">
      <w:pPr>
        <w:bidi w:val="0"/>
        <w:spacing w:before="200" w:after="200" w:line="276" w:lineRule="auto"/>
        <w:rPr>
          <w:rFonts w:ascii="Arial" w:eastAsia="Arial Unicode MS" w:hAnsi="Arial"/>
          <w:b/>
          <w:snapToGrid w:val="0"/>
          <w:color w:val="000000"/>
          <w:spacing w:val="40"/>
          <w:szCs w:val="26"/>
          <w:lang w:eastAsia="ja-JP"/>
        </w:rPr>
      </w:pPr>
      <w:r>
        <w:rPr>
          <w:rtl/>
        </w:rPr>
        <w:br w:type="page"/>
      </w:r>
    </w:p>
    <w:p w:rsidR="00723157" w:rsidRDefault="00723157" w:rsidP="00D02251">
      <w:pPr>
        <w:pStyle w:val="HeadDivreiHesber"/>
        <w:jc w:val="both"/>
        <w:rPr>
          <w:rtl/>
        </w:rPr>
      </w:pPr>
      <w:bookmarkStart w:id="33" w:name="_Toc102894343"/>
      <w:bookmarkStart w:id="34" w:name="_Toc102894359"/>
      <w:bookmarkStart w:id="35" w:name="_Toc102894734"/>
      <w:r>
        <w:rPr>
          <w:rFonts w:hint="cs"/>
          <w:rtl/>
        </w:rPr>
        <w:lastRenderedPageBreak/>
        <w:t>לסעיף 3</w:t>
      </w:r>
      <w:bookmarkEnd w:id="33"/>
      <w:bookmarkEnd w:id="34"/>
      <w:bookmarkEnd w:id="35"/>
    </w:p>
    <w:p w:rsidR="00723157" w:rsidRPr="00267DE8" w:rsidRDefault="00267DE8" w:rsidP="00267DE8">
      <w:pPr>
        <w:pStyle w:val="HesberWriters"/>
        <w:ind w:left="140"/>
        <w:jc w:val="both"/>
        <w:rPr>
          <w:b w:val="0"/>
          <w:bCs w:val="0"/>
          <w:rtl/>
        </w:rPr>
      </w:pPr>
      <w:r>
        <w:rPr>
          <w:rFonts w:hint="cs"/>
          <w:b w:val="0"/>
          <w:bCs w:val="0"/>
          <w:rtl/>
        </w:rPr>
        <w:t>לאור זאת שבמסגרת חוק זה מוצע להפריד את ענף ביטוח בריאות מענף ביטוח פנסיוני ומענף ביטוח כללי, הרי שסוכן ביטוח יצטרך להחזיק ברישיון ייעודי על מנת לעסוק בענף זה. על מנת שלא לפגוע ב</w:t>
      </w:r>
      <w:r w:rsidR="00D02251">
        <w:rPr>
          <w:rFonts w:hint="cs"/>
          <w:b w:val="0"/>
          <w:bCs w:val="0"/>
          <w:rtl/>
        </w:rPr>
        <w:t xml:space="preserve">עיסוקם של </w:t>
      </w:r>
      <w:r>
        <w:rPr>
          <w:rFonts w:hint="cs"/>
          <w:b w:val="0"/>
          <w:bCs w:val="0"/>
          <w:rtl/>
        </w:rPr>
        <w:t>סוכני הביטוח הפועלים כיום בשוק</w:t>
      </w:r>
      <w:r w:rsidR="00D02251">
        <w:rPr>
          <w:rFonts w:hint="cs"/>
          <w:b w:val="0"/>
          <w:bCs w:val="0"/>
          <w:rtl/>
        </w:rPr>
        <w:t>,</w:t>
      </w:r>
      <w:r>
        <w:rPr>
          <w:rFonts w:hint="cs"/>
          <w:b w:val="0"/>
          <w:bCs w:val="0"/>
          <w:rtl/>
        </w:rPr>
        <w:t xml:space="preserve"> ואשר </w:t>
      </w:r>
      <w:r w:rsidR="00D02251">
        <w:rPr>
          <w:rFonts w:hint="cs"/>
          <w:b w:val="0"/>
          <w:bCs w:val="0"/>
          <w:rtl/>
        </w:rPr>
        <w:t xml:space="preserve">כבר </w:t>
      </w:r>
      <w:r>
        <w:rPr>
          <w:rFonts w:hint="cs"/>
          <w:b w:val="0"/>
          <w:bCs w:val="0"/>
          <w:rtl/>
        </w:rPr>
        <w:t>רשאים לעסוק בתיווך לעניין ענף ביטוח בריאות במסגרת הרישיון הקיים בידיהם כיום, מוצע לקבוע כי סוכנים אלה יוכלו לקבל רישיון לתיווך בענף ביטוח בריאות, גם ללא צורך בביצוע התמחות או בעמידה בבחינות לעניין ענף ביטוח בריאות.</w:t>
      </w:r>
    </w:p>
    <w:p w:rsidR="00325A9B" w:rsidRDefault="00325A9B" w:rsidP="00325A9B">
      <w:pPr>
        <w:pStyle w:val="HesberWriters"/>
        <w:rPr>
          <w:rtl/>
        </w:rPr>
      </w:pPr>
    </w:p>
    <w:p w:rsidR="00325A9B" w:rsidRDefault="00325A9B" w:rsidP="00325A9B">
      <w:pPr>
        <w:rPr>
          <w:rFonts w:ascii="Arial" w:eastAsia="Arial Unicode MS" w:hAnsi="Arial"/>
          <w:b/>
          <w:bCs/>
          <w:snapToGrid w:val="0"/>
          <w:szCs w:val="26"/>
          <w:rtl/>
        </w:rPr>
      </w:pPr>
    </w:p>
    <w:p w:rsidR="009435A5" w:rsidRDefault="009435A5" w:rsidP="009435A5">
      <w:pPr>
        <w:spacing w:line="25" w:lineRule="atLeast"/>
        <w:rPr>
          <w:rtl/>
        </w:rPr>
      </w:pPr>
    </w:p>
    <w:p w:rsidR="00E34D1B" w:rsidRDefault="00E34D1B" w:rsidP="009435A5">
      <w:pPr>
        <w:spacing w:line="25" w:lineRule="atLeast"/>
        <w:rPr>
          <w:rtl/>
        </w:rPr>
      </w:pPr>
    </w:p>
    <w:p w:rsidR="00E34D1B" w:rsidRDefault="00E34D1B" w:rsidP="00E34D1B">
      <w:pPr>
        <w:spacing w:line="25" w:lineRule="atLeast"/>
        <w:rPr>
          <w:szCs w:val="20"/>
          <w:rtl/>
        </w:rPr>
      </w:pPr>
    </w:p>
    <w:p w:rsidR="00E34D1B" w:rsidRDefault="00E34D1B" w:rsidP="00E34D1B">
      <w:pPr>
        <w:spacing w:line="25" w:lineRule="atLeast"/>
        <w:rPr>
          <w:szCs w:val="20"/>
          <w:rtl/>
        </w:rPr>
      </w:pPr>
    </w:p>
    <w:p w:rsidR="00E34D1B" w:rsidRDefault="00E34D1B" w:rsidP="00E34D1B">
      <w:pPr>
        <w:spacing w:line="25" w:lineRule="atLeast"/>
        <w:rPr>
          <w:szCs w:val="20"/>
          <w:rtl/>
        </w:rPr>
      </w:pPr>
    </w:p>
    <w:p w:rsidR="00E34D1B" w:rsidRDefault="00E34D1B" w:rsidP="00E34D1B">
      <w:pPr>
        <w:spacing w:line="25" w:lineRule="atLeast"/>
        <w:rPr>
          <w:szCs w:val="20"/>
          <w:rtl/>
        </w:rPr>
      </w:pPr>
    </w:p>
    <w:p w:rsidR="00E34D1B" w:rsidRPr="0007311F" w:rsidRDefault="00E34D1B" w:rsidP="009435A5">
      <w:pPr>
        <w:spacing w:line="25" w:lineRule="atLeast"/>
        <w:rPr>
          <w:szCs w:val="20"/>
          <w:rtl/>
        </w:rPr>
      </w:pPr>
    </w:p>
    <w:sectPr w:rsidR="00E34D1B" w:rsidRPr="0007311F" w:rsidSect="002973B2">
      <w:headerReference w:type="default" r:id="rId9"/>
      <w:footerReference w:type="even" r:id="rId10"/>
      <w:footerReference w:type="default" r:id="rId11"/>
      <w:footerReference w:type="first" r:id="rId12"/>
      <w:endnotePr>
        <w:numFmt w:val="lowerLetter"/>
      </w:endnotePr>
      <w:pgSz w:w="11906" w:h="16838"/>
      <w:pgMar w:top="1418" w:right="1134" w:bottom="1418" w:left="1134" w:header="284" w:footer="0"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97" w:rsidRDefault="002F3D97">
      <w:r>
        <w:separator/>
      </w:r>
    </w:p>
  </w:endnote>
  <w:endnote w:type="continuationSeparator" w:id="0">
    <w:p w:rsidR="002F3D97" w:rsidRDefault="002F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FB" w:rsidRDefault="009435A5">
    <w:pPr>
      <w:pStyle w:val="aa"/>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rsidR="00BE67FB" w:rsidRDefault="002F3D97">
    <w:pPr>
      <w:pStyle w:val="aa"/>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Pr="00060494" w:rsidRDefault="002973B2" w:rsidP="002973B2">
    <w:pPr>
      <w:pStyle w:val="aa"/>
      <w:pBdr>
        <w:top w:val="single" w:sz="4" w:space="1" w:color="auto"/>
      </w:pBdr>
      <w:tabs>
        <w:tab w:val="clear" w:pos="4153"/>
        <w:tab w:val="clear" w:pos="8306"/>
        <w:tab w:val="center" w:pos="4780"/>
        <w:tab w:val="right" w:pos="9666"/>
      </w:tabs>
      <w:spacing w:line="480" w:lineRule="auto"/>
      <w:rPr>
        <w:rFonts w:cs="Times New Roman"/>
        <w:b/>
        <w:bCs/>
        <w:u w:val="single"/>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Pr="00060494" w:rsidRDefault="002973B2" w:rsidP="007734DA">
    <w:pPr>
      <w:pStyle w:val="aa"/>
      <w:pBdr>
        <w:top w:val="single" w:sz="4" w:space="1" w:color="auto"/>
      </w:pBdr>
      <w:tabs>
        <w:tab w:val="clear" w:pos="4153"/>
        <w:tab w:val="clear" w:pos="8306"/>
        <w:tab w:val="center" w:pos="4780"/>
        <w:tab w:val="right" w:pos="9666"/>
      </w:tabs>
      <w:spacing w:line="480" w:lineRule="auto"/>
      <w:rPr>
        <w:rFonts w:cs="Times New Roman"/>
        <w:b/>
        <w:bCs/>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97" w:rsidRDefault="002F3D97">
      <w:r>
        <w:separator/>
      </w:r>
    </w:p>
  </w:footnote>
  <w:footnote w:type="continuationSeparator" w:id="0">
    <w:p w:rsidR="002F3D97" w:rsidRDefault="002F3D97">
      <w:r>
        <w:continuationSeparator/>
      </w:r>
    </w:p>
  </w:footnote>
  <w:footnote w:id="1">
    <w:p w:rsidR="00325A9B" w:rsidRDefault="00325A9B" w:rsidP="00325A9B">
      <w:pPr>
        <w:pStyle w:val="af"/>
        <w:spacing w:line="269" w:lineRule="auto"/>
        <w:rPr>
          <w:rtl/>
        </w:rPr>
      </w:pPr>
      <w:r>
        <w:rPr>
          <w:rStyle w:val="af1"/>
        </w:rPr>
        <w:footnoteRef/>
      </w:r>
      <w:r>
        <w:rPr>
          <w:rtl/>
        </w:rPr>
        <w:t xml:space="preserve"> </w:t>
      </w:r>
      <w:r>
        <w:rPr>
          <w:rtl/>
        </w:rPr>
        <w:tab/>
      </w:r>
      <w:r>
        <w:rPr>
          <w:rFonts w:hint="cs"/>
          <w:rtl/>
        </w:rPr>
        <w:t xml:space="preserve">על פי הגדרת </w:t>
      </w:r>
      <w:proofErr w:type="spellStart"/>
      <w:r>
        <w:rPr>
          <w:rFonts w:hint="cs"/>
          <w:rtl/>
        </w:rPr>
        <w:t>הלמ"ס</w:t>
      </w:r>
      <w:proofErr w:type="spellEnd"/>
      <w:r>
        <w:rPr>
          <w:rFonts w:hint="cs"/>
          <w:rtl/>
        </w:rPr>
        <w:t>, אוריינות פיננסית היא היכולת לקרוא, לנתח, להבין ולדון בגורמים כלכליים</w:t>
      </w:r>
      <w:r>
        <w:rPr>
          <w:rtl/>
        </w:rPr>
        <w:t>–</w:t>
      </w:r>
      <w:r>
        <w:rPr>
          <w:rFonts w:hint="cs"/>
          <w:rtl/>
        </w:rPr>
        <w:t>פיננסיים המשפיעים על רווחתו הכלכלית של הפרט. היא כוללת את היכולת להעריך אפשרויות כלכליות, להשתמש בכסף בצורה נכונה, לתכנן את העתיד, לפעול בהתאם להווה ולהגיב בצורה מושכלת לשינויים כלכליים.</w:t>
      </w:r>
    </w:p>
  </w:footnote>
  <w:footnote w:id="2">
    <w:p w:rsidR="00325A9B" w:rsidRDefault="00325A9B" w:rsidP="00325A9B">
      <w:pPr>
        <w:pStyle w:val="af"/>
        <w:spacing w:line="269" w:lineRule="auto"/>
        <w:rPr>
          <w:rtl/>
        </w:rPr>
      </w:pPr>
      <w:r>
        <w:rPr>
          <w:rStyle w:val="af1"/>
        </w:rPr>
        <w:footnoteRef/>
      </w:r>
      <w:r>
        <w:rPr>
          <w:rtl/>
        </w:rPr>
        <w:t xml:space="preserve"> </w:t>
      </w:r>
      <w:r>
        <w:rPr>
          <w:rtl/>
        </w:rPr>
        <w:tab/>
      </w:r>
      <w:r>
        <w:rPr>
          <w:rFonts w:hint="cs"/>
          <w:rtl/>
        </w:rPr>
        <w:t xml:space="preserve">ראו למשל: </w:t>
      </w:r>
      <w:r w:rsidRPr="008E7A5D">
        <w:t>Lusardi A, Mitchell OS. The Economic Importance of Financial Literacy: Theory and Evidence. J Econ Lit. 2014</w:t>
      </w:r>
      <w:proofErr w:type="gramStart"/>
      <w:r w:rsidRPr="008E7A5D">
        <w:t>;52</w:t>
      </w:r>
      <w:proofErr w:type="gramEnd"/>
      <w:r w:rsidRPr="008E7A5D">
        <w:t>(1):5–44. doi:10.1257/jel.52.1.5</w:t>
      </w:r>
    </w:p>
  </w:footnote>
  <w:footnote w:id="3">
    <w:p w:rsidR="00325A9B" w:rsidRPr="00A27C65" w:rsidRDefault="00325A9B" w:rsidP="00325A9B">
      <w:pPr>
        <w:pStyle w:val="af"/>
        <w:spacing w:line="269" w:lineRule="auto"/>
        <w:rPr>
          <w:rtl/>
        </w:rPr>
      </w:pPr>
      <w:r>
        <w:rPr>
          <w:rStyle w:val="af1"/>
        </w:rPr>
        <w:footnoteRef/>
      </w:r>
      <w:r>
        <w:rPr>
          <w:rtl/>
        </w:rPr>
        <w:t xml:space="preserve"> </w:t>
      </w:r>
      <w:r>
        <w:rPr>
          <w:rtl/>
        </w:rPr>
        <w:tab/>
      </w:r>
      <w:r>
        <w:rPr>
          <w:rFonts w:hint="cs"/>
          <w:rtl/>
        </w:rPr>
        <w:t>ראו הלשכה המרכזית לסטטיסטיקה "</w:t>
      </w:r>
      <w:r>
        <w:rPr>
          <w:rFonts w:hint="cs"/>
          <w:b/>
          <w:bCs/>
          <w:rtl/>
        </w:rPr>
        <w:t>סקר אוריינות פיננסית: ידע, דעות והתנהלות בנושאים פיננסיים"</w:t>
      </w:r>
      <w:r>
        <w:rPr>
          <w:rFonts w:hint="cs"/>
          <w:rtl/>
        </w:rPr>
        <w:t xml:space="preserve"> (2012). יצוין כי הממשלה קיבלה בשנת 2011 החלטה לפעול להגברת האוריינות הפיננסית של הציבור, ובהתאם להחלטה זו הוקמה ברשות שוק ההון יחידה לחינוך פיננסי. עם זאת, מחקרים עולמיים הטילו ספק ביעילות לאורך זמן של </w:t>
      </w:r>
      <w:proofErr w:type="spellStart"/>
      <w:r>
        <w:rPr>
          <w:rFonts w:hint="cs"/>
          <w:rtl/>
        </w:rPr>
        <w:t>תוכניות</w:t>
      </w:r>
      <w:proofErr w:type="spellEnd"/>
      <w:r>
        <w:rPr>
          <w:rFonts w:hint="cs"/>
          <w:rtl/>
        </w:rPr>
        <w:t xml:space="preserve"> להגברת האוריינות הפיננסית. ראו - </w:t>
      </w:r>
      <w:proofErr w:type="spellStart"/>
      <w:r w:rsidRPr="009C4733">
        <w:t>Fernandes</w:t>
      </w:r>
      <w:proofErr w:type="spellEnd"/>
      <w:r w:rsidRPr="009C4733">
        <w:t xml:space="preserve">, Daniel &amp; Lynch, John &amp; </w:t>
      </w:r>
      <w:proofErr w:type="spellStart"/>
      <w:r w:rsidRPr="009C4733">
        <w:t>Netemeyer</w:t>
      </w:r>
      <w:proofErr w:type="spellEnd"/>
      <w:r w:rsidRPr="009C4733">
        <w:t>, Richard. (2014). Financial Literacy, Financial Education, and Downstream Financial Behaviors. Management Science. 10.1287/mnsc.2013.1849</w:t>
      </w:r>
    </w:p>
  </w:footnote>
  <w:footnote w:id="4">
    <w:p w:rsidR="00325A9B" w:rsidRPr="009C1299" w:rsidRDefault="00325A9B" w:rsidP="00325A9B">
      <w:pPr>
        <w:pStyle w:val="af"/>
        <w:spacing w:line="269" w:lineRule="auto"/>
      </w:pPr>
      <w:r>
        <w:rPr>
          <w:rStyle w:val="af1"/>
        </w:rPr>
        <w:footnoteRef/>
      </w:r>
      <w:r>
        <w:rPr>
          <w:rtl/>
        </w:rPr>
        <w:t xml:space="preserve"> </w:t>
      </w:r>
      <w:r>
        <w:rPr>
          <w:rtl/>
        </w:rPr>
        <w:tab/>
      </w:r>
      <w:r w:rsidRPr="009C1299">
        <w:t xml:space="preserve">Carmel, Eyal &amp; Carmel, Dana &amp; </w:t>
      </w:r>
      <w:proofErr w:type="spellStart"/>
      <w:r w:rsidRPr="009C1299">
        <w:t>Leiser</w:t>
      </w:r>
      <w:proofErr w:type="spellEnd"/>
      <w:r w:rsidRPr="009C1299">
        <w:t xml:space="preserve">, David &amp; </w:t>
      </w:r>
      <w:proofErr w:type="spellStart"/>
      <w:r w:rsidRPr="009C1299">
        <w:t>Spivak</w:t>
      </w:r>
      <w:proofErr w:type="spellEnd"/>
      <w:r w:rsidRPr="009C1299">
        <w:t xml:space="preserve">, </w:t>
      </w:r>
      <w:proofErr w:type="spellStart"/>
      <w:r w:rsidRPr="009C1299">
        <w:t>Avia</w:t>
      </w:r>
      <w:proofErr w:type="spellEnd"/>
      <w:r w:rsidRPr="009C1299">
        <w:t>. (2015). Facing a Biased Adviser While Choosing a Retirement Plan: The Impact of Financial Literacy and Fair Disclosure. Journal of Consumer Affairs. 49. 576-595. 10.1111/joca.12083</w:t>
      </w:r>
      <w:r w:rsidRPr="009C1299">
        <w:rPr>
          <w:rtl/>
        </w:rPr>
        <w:t>.</w:t>
      </w:r>
    </w:p>
  </w:footnote>
  <w:footnote w:id="5">
    <w:p w:rsidR="00325A9B" w:rsidRDefault="00325A9B" w:rsidP="00325A9B">
      <w:pPr>
        <w:pStyle w:val="af"/>
        <w:rPr>
          <w:rtl/>
        </w:rPr>
      </w:pPr>
      <w:r>
        <w:rPr>
          <w:rStyle w:val="af1"/>
        </w:rPr>
        <w:footnoteRef/>
      </w:r>
      <w:r>
        <w:rPr>
          <w:rtl/>
        </w:rPr>
        <w:t xml:space="preserve"> </w:t>
      </w:r>
      <w:r>
        <w:rPr>
          <w:rFonts w:hint="cs"/>
          <w:rtl/>
        </w:rPr>
        <w:t xml:space="preserve">ס"ח </w:t>
      </w:r>
      <w:proofErr w:type="spellStart"/>
      <w:r>
        <w:rPr>
          <w:rFonts w:hint="cs"/>
          <w:rtl/>
        </w:rPr>
        <w:t>התשמ"א</w:t>
      </w:r>
      <w:proofErr w:type="spellEnd"/>
      <w:r>
        <w:rPr>
          <w:rFonts w:hint="cs"/>
          <w:rtl/>
        </w:rPr>
        <w:t xml:space="preserve">, עמ' 208; </w:t>
      </w:r>
      <w:proofErr w:type="spellStart"/>
      <w:r>
        <w:rPr>
          <w:rFonts w:hint="cs"/>
          <w:rtl/>
        </w:rPr>
        <w:t>התשע"ט</w:t>
      </w:r>
      <w:proofErr w:type="spellEnd"/>
      <w:r>
        <w:rPr>
          <w:rFonts w:hint="cs"/>
          <w:rtl/>
        </w:rPr>
        <w:t>, עמ' 160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9651144"/>
      <w:docPartObj>
        <w:docPartGallery w:val="Page Numbers (Top of Page)"/>
        <w:docPartUnique/>
      </w:docPartObj>
    </w:sdtPr>
    <w:sdtEndPr>
      <w:rPr>
        <w:cs/>
      </w:rPr>
    </w:sdtEndPr>
    <w:sdtContent>
      <w:p w:rsidR="0007311F" w:rsidRDefault="009435A5">
        <w:pPr>
          <w:pStyle w:val="a8"/>
          <w:jc w:val="center"/>
          <w:rPr>
            <w:rtl/>
            <w:cs/>
          </w:rPr>
        </w:pPr>
        <w:r>
          <w:fldChar w:fldCharType="begin"/>
        </w:r>
        <w:r>
          <w:rPr>
            <w:rtl/>
            <w:cs/>
          </w:rPr>
          <w:instrText>PAGE   \* MERGEFORMAT</w:instrText>
        </w:r>
        <w:r>
          <w:fldChar w:fldCharType="separate"/>
        </w:r>
        <w:r w:rsidR="00BC7B81" w:rsidRPr="00BC7B81">
          <w:rPr>
            <w:noProof/>
            <w:rtl/>
            <w:lang w:val="he-IL"/>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82797"/>
    <w:multiLevelType w:val="multilevel"/>
    <w:tmpl w:val="CB2CFB36"/>
    <w:numStyleLink w:val="-"/>
  </w:abstractNum>
  <w:abstractNum w:abstractNumId="11"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2"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690D37"/>
    <w:multiLevelType w:val="multilevel"/>
    <w:tmpl w:val="2C7611E6"/>
    <w:numStyleLink w:val="-0"/>
  </w:abstractNum>
  <w:abstractNum w:abstractNumId="16" w15:restartNumberingAfterBreak="0">
    <w:nsid w:val="477D4CEE"/>
    <w:multiLevelType w:val="multilevel"/>
    <w:tmpl w:val="2C7611E6"/>
    <w:numStyleLink w:val="-0"/>
  </w:abstractNum>
  <w:abstractNum w:abstractNumId="17" w15:restartNumberingAfterBreak="0">
    <w:nsid w:val="4C884A52"/>
    <w:multiLevelType w:val="hybridMultilevel"/>
    <w:tmpl w:val="C7802148"/>
    <w:lvl w:ilvl="0" w:tplc="63169B2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63965"/>
    <w:multiLevelType w:val="multilevel"/>
    <w:tmpl w:val="CB2CFB36"/>
    <w:numStyleLink w:val="-"/>
  </w:abstractNum>
  <w:abstractNum w:abstractNumId="19"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2" w15:restartNumberingAfterBreak="0">
    <w:nsid w:val="5F917A99"/>
    <w:multiLevelType w:val="hybridMultilevel"/>
    <w:tmpl w:val="14BA8876"/>
    <w:lvl w:ilvl="0" w:tplc="C6CAC01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D4C67"/>
    <w:multiLevelType w:val="hybridMultilevel"/>
    <w:tmpl w:val="5B06580E"/>
    <w:lvl w:ilvl="0" w:tplc="275EAC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11"/>
  </w:num>
  <w:num w:numId="4">
    <w:abstractNumId w:val="12"/>
  </w:num>
  <w:num w:numId="5">
    <w:abstractNumId w:val="10"/>
  </w:num>
  <w:num w:numId="6">
    <w:abstractNumId w:val="16"/>
  </w:num>
  <w:num w:numId="7">
    <w:abstractNumId w:val="18"/>
  </w:num>
  <w:num w:numId="8">
    <w:abstractNumId w:val="24"/>
  </w:num>
  <w:num w:numId="9">
    <w:abstractNumId w:val="17"/>
  </w:num>
  <w:num w:numId="10">
    <w:abstractNumId w:val="2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25"/>
  </w:num>
  <w:num w:numId="15">
    <w:abstractNumId w:val="8"/>
  </w:num>
  <w:num w:numId="16">
    <w:abstractNumId w:val="3"/>
  </w:num>
  <w:num w:numId="17">
    <w:abstractNumId w:val="2"/>
  </w:num>
  <w:num w:numId="18">
    <w:abstractNumId w:val="1"/>
  </w:num>
  <w:num w:numId="19">
    <w:abstractNumId w:val="9"/>
  </w:num>
  <w:num w:numId="20">
    <w:abstractNumId w:val="7"/>
  </w:num>
  <w:num w:numId="21">
    <w:abstractNumId w:val="6"/>
  </w:num>
  <w:num w:numId="22">
    <w:abstractNumId w:val="5"/>
  </w:num>
  <w:num w:numId="23">
    <w:abstractNumId w:val="4"/>
  </w:num>
  <w:num w:numId="24">
    <w:abstractNumId w:val="19"/>
  </w:num>
  <w:num w:numId="25">
    <w:abstractNumId w:val="19"/>
    <w:lvlOverride w:ilvl="0">
      <w:startOverride w:val="1"/>
    </w:lvlOverride>
  </w:num>
  <w:num w:numId="26">
    <w:abstractNumId w:val="1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A5"/>
    <w:rsid w:val="00014182"/>
    <w:rsid w:val="00047C97"/>
    <w:rsid w:val="000520B7"/>
    <w:rsid w:val="000568CE"/>
    <w:rsid w:val="00066383"/>
    <w:rsid w:val="00093B9D"/>
    <w:rsid w:val="000C04AE"/>
    <w:rsid w:val="000E6098"/>
    <w:rsid w:val="000E632C"/>
    <w:rsid w:val="000F51D2"/>
    <w:rsid w:val="00103247"/>
    <w:rsid w:val="0010326C"/>
    <w:rsid w:val="001611C6"/>
    <w:rsid w:val="00164B30"/>
    <w:rsid w:val="0018292D"/>
    <w:rsid w:val="001A7C42"/>
    <w:rsid w:val="001C4F6D"/>
    <w:rsid w:val="001D55DD"/>
    <w:rsid w:val="001E548A"/>
    <w:rsid w:val="001F4AD6"/>
    <w:rsid w:val="001F56E8"/>
    <w:rsid w:val="00233FC8"/>
    <w:rsid w:val="00267DE8"/>
    <w:rsid w:val="00275887"/>
    <w:rsid w:val="00276B14"/>
    <w:rsid w:val="002973B2"/>
    <w:rsid w:val="002A54A3"/>
    <w:rsid w:val="002A7FEA"/>
    <w:rsid w:val="002D3A8D"/>
    <w:rsid w:val="002E38F4"/>
    <w:rsid w:val="002F197C"/>
    <w:rsid w:val="002F3D97"/>
    <w:rsid w:val="00325A9B"/>
    <w:rsid w:val="00325E01"/>
    <w:rsid w:val="0034679F"/>
    <w:rsid w:val="00361114"/>
    <w:rsid w:val="003725DA"/>
    <w:rsid w:val="003840FE"/>
    <w:rsid w:val="00393C6A"/>
    <w:rsid w:val="003A1D7A"/>
    <w:rsid w:val="003C3A5C"/>
    <w:rsid w:val="003F1396"/>
    <w:rsid w:val="0040055E"/>
    <w:rsid w:val="00423D6A"/>
    <w:rsid w:val="00426E0E"/>
    <w:rsid w:val="004323EF"/>
    <w:rsid w:val="004410DE"/>
    <w:rsid w:val="004442D9"/>
    <w:rsid w:val="0044663B"/>
    <w:rsid w:val="00451F2E"/>
    <w:rsid w:val="004523EB"/>
    <w:rsid w:val="00452D7A"/>
    <w:rsid w:val="00474DD3"/>
    <w:rsid w:val="004C127D"/>
    <w:rsid w:val="004C5538"/>
    <w:rsid w:val="004D65A1"/>
    <w:rsid w:val="004E479D"/>
    <w:rsid w:val="004F3773"/>
    <w:rsid w:val="005028F9"/>
    <w:rsid w:val="00505D36"/>
    <w:rsid w:val="00515321"/>
    <w:rsid w:val="00515E5C"/>
    <w:rsid w:val="0051626D"/>
    <w:rsid w:val="00534452"/>
    <w:rsid w:val="005371D8"/>
    <w:rsid w:val="00556BE2"/>
    <w:rsid w:val="005A75F9"/>
    <w:rsid w:val="005D42E4"/>
    <w:rsid w:val="00600BFA"/>
    <w:rsid w:val="00600F1F"/>
    <w:rsid w:val="00602DAD"/>
    <w:rsid w:val="006309B0"/>
    <w:rsid w:val="00632251"/>
    <w:rsid w:val="0066664E"/>
    <w:rsid w:val="00692C69"/>
    <w:rsid w:val="006952CA"/>
    <w:rsid w:val="006A13C9"/>
    <w:rsid w:val="006A2503"/>
    <w:rsid w:val="006A5446"/>
    <w:rsid w:val="006B352E"/>
    <w:rsid w:val="006C55AF"/>
    <w:rsid w:val="006D0744"/>
    <w:rsid w:val="006D686D"/>
    <w:rsid w:val="006D6A08"/>
    <w:rsid w:val="006E5942"/>
    <w:rsid w:val="00703107"/>
    <w:rsid w:val="00706164"/>
    <w:rsid w:val="00723157"/>
    <w:rsid w:val="00735D55"/>
    <w:rsid w:val="00743847"/>
    <w:rsid w:val="00751B50"/>
    <w:rsid w:val="00757313"/>
    <w:rsid w:val="00757879"/>
    <w:rsid w:val="007611DA"/>
    <w:rsid w:val="007734DA"/>
    <w:rsid w:val="00793E5C"/>
    <w:rsid w:val="007A373A"/>
    <w:rsid w:val="007D4118"/>
    <w:rsid w:val="007E2692"/>
    <w:rsid w:val="0080160A"/>
    <w:rsid w:val="0081150D"/>
    <w:rsid w:val="0082739B"/>
    <w:rsid w:val="00831E73"/>
    <w:rsid w:val="008420E2"/>
    <w:rsid w:val="00864DB3"/>
    <w:rsid w:val="00867AE5"/>
    <w:rsid w:val="00870D8A"/>
    <w:rsid w:val="008825A4"/>
    <w:rsid w:val="008B39D7"/>
    <w:rsid w:val="008E77BE"/>
    <w:rsid w:val="00910BC9"/>
    <w:rsid w:val="00915C9A"/>
    <w:rsid w:val="00935E81"/>
    <w:rsid w:val="009435A5"/>
    <w:rsid w:val="009553D1"/>
    <w:rsid w:val="00986444"/>
    <w:rsid w:val="00990A24"/>
    <w:rsid w:val="009B64FE"/>
    <w:rsid w:val="009E52B5"/>
    <w:rsid w:val="009F7F7A"/>
    <w:rsid w:val="00A15876"/>
    <w:rsid w:val="00A15D5D"/>
    <w:rsid w:val="00A30921"/>
    <w:rsid w:val="00A5751E"/>
    <w:rsid w:val="00A67A4F"/>
    <w:rsid w:val="00A7396A"/>
    <w:rsid w:val="00A73972"/>
    <w:rsid w:val="00A84333"/>
    <w:rsid w:val="00A84658"/>
    <w:rsid w:val="00A97936"/>
    <w:rsid w:val="00AA4752"/>
    <w:rsid w:val="00AD0167"/>
    <w:rsid w:val="00AF1C47"/>
    <w:rsid w:val="00B03E2B"/>
    <w:rsid w:val="00B041F7"/>
    <w:rsid w:val="00B311D4"/>
    <w:rsid w:val="00B361AA"/>
    <w:rsid w:val="00B429D7"/>
    <w:rsid w:val="00B60EE6"/>
    <w:rsid w:val="00B67385"/>
    <w:rsid w:val="00B93390"/>
    <w:rsid w:val="00B93A25"/>
    <w:rsid w:val="00B955AB"/>
    <w:rsid w:val="00B96F76"/>
    <w:rsid w:val="00BB3047"/>
    <w:rsid w:val="00BB393A"/>
    <w:rsid w:val="00BC7B81"/>
    <w:rsid w:val="00BD3BE9"/>
    <w:rsid w:val="00BD67E7"/>
    <w:rsid w:val="00C01906"/>
    <w:rsid w:val="00C171DC"/>
    <w:rsid w:val="00C27AC8"/>
    <w:rsid w:val="00C37F33"/>
    <w:rsid w:val="00C84ABA"/>
    <w:rsid w:val="00CA61AF"/>
    <w:rsid w:val="00CB40A4"/>
    <w:rsid w:val="00CC356E"/>
    <w:rsid w:val="00CD6DB8"/>
    <w:rsid w:val="00CE0517"/>
    <w:rsid w:val="00CF44BB"/>
    <w:rsid w:val="00D02251"/>
    <w:rsid w:val="00D33979"/>
    <w:rsid w:val="00D66453"/>
    <w:rsid w:val="00D731DA"/>
    <w:rsid w:val="00D8731E"/>
    <w:rsid w:val="00D969C1"/>
    <w:rsid w:val="00DD5320"/>
    <w:rsid w:val="00DE069A"/>
    <w:rsid w:val="00DE7CC8"/>
    <w:rsid w:val="00DF73FF"/>
    <w:rsid w:val="00E33B19"/>
    <w:rsid w:val="00E34D1B"/>
    <w:rsid w:val="00E40DD3"/>
    <w:rsid w:val="00E41B31"/>
    <w:rsid w:val="00E56588"/>
    <w:rsid w:val="00E95EEF"/>
    <w:rsid w:val="00EA6729"/>
    <w:rsid w:val="00EC303E"/>
    <w:rsid w:val="00EF71D7"/>
    <w:rsid w:val="00F00D41"/>
    <w:rsid w:val="00F0592A"/>
    <w:rsid w:val="00F25ABF"/>
    <w:rsid w:val="00F509E4"/>
    <w:rsid w:val="00F66082"/>
    <w:rsid w:val="00F74EF7"/>
    <w:rsid w:val="00F80DA7"/>
    <w:rsid w:val="00F975CB"/>
    <w:rsid w:val="00FA34DE"/>
    <w:rsid w:val="00FD7A54"/>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B16F67-D098-41AE-873B-88D706E2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DD3"/>
    <w:pPr>
      <w:widowControl w:val="0"/>
      <w:bidi/>
      <w:spacing w:before="0"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E40DD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40DD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40DD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40DD3"/>
    <w:pPr>
      <w:numPr>
        <w:numId w:val="1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40DD3"/>
    <w:pPr>
      <w:spacing w:line="259" w:lineRule="auto"/>
      <w:outlineLvl w:val="4"/>
    </w:pPr>
    <w:rPr>
      <w:color w:val="000000" w:themeColor="text1"/>
    </w:rPr>
  </w:style>
  <w:style w:type="paragraph" w:styleId="6">
    <w:name w:val="heading 6"/>
    <w:basedOn w:val="a"/>
    <w:next w:val="a"/>
    <w:link w:val="60"/>
    <w:uiPriority w:val="9"/>
    <w:unhideWhenUsed/>
    <w:qFormat/>
    <w:rsid w:val="00066383"/>
    <w:pPr>
      <w:bidi w:val="0"/>
      <w:spacing w:before="300"/>
      <w:outlineLvl w:val="5"/>
    </w:pPr>
    <w:rPr>
      <w:b/>
      <w:bCs/>
      <w:caps/>
      <w:spacing w:val="10"/>
    </w:rPr>
  </w:style>
  <w:style w:type="paragraph" w:styleId="7">
    <w:name w:val="heading 7"/>
    <w:basedOn w:val="a"/>
    <w:next w:val="a"/>
    <w:link w:val="70"/>
    <w:uiPriority w:val="9"/>
    <w:unhideWhenUsed/>
    <w:qFormat/>
    <w:rsid w:val="003A1D7A"/>
    <w:pPr>
      <w:bidi w:val="0"/>
      <w:spacing w:before="300"/>
      <w:outlineLvl w:val="6"/>
    </w:pPr>
    <w:rPr>
      <w:b/>
      <w:bCs/>
      <w:caps/>
      <w:spacing w:val="10"/>
    </w:rPr>
  </w:style>
  <w:style w:type="paragraph" w:styleId="8">
    <w:name w:val="heading 8"/>
    <w:basedOn w:val="a"/>
    <w:next w:val="a"/>
    <w:link w:val="80"/>
    <w:uiPriority w:val="9"/>
    <w:semiHidden/>
    <w:unhideWhenUsed/>
    <w:qFormat/>
    <w:rsid w:val="00014182"/>
    <w:pPr>
      <w:bidi w:val="0"/>
      <w:spacing w:before="30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40DD3"/>
    <w:rPr>
      <w:rFonts w:asciiTheme="majorHAnsi" w:eastAsiaTheme="majorEastAsia" w:hAnsiTheme="majorHAnsi" w:cs="David"/>
      <w:bCs/>
      <w:sz w:val="32"/>
      <w:szCs w:val="36"/>
    </w:rPr>
  </w:style>
  <w:style w:type="paragraph" w:styleId="a3">
    <w:name w:val="Quote"/>
    <w:basedOn w:val="a"/>
    <w:next w:val="a"/>
    <w:link w:val="a4"/>
    <w:uiPriority w:val="29"/>
    <w:qFormat/>
    <w:rsid w:val="003A1D7A"/>
    <w:pPr>
      <w:spacing w:before="120" w:after="12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rsid w:val="00E40DD3"/>
    <w:rPr>
      <w:rFonts w:asciiTheme="majorHAnsi" w:eastAsiaTheme="majorEastAsia" w:hAnsiTheme="majorHAnsi" w:cs="David"/>
      <w:bCs/>
      <w:sz w:val="26"/>
      <w:szCs w:val="36"/>
      <w:u w:val="single"/>
    </w:rPr>
  </w:style>
  <w:style w:type="character" w:customStyle="1" w:styleId="30">
    <w:name w:val="כותרת 3 תו"/>
    <w:basedOn w:val="a0"/>
    <w:link w:val="3"/>
    <w:rsid w:val="00E40DD3"/>
    <w:rPr>
      <w:rFonts w:asciiTheme="majorHAnsi" w:eastAsiaTheme="majorEastAsia" w:hAnsiTheme="majorHAnsi" w:cs="David"/>
      <w:sz w:val="24"/>
      <w:szCs w:val="28"/>
      <w:u w:val="double"/>
    </w:rPr>
  </w:style>
  <w:style w:type="character" w:customStyle="1" w:styleId="40">
    <w:name w:val="כותרת 4 תו"/>
    <w:basedOn w:val="a0"/>
    <w:link w:val="4"/>
    <w:uiPriority w:val="9"/>
    <w:rsid w:val="00E40DD3"/>
    <w:rPr>
      <w:rFonts w:ascii="David" w:hAnsi="David" w:cs="David"/>
      <w:b/>
      <w:bCs/>
      <w:color w:val="000000" w:themeColor="text1"/>
      <w:sz w:val="24"/>
      <w:szCs w:val="28"/>
    </w:rPr>
  </w:style>
  <w:style w:type="character" w:customStyle="1" w:styleId="50">
    <w:name w:val="כותרת 5 תו"/>
    <w:basedOn w:val="a0"/>
    <w:link w:val="5"/>
    <w:uiPriority w:val="9"/>
    <w:rsid w:val="00E40DD3"/>
    <w:rPr>
      <w:rFonts w:ascii="David" w:hAnsi="David" w:cs="David"/>
      <w:color w:val="000000" w:themeColor="text1"/>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pPr>
    <w:rPr>
      <w:b/>
      <w:bCs/>
      <w:color w:val="365F91" w:themeColor="accent1" w:themeShade="BF"/>
      <w:sz w:val="16"/>
      <w:szCs w:val="16"/>
    </w:rPr>
  </w:style>
  <w:style w:type="paragraph" w:styleId="a6">
    <w:name w:val="TOC Heading"/>
    <w:basedOn w:val="1"/>
    <w:next w:val="a"/>
    <w:uiPriority w:val="39"/>
    <w:unhideWhenUsed/>
    <w:qFormat/>
    <w:rsid w:val="00E40DD3"/>
    <w:pPr>
      <w:widowControl/>
      <w:spacing w:before="120" w:after="120"/>
      <w:outlineLvl w:val="9"/>
    </w:pPr>
    <w:rPr>
      <w:rtl/>
      <w:cs/>
    </w:rPr>
  </w:style>
  <w:style w:type="paragraph" w:styleId="TOC3">
    <w:name w:val="toc 3"/>
    <w:basedOn w:val="a"/>
    <w:next w:val="a"/>
    <w:uiPriority w:val="39"/>
    <w:unhideWhenUsed/>
    <w:rsid w:val="00E40DD3"/>
    <w:pPr>
      <w:numPr>
        <w:numId w:val="28"/>
      </w:numPr>
      <w:tabs>
        <w:tab w:val="right" w:leader="dot" w:pos="9629"/>
      </w:tabs>
      <w:spacing w:after="100"/>
      <w:ind w:left="811" w:hanging="357"/>
    </w:pPr>
    <w:rPr>
      <w:szCs w:val="22"/>
    </w:rPr>
  </w:style>
  <w:style w:type="paragraph" w:styleId="TOC1">
    <w:name w:val="toc 1"/>
    <w:basedOn w:val="a"/>
    <w:next w:val="a"/>
    <w:autoRedefine/>
    <w:uiPriority w:val="39"/>
    <w:unhideWhenUsed/>
    <w:rsid w:val="00E40DD3"/>
    <w:pPr>
      <w:tabs>
        <w:tab w:val="right" w:leader="dot" w:pos="9629"/>
      </w:tabs>
      <w:spacing w:after="100"/>
    </w:pPr>
    <w:rPr>
      <w:bCs/>
      <w:szCs w:val="22"/>
    </w:rPr>
  </w:style>
  <w:style w:type="paragraph" w:styleId="TOC2">
    <w:name w:val="toc 2"/>
    <w:basedOn w:val="a"/>
    <w:next w:val="a"/>
    <w:uiPriority w:val="39"/>
    <w:unhideWhenUsed/>
    <w:rsid w:val="00E40DD3"/>
    <w:pPr>
      <w:tabs>
        <w:tab w:val="right" w:leader="dot" w:pos="9628"/>
      </w:tabs>
      <w:spacing w:after="100"/>
    </w:pPr>
    <w:rPr>
      <w:szCs w:val="22"/>
    </w:rPr>
  </w:style>
  <w:style w:type="paragraph" w:styleId="TOC7">
    <w:name w:val="toc 7"/>
    <w:basedOn w:val="a"/>
    <w:next w:val="a"/>
    <w:autoRedefine/>
    <w:unhideWhenUsed/>
    <w:rsid w:val="00E40DD3"/>
    <w:pPr>
      <w:spacing w:after="100"/>
      <w:ind w:left="1020"/>
    </w:pPr>
  </w:style>
  <w:style w:type="paragraph" w:styleId="TOC6">
    <w:name w:val="toc 6"/>
    <w:basedOn w:val="a"/>
    <w:next w:val="a"/>
    <w:autoRedefine/>
    <w:unhideWhenUsed/>
    <w:rsid w:val="00E40DD3"/>
    <w:pPr>
      <w:spacing w:after="100"/>
      <w:ind w:left="850"/>
    </w:pPr>
  </w:style>
  <w:style w:type="paragraph" w:styleId="TOC5">
    <w:name w:val="toc 5"/>
    <w:basedOn w:val="a"/>
    <w:next w:val="a"/>
    <w:unhideWhenUsed/>
    <w:rsid w:val="00E40DD3"/>
    <w:pPr>
      <w:tabs>
        <w:tab w:val="right" w:leader="dot" w:pos="9628"/>
      </w:tabs>
      <w:spacing w:after="100"/>
      <w:ind w:left="567"/>
    </w:pPr>
    <w:rPr>
      <w:szCs w:val="22"/>
    </w:rPr>
  </w:style>
  <w:style w:type="paragraph" w:styleId="TOC4">
    <w:name w:val="toc 4"/>
    <w:basedOn w:val="a"/>
    <w:next w:val="a"/>
    <w:autoRedefine/>
    <w:unhideWhenUsed/>
    <w:qFormat/>
    <w:rsid w:val="00E40DD3"/>
    <w:pPr>
      <w:tabs>
        <w:tab w:val="right" w:leader="dot" w:pos="9628"/>
      </w:tabs>
      <w:spacing w:after="100"/>
      <w:ind w:left="567"/>
    </w:pPr>
    <w:rPr>
      <w:rFonts w:asciiTheme="minorHAnsi" w:eastAsiaTheme="minorEastAsia" w:hAnsiTheme="minorHAnsi"/>
      <w:noProof/>
      <w:sz w:val="22"/>
      <w:szCs w:val="22"/>
    </w:rPr>
  </w:style>
  <w:style w:type="paragraph" w:styleId="a7">
    <w:name w:val="List Paragraph"/>
    <w:basedOn w:val="a"/>
    <w:uiPriority w:val="34"/>
    <w:qFormat/>
    <w:rsid w:val="00E40DD3"/>
    <w:pPr>
      <w:widowControl/>
      <w:spacing w:line="259" w:lineRule="auto"/>
    </w:pPr>
    <w:rPr>
      <w:rFonts w:asciiTheme="minorHAnsi" w:hAnsiTheme="minorHAnsi"/>
      <w:sz w:val="22"/>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E40DD3"/>
    <w:pPr>
      <w:tabs>
        <w:tab w:val="center" w:pos="4153"/>
        <w:tab w:val="right" w:pos="8306"/>
      </w:tabs>
    </w:pPr>
  </w:style>
  <w:style w:type="character" w:customStyle="1" w:styleId="a9">
    <w:name w:val="כותרת עליונה תו"/>
    <w:basedOn w:val="a0"/>
    <w:link w:val="a8"/>
    <w:rsid w:val="009435A5"/>
    <w:rPr>
      <w:rFonts w:ascii="David" w:hAnsi="David" w:cs="David"/>
      <w:sz w:val="24"/>
      <w:szCs w:val="24"/>
    </w:rPr>
  </w:style>
  <w:style w:type="paragraph" w:styleId="aa">
    <w:name w:val="footer"/>
    <w:basedOn w:val="a"/>
    <w:link w:val="ab"/>
    <w:rsid w:val="00E40DD3"/>
    <w:pPr>
      <w:tabs>
        <w:tab w:val="center" w:pos="4153"/>
        <w:tab w:val="right" w:pos="8306"/>
      </w:tabs>
    </w:pPr>
  </w:style>
  <w:style w:type="character" w:customStyle="1" w:styleId="ab">
    <w:name w:val="כותרת תחתונה תו"/>
    <w:basedOn w:val="a0"/>
    <w:link w:val="aa"/>
    <w:rsid w:val="009435A5"/>
    <w:rPr>
      <w:rFonts w:ascii="David" w:hAnsi="David" w:cs="David"/>
      <w:sz w:val="24"/>
      <w:szCs w:val="24"/>
    </w:rPr>
  </w:style>
  <w:style w:type="character" w:styleId="Hyperlink">
    <w:name w:val="Hyperlink"/>
    <w:basedOn w:val="a0"/>
    <w:uiPriority w:val="99"/>
    <w:unhideWhenUsed/>
    <w:rsid w:val="00E40DD3"/>
    <w:rPr>
      <w:color w:val="0000FF" w:themeColor="hyperlink"/>
      <w:u w:val="single"/>
    </w:rPr>
  </w:style>
  <w:style w:type="character" w:styleId="ac">
    <w:name w:val="page number"/>
    <w:basedOn w:val="a0"/>
    <w:rsid w:val="00E40DD3"/>
  </w:style>
  <w:style w:type="paragraph" w:styleId="ad">
    <w:name w:val="Balloon Text"/>
    <w:basedOn w:val="a"/>
    <w:link w:val="ae"/>
    <w:uiPriority w:val="99"/>
    <w:semiHidden/>
    <w:unhideWhenUsed/>
    <w:rsid w:val="009435A5"/>
    <w:rPr>
      <w:rFonts w:ascii="Tahoma" w:hAnsi="Tahoma" w:cs="Tahoma"/>
      <w:sz w:val="16"/>
      <w:szCs w:val="16"/>
    </w:rPr>
  </w:style>
  <w:style w:type="character" w:customStyle="1" w:styleId="ae">
    <w:name w:val="טקסט בלונים תו"/>
    <w:basedOn w:val="a0"/>
    <w:link w:val="ad"/>
    <w:uiPriority w:val="99"/>
    <w:semiHidden/>
    <w:rsid w:val="009435A5"/>
    <w:rPr>
      <w:rFonts w:ascii="Tahoma" w:eastAsia="Times New Roman" w:hAnsi="Tahoma" w:cs="Tahoma"/>
      <w:sz w:val="16"/>
      <w:szCs w:val="16"/>
      <w:lang w:eastAsia="he-IL"/>
    </w:rPr>
  </w:style>
  <w:style w:type="paragraph" w:customStyle="1" w:styleId="HeadMitparsemetBaze">
    <w:name w:val="Head MitparsemetBaze"/>
    <w:basedOn w:val="a"/>
    <w:rsid w:val="00E40DD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40DD3"/>
    <w:pPr>
      <w:keepNext/>
      <w:keepLines/>
      <w:snapToGrid w:val="0"/>
      <w:spacing w:before="240"/>
      <w:jc w:val="center"/>
      <w:outlineLvl w:val="0"/>
    </w:pPr>
    <w:rPr>
      <w:rFonts w:ascii="Arial" w:eastAsia="Arial Unicode MS" w:hAnsi="Arial"/>
      <w:b/>
      <w:bCs/>
      <w:snapToGrid w:val="0"/>
      <w:sz w:val="20"/>
      <w:szCs w:val="26"/>
    </w:rPr>
  </w:style>
  <w:style w:type="paragraph" w:customStyle="1" w:styleId="TableText">
    <w:name w:val="Table Text"/>
    <w:basedOn w:val="a"/>
    <w:rsid w:val="00E40DD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40DD3"/>
    <w:pPr>
      <w:outlineLvl w:val="2"/>
    </w:pPr>
  </w:style>
  <w:style w:type="paragraph" w:customStyle="1" w:styleId="TableBlock">
    <w:name w:val="Table Block"/>
    <w:basedOn w:val="TableText"/>
    <w:rsid w:val="00E40DD3"/>
    <w:pPr>
      <w:jc w:val="both"/>
    </w:pPr>
  </w:style>
  <w:style w:type="paragraph" w:customStyle="1" w:styleId="Hesber">
    <w:name w:val="Hesber"/>
    <w:basedOn w:val="a"/>
    <w:rsid w:val="00E40DD3"/>
    <w:pPr>
      <w:snapToGrid w:val="0"/>
      <w:ind w:left="0" w:firstLine="340"/>
    </w:pPr>
    <w:rPr>
      <w:rFonts w:ascii="Arial" w:eastAsia="Arial Unicode MS" w:hAnsi="Arial"/>
      <w:snapToGrid w:val="0"/>
      <w:sz w:val="20"/>
      <w:szCs w:val="26"/>
    </w:rPr>
  </w:style>
  <w:style w:type="paragraph" w:styleId="af">
    <w:name w:val="footnote text"/>
    <w:basedOn w:val="a"/>
    <w:link w:val="af0"/>
    <w:autoRedefine/>
    <w:semiHidden/>
    <w:rsid w:val="00E40DD3"/>
    <w:pPr>
      <w:snapToGrid w:val="0"/>
      <w:spacing w:line="240" w:lineRule="auto"/>
      <w:ind w:left="0"/>
      <w:jc w:val="left"/>
    </w:pPr>
    <w:rPr>
      <w:rFonts w:ascii="Arial" w:eastAsia="Arial Unicode MS" w:hAnsi="Arial"/>
      <w:snapToGrid w:val="0"/>
      <w:sz w:val="14"/>
      <w:szCs w:val="20"/>
    </w:rPr>
  </w:style>
  <w:style w:type="character" w:customStyle="1" w:styleId="af0">
    <w:name w:val="טקסט הערת שוליים תו"/>
    <w:basedOn w:val="a0"/>
    <w:link w:val="af"/>
    <w:semiHidden/>
    <w:rsid w:val="00325A9B"/>
    <w:rPr>
      <w:rFonts w:ascii="Arial" w:eastAsia="Arial Unicode MS" w:hAnsi="Arial" w:cs="David"/>
      <w:snapToGrid w:val="0"/>
      <w:sz w:val="14"/>
      <w:szCs w:val="20"/>
    </w:rPr>
  </w:style>
  <w:style w:type="character" w:styleId="af1">
    <w:name w:val="footnote reference"/>
    <w:aliases w:val="Footnote Reference"/>
    <w:basedOn w:val="a0"/>
    <w:semiHidden/>
    <w:rsid w:val="00E40DD3"/>
    <w:rPr>
      <w:vertAlign w:val="superscript"/>
    </w:rPr>
  </w:style>
  <w:style w:type="paragraph" w:customStyle="1" w:styleId="HesberWriters">
    <w:name w:val="Hesber Writers"/>
    <w:basedOn w:val="Hesber"/>
    <w:rsid w:val="00E40DD3"/>
    <w:pPr>
      <w:spacing w:before="120" w:after="120"/>
      <w:ind w:left="1418"/>
      <w:jc w:val="right"/>
    </w:pPr>
    <w:rPr>
      <w:b/>
      <w:bCs/>
    </w:rPr>
  </w:style>
  <w:style w:type="paragraph" w:customStyle="1" w:styleId="TableBlockOutdent">
    <w:name w:val="Table BlockOutdent"/>
    <w:basedOn w:val="TableBlock"/>
    <w:rsid w:val="00E40DD3"/>
    <w:pPr>
      <w:ind w:left="624" w:hanging="624"/>
    </w:pPr>
  </w:style>
  <w:style w:type="paragraph" w:customStyle="1" w:styleId="HeadDivreiHesber">
    <w:name w:val="Head DivreiHesber"/>
    <w:basedOn w:val="a"/>
    <w:rsid w:val="00E40DD3"/>
    <w:pPr>
      <w:snapToGrid w:val="0"/>
      <w:spacing w:before="360" w:after="120"/>
      <w:jc w:val="center"/>
      <w:outlineLvl w:val="1"/>
    </w:pPr>
    <w:rPr>
      <w:rFonts w:ascii="Arial" w:eastAsia="Arial Unicode MS" w:hAnsi="Arial"/>
      <w:b/>
      <w:snapToGrid w:val="0"/>
      <w:spacing w:val="40"/>
      <w:sz w:val="20"/>
      <w:szCs w:val="26"/>
    </w:rPr>
  </w:style>
  <w:style w:type="character" w:styleId="af2">
    <w:name w:val="annotation reference"/>
    <w:rsid w:val="00325A9B"/>
    <w:rPr>
      <w:sz w:val="16"/>
      <w:szCs w:val="16"/>
    </w:rPr>
  </w:style>
  <w:style w:type="paragraph" w:styleId="af3">
    <w:name w:val="annotation text"/>
    <w:basedOn w:val="a"/>
    <w:link w:val="af4"/>
    <w:rsid w:val="00325A9B"/>
    <w:rPr>
      <w:rFonts w:cs="Times New Roman"/>
      <w:szCs w:val="20"/>
    </w:rPr>
  </w:style>
  <w:style w:type="character" w:customStyle="1" w:styleId="af4">
    <w:name w:val="טקסט הערה תו"/>
    <w:basedOn w:val="a0"/>
    <w:link w:val="af3"/>
    <w:rsid w:val="00325A9B"/>
    <w:rPr>
      <w:rFonts w:ascii="Times New Roman" w:eastAsia="Times New Roman" w:hAnsi="Times New Roman" w:cs="Times New Roman"/>
      <w:sz w:val="20"/>
      <w:szCs w:val="20"/>
      <w:lang w:eastAsia="he-IL"/>
    </w:rPr>
  </w:style>
  <w:style w:type="paragraph" w:customStyle="1" w:styleId="HeadHatzaotHok4Futer">
    <w:name w:val="Head HatzaotHok4Futer"/>
    <w:basedOn w:val="HeadHatzaotHok"/>
    <w:rsid w:val="00E40DD3"/>
    <w:pPr>
      <w:spacing w:before="120" w:after="120"/>
    </w:pPr>
    <w:rPr>
      <w:color w:val="FF0000"/>
      <w:w w:val="80"/>
    </w:rPr>
  </w:style>
  <w:style w:type="paragraph" w:styleId="af5">
    <w:name w:val="endnote text"/>
    <w:basedOn w:val="a"/>
    <w:link w:val="af6"/>
    <w:semiHidden/>
    <w:rsid w:val="00E40DD3"/>
    <w:pPr>
      <w:ind w:left="227" w:hanging="227"/>
    </w:pPr>
    <w:rPr>
      <w:sz w:val="14"/>
      <w:szCs w:val="22"/>
    </w:rPr>
  </w:style>
  <w:style w:type="character" w:customStyle="1" w:styleId="af6">
    <w:name w:val="טקסט הערת סיום תו"/>
    <w:basedOn w:val="a0"/>
    <w:link w:val="af5"/>
    <w:semiHidden/>
    <w:rsid w:val="00E40DD3"/>
    <w:rPr>
      <w:rFonts w:ascii="David" w:hAnsi="David" w:cs="David"/>
      <w:sz w:val="14"/>
    </w:rPr>
  </w:style>
  <w:style w:type="paragraph" w:customStyle="1" w:styleId="TableHead">
    <w:name w:val="Table Head"/>
    <w:basedOn w:val="TableText"/>
    <w:rsid w:val="00E40DD3"/>
    <w:pPr>
      <w:jc w:val="center"/>
      <w:outlineLvl w:val="1"/>
    </w:pPr>
    <w:rPr>
      <w:b/>
      <w:bCs/>
    </w:rPr>
  </w:style>
  <w:style w:type="paragraph" w:customStyle="1" w:styleId="TableInnerSideHeading">
    <w:name w:val="Table InnerSideHeading"/>
    <w:basedOn w:val="TableSideHeading"/>
    <w:rsid w:val="00E40DD3"/>
    <w:pPr>
      <w:outlineLvl w:val="9"/>
    </w:pPr>
  </w:style>
  <w:style w:type="paragraph" w:customStyle="1" w:styleId="HesberHeading">
    <w:name w:val="Hesber Heading"/>
    <w:basedOn w:val="Hesber"/>
    <w:rsid w:val="00E40DD3"/>
    <w:pPr>
      <w:tabs>
        <w:tab w:val="left" w:pos="624"/>
        <w:tab w:val="left" w:pos="1247"/>
      </w:tabs>
    </w:pPr>
    <w:rPr>
      <w:b/>
      <w:bCs/>
    </w:rPr>
  </w:style>
  <w:style w:type="paragraph" w:customStyle="1" w:styleId="Hesber1st">
    <w:name w:val="Hesber 1st"/>
    <w:basedOn w:val="Hesber"/>
    <w:rsid w:val="00E40DD3"/>
    <w:pPr>
      <w:tabs>
        <w:tab w:val="left" w:pos="680"/>
        <w:tab w:val="left" w:pos="1020"/>
      </w:tabs>
      <w:ind w:firstLine="0"/>
    </w:pPr>
  </w:style>
  <w:style w:type="character" w:styleId="af7">
    <w:name w:val="endnote reference"/>
    <w:basedOn w:val="a0"/>
    <w:semiHidden/>
    <w:rsid w:val="00E40DD3"/>
    <w:rPr>
      <w:vertAlign w:val="superscript"/>
    </w:rPr>
  </w:style>
  <w:style w:type="paragraph" w:customStyle="1" w:styleId="Cover1-Reshumot">
    <w:name w:val="Cover 1-Reshumot"/>
    <w:basedOn w:val="a"/>
    <w:rsid w:val="00E40DD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40DD3"/>
    <w:rPr>
      <w:sz w:val="36"/>
      <w:szCs w:val="52"/>
    </w:rPr>
  </w:style>
  <w:style w:type="paragraph" w:customStyle="1" w:styleId="Cover3-Haknesset">
    <w:name w:val="Cover 3-Haknesset"/>
    <w:basedOn w:val="Cover1-Reshumot"/>
    <w:rsid w:val="00E40DD3"/>
    <w:rPr>
      <w:b/>
      <w:bCs/>
      <w:spacing w:val="60"/>
    </w:rPr>
  </w:style>
  <w:style w:type="paragraph" w:customStyle="1" w:styleId="Cover4-Date">
    <w:name w:val="Cover 4-Date"/>
    <w:basedOn w:val="a"/>
    <w:rsid w:val="00E40DD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E40DD3"/>
    <w:pPr>
      <w:snapToGrid w:val="0"/>
      <w:jc w:val="left"/>
    </w:pPr>
    <w:rPr>
      <w:rFonts w:ascii="Arial" w:eastAsia="Arial Unicode MS" w:hAnsi="Arial"/>
      <w:snapToGrid w:val="0"/>
      <w:sz w:val="20"/>
      <w:szCs w:val="26"/>
    </w:rPr>
  </w:style>
  <w:style w:type="paragraph" w:styleId="TOC8">
    <w:name w:val="toc 8"/>
    <w:basedOn w:val="a"/>
    <w:next w:val="a"/>
    <w:autoRedefine/>
    <w:semiHidden/>
    <w:unhideWhenUsed/>
    <w:rsid w:val="00E40DD3"/>
    <w:pPr>
      <w:spacing w:after="100"/>
      <w:ind w:left="1190"/>
    </w:pPr>
  </w:style>
  <w:style w:type="paragraph" w:styleId="TOC9">
    <w:name w:val="toc 9"/>
    <w:basedOn w:val="a"/>
    <w:next w:val="a"/>
    <w:autoRedefine/>
    <w:semiHidden/>
    <w:unhideWhenUsed/>
    <w:rsid w:val="00E40DD3"/>
    <w:pPr>
      <w:spacing w:after="100"/>
      <w:ind w:left="1360"/>
    </w:pPr>
  </w:style>
  <w:style w:type="paragraph" w:customStyle="1" w:styleId="TableHead2">
    <w:name w:val="Table Head2"/>
    <w:basedOn w:val="TableHead"/>
    <w:qFormat/>
    <w:rsid w:val="00E40DD3"/>
    <w:pPr>
      <w:outlineLvl w:val="9"/>
    </w:pPr>
  </w:style>
  <w:style w:type="paragraph" w:customStyle="1" w:styleId="TableSideHeading2">
    <w:name w:val="Table SideHeading2"/>
    <w:basedOn w:val="TableSideHeading"/>
    <w:autoRedefine/>
    <w:qFormat/>
    <w:rsid w:val="00E40DD3"/>
    <w:pPr>
      <w:keepLines w:val="0"/>
      <w:outlineLvl w:val="9"/>
    </w:pPr>
  </w:style>
  <w:style w:type="paragraph" w:customStyle="1" w:styleId="0">
    <w:name w:val="סגנון שורה ראשונה:  0  ס''מ"/>
    <w:basedOn w:val="2"/>
    <w:rsid w:val="00E40DD3"/>
    <w:rPr>
      <w:rFonts w:eastAsia="Times New Roman"/>
    </w:rPr>
  </w:style>
  <w:style w:type="table" w:styleId="af8">
    <w:name w:val="Table Grid"/>
    <w:basedOn w:val="a1"/>
    <w:rsid w:val="00E40DD3"/>
    <w:pPr>
      <w:spacing w:before="0"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40DD3"/>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40DD3"/>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9">
    <w:name w:val="טבלת חקיקה"/>
    <w:basedOn w:val="a1"/>
    <w:uiPriority w:val="99"/>
    <w:rsid w:val="00E40DD3"/>
    <w:pPr>
      <w:spacing w:before="0"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40DD3"/>
    <w:pPr>
      <w:spacing w:before="0"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7DBE-B9D3-4B60-A342-08DBF47A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9232</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יצחק זרביב</dc:creator>
  <cp:lastModifiedBy>טל קיציס</cp:lastModifiedBy>
  <cp:revision>3</cp:revision>
  <cp:lastPrinted>2022-05-08T09:17:00Z</cp:lastPrinted>
  <dcterms:created xsi:type="dcterms:W3CDTF">2022-05-08T09:16:00Z</dcterms:created>
  <dcterms:modified xsi:type="dcterms:W3CDTF">2022-05-08T09:18:00Z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notes://MAOR2/Doc/Shuk_hon/HonMishpatitdoc.nsf/0/6A75DE223CE34D85C225883C00318DE8/?OpenDocument</vt:lpwstr>
  </property>
  <property fmtid="{D5CDD505-2E9C-101B-9397-08002B2CF9AE}" pid="3" name="MaorRecipients0">
    <vt:lpwstr>talki@mof.gov.il</vt:lpwstr>
  </property>
</Properties>
</file>