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EA" w:rsidRDefault="007A5EEA" w:rsidP="005F0271">
      <w:pPr>
        <w:jc w:val="center"/>
        <w:rPr>
          <w:b/>
          <w:bCs/>
          <w:sz w:val="26"/>
          <w:szCs w:val="26"/>
          <w:rtl/>
        </w:rPr>
      </w:pPr>
      <w:bookmarkStart w:id="0" w:name="_GoBack"/>
      <w:bookmarkEnd w:id="0"/>
      <w:r>
        <w:rPr>
          <w:noProof/>
        </w:rPr>
        <w:drawing>
          <wp:inline distT="0" distB="0" distL="0" distR="0" wp14:anchorId="054CCD75" wp14:editId="6E72C310">
            <wp:extent cx="509905" cy="624205"/>
            <wp:effectExtent l="0" t="0" r="4445" b="4445"/>
            <wp:docPr id="1" name="תמונה 1" descr="סמל המדינה"/>
            <wp:cNvGraphicFramePr/>
            <a:graphic xmlns:a="http://schemas.openxmlformats.org/drawingml/2006/main">
              <a:graphicData uri="http://schemas.openxmlformats.org/drawingml/2006/picture">
                <pic:pic xmlns:pic="http://schemas.openxmlformats.org/drawingml/2006/picture">
                  <pic:nvPicPr>
                    <pic:cNvPr id="1" name="תמונה 1" descr="סמל המדינה"/>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rsidR="007A5EEA" w:rsidRDefault="007A5EEA" w:rsidP="005F0271">
      <w:pPr>
        <w:rPr>
          <w:b/>
          <w:bCs/>
          <w:sz w:val="26"/>
          <w:szCs w:val="26"/>
          <w:rtl/>
        </w:rPr>
      </w:pPr>
      <w:r w:rsidRPr="00CB5068">
        <w:rPr>
          <w:b/>
          <w:bCs/>
          <w:sz w:val="26"/>
          <w:szCs w:val="26"/>
          <w:rtl/>
        </w:rPr>
        <w:t>תוכן עניינים</w:t>
      </w:r>
    </w:p>
    <w:p w:rsidR="00191154" w:rsidRDefault="007A5EEA">
      <w:pPr>
        <w:pStyle w:val="TOC1"/>
        <w:rPr>
          <w:rFonts w:asciiTheme="minorHAnsi" w:eastAsiaTheme="minorEastAsia" w:hAnsiTheme="minorHAnsi" w:cstheme="minorBidi"/>
          <w:bCs w:val="0"/>
          <w:noProof/>
          <w:sz w:val="22"/>
          <w:rtl/>
        </w:rPr>
      </w:pPr>
      <w:r>
        <w:rPr>
          <w:rtl/>
        </w:rPr>
        <w:fldChar w:fldCharType="begin"/>
      </w:r>
      <w:r>
        <w:rPr>
          <w:rtl/>
        </w:rPr>
        <w:instrText xml:space="preserve"> </w:instrText>
      </w:r>
      <w:r>
        <w:instrText>TOC</w:instrText>
      </w:r>
      <w:r>
        <w:rPr>
          <w:rtl/>
        </w:rPr>
        <w:instrText xml:space="preserve"> \</w:instrText>
      </w:r>
      <w:r>
        <w:instrText>o "1-9" \h \z \t "Table SideHeading,3,Table Head,2,Head HatzaotHok,1,Head DivreiHesber,2,Head HatzaotHok4Futer,1</w:instrText>
      </w:r>
      <w:r>
        <w:rPr>
          <w:rtl/>
        </w:rPr>
        <w:instrText xml:space="preserve">" </w:instrText>
      </w:r>
      <w:r>
        <w:rPr>
          <w:rtl/>
        </w:rPr>
        <w:fldChar w:fldCharType="separate"/>
      </w:r>
      <w:hyperlink w:anchor="_Toc100500676" w:history="1">
        <w:r w:rsidR="00191154" w:rsidRPr="003C01E5">
          <w:rPr>
            <w:rStyle w:val="Hyperlink"/>
            <w:rFonts w:hint="eastAsia"/>
            <w:noProof/>
            <w:rtl/>
          </w:rPr>
          <w:t>טיוטת</w:t>
        </w:r>
        <w:r w:rsidR="00191154" w:rsidRPr="003C01E5">
          <w:rPr>
            <w:rStyle w:val="Hyperlink"/>
            <w:noProof/>
            <w:rtl/>
          </w:rPr>
          <w:t xml:space="preserve"> </w:t>
        </w:r>
        <w:r w:rsidR="00191154" w:rsidRPr="003C01E5">
          <w:rPr>
            <w:rStyle w:val="Hyperlink"/>
            <w:rFonts w:hint="eastAsia"/>
            <w:noProof/>
            <w:rtl/>
          </w:rPr>
          <w:t>תקנות</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Toc100500676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3</w:t>
        </w:r>
        <w:r w:rsidR="00191154">
          <w:rPr>
            <w:rStyle w:val="Hyperlink"/>
            <w:noProof/>
            <w:rtl/>
          </w:rPr>
          <w:fldChar w:fldCharType="end"/>
        </w:r>
      </w:hyperlink>
    </w:p>
    <w:p w:rsidR="00191154" w:rsidRDefault="007D2977">
      <w:pPr>
        <w:pStyle w:val="TOC4"/>
        <w:tabs>
          <w:tab w:val="left" w:pos="2977"/>
        </w:tabs>
        <w:rPr>
          <w:rFonts w:cstheme="minorBidi"/>
          <w:rtl/>
        </w:rPr>
      </w:pPr>
      <w:hyperlink w:anchor="_Toc100500677" w:history="1">
        <w:r w:rsidR="00191154" w:rsidRPr="003C01E5">
          <w:rPr>
            <w:rStyle w:val="Hyperlink"/>
            <w:rFonts w:hint="eastAsia"/>
            <w:rtl/>
          </w:rPr>
          <w:t>א</w:t>
        </w:r>
        <w:r w:rsidR="00191154" w:rsidRPr="003C01E5">
          <w:rPr>
            <w:rStyle w:val="Hyperlink"/>
            <w:rtl/>
          </w:rPr>
          <w:t>.</w:t>
        </w:r>
        <w:r w:rsidR="00191154">
          <w:rPr>
            <w:rFonts w:cstheme="minorBidi"/>
            <w:rtl/>
          </w:rPr>
          <w:tab/>
        </w:r>
        <w:r w:rsidR="00191154" w:rsidRPr="003C01E5">
          <w:rPr>
            <w:rStyle w:val="Hyperlink"/>
            <w:rFonts w:hint="eastAsia"/>
            <w:rtl/>
          </w:rPr>
          <w:t>שם</w:t>
        </w:r>
        <w:r w:rsidR="00191154" w:rsidRPr="003C01E5">
          <w:rPr>
            <w:rStyle w:val="Hyperlink"/>
            <w:rtl/>
          </w:rPr>
          <w:t xml:space="preserve"> </w:t>
        </w:r>
        <w:r w:rsidR="00191154" w:rsidRPr="003C01E5">
          <w:rPr>
            <w:rStyle w:val="Hyperlink"/>
            <w:rFonts w:hint="eastAsia"/>
            <w:rtl/>
          </w:rPr>
          <w:t>התקנות</w:t>
        </w:r>
        <w:r w:rsidR="00191154" w:rsidRPr="003C01E5">
          <w:rPr>
            <w:rStyle w:val="Hyperlink"/>
            <w:rtl/>
          </w:rPr>
          <w:t xml:space="preserve"> </w:t>
        </w:r>
        <w:r w:rsidR="00191154" w:rsidRPr="003C01E5">
          <w:rPr>
            <w:rStyle w:val="Hyperlink"/>
            <w:rFonts w:hint="eastAsia"/>
            <w:rtl/>
          </w:rPr>
          <w:t>המוצעות</w:t>
        </w:r>
        <w:r w:rsidR="00191154">
          <w:rPr>
            <w:webHidden/>
            <w:rtl/>
          </w:rPr>
          <w:tab/>
        </w:r>
        <w:r w:rsidR="00191154">
          <w:rPr>
            <w:rStyle w:val="Hyperlink"/>
            <w:rtl/>
          </w:rPr>
          <w:fldChar w:fldCharType="begin"/>
        </w:r>
        <w:r w:rsidR="00191154">
          <w:rPr>
            <w:webHidden/>
            <w:rtl/>
          </w:rPr>
          <w:instrText xml:space="preserve"> </w:instrText>
        </w:r>
        <w:r w:rsidR="00191154">
          <w:rPr>
            <w:webHidden/>
          </w:rPr>
          <w:instrText>PAGEREF</w:instrText>
        </w:r>
        <w:r w:rsidR="00191154">
          <w:rPr>
            <w:webHidden/>
            <w:rtl/>
          </w:rPr>
          <w:instrText xml:space="preserve"> _</w:instrText>
        </w:r>
        <w:r w:rsidR="00191154">
          <w:rPr>
            <w:webHidden/>
          </w:rPr>
          <w:instrText>Toc100500677 \h</w:instrText>
        </w:r>
        <w:r w:rsidR="00191154">
          <w:rPr>
            <w:webHidden/>
            <w:rtl/>
          </w:rPr>
          <w:instrText xml:space="preserve"> </w:instrText>
        </w:r>
        <w:r w:rsidR="00191154">
          <w:rPr>
            <w:rStyle w:val="Hyperlink"/>
            <w:rtl/>
          </w:rPr>
        </w:r>
        <w:r w:rsidR="00191154">
          <w:rPr>
            <w:rStyle w:val="Hyperlink"/>
            <w:rtl/>
          </w:rPr>
          <w:fldChar w:fldCharType="separate"/>
        </w:r>
        <w:r w:rsidR="00191154">
          <w:rPr>
            <w:webHidden/>
            <w:rtl/>
          </w:rPr>
          <w:t>3</w:t>
        </w:r>
        <w:r w:rsidR="00191154">
          <w:rPr>
            <w:rStyle w:val="Hyperlink"/>
            <w:rtl/>
          </w:rPr>
          <w:fldChar w:fldCharType="end"/>
        </w:r>
      </w:hyperlink>
    </w:p>
    <w:p w:rsidR="00191154" w:rsidRDefault="007D2977">
      <w:pPr>
        <w:pStyle w:val="TOC4"/>
        <w:tabs>
          <w:tab w:val="left" w:pos="2952"/>
        </w:tabs>
        <w:rPr>
          <w:rFonts w:cstheme="minorBidi"/>
          <w:rtl/>
        </w:rPr>
      </w:pPr>
      <w:hyperlink w:anchor="_Toc100500679" w:history="1">
        <w:r w:rsidR="00191154" w:rsidRPr="003C01E5">
          <w:rPr>
            <w:rStyle w:val="Hyperlink"/>
            <w:rFonts w:hint="eastAsia"/>
            <w:rtl/>
          </w:rPr>
          <w:t>ב</w:t>
        </w:r>
        <w:r w:rsidR="00191154" w:rsidRPr="003C01E5">
          <w:rPr>
            <w:rStyle w:val="Hyperlink"/>
            <w:rtl/>
          </w:rPr>
          <w:t>.</w:t>
        </w:r>
        <w:r w:rsidR="00191154">
          <w:rPr>
            <w:rFonts w:cstheme="minorBidi"/>
            <w:rtl/>
          </w:rPr>
          <w:tab/>
        </w:r>
        <w:r w:rsidR="00191154" w:rsidRPr="003C01E5">
          <w:rPr>
            <w:rStyle w:val="Hyperlink"/>
            <w:rFonts w:hint="eastAsia"/>
            <w:rtl/>
          </w:rPr>
          <w:t>מטרת</w:t>
        </w:r>
        <w:r w:rsidR="00191154" w:rsidRPr="003C01E5">
          <w:rPr>
            <w:rStyle w:val="Hyperlink"/>
            <w:rtl/>
          </w:rPr>
          <w:t xml:space="preserve"> </w:t>
        </w:r>
        <w:r w:rsidR="00191154" w:rsidRPr="003C01E5">
          <w:rPr>
            <w:rStyle w:val="Hyperlink"/>
            <w:rFonts w:hint="eastAsia"/>
            <w:rtl/>
          </w:rPr>
          <w:t>התקנות</w:t>
        </w:r>
        <w:r w:rsidR="00191154" w:rsidRPr="003C01E5">
          <w:rPr>
            <w:rStyle w:val="Hyperlink"/>
            <w:rtl/>
          </w:rPr>
          <w:t xml:space="preserve"> </w:t>
        </w:r>
        <w:r w:rsidR="00191154" w:rsidRPr="003C01E5">
          <w:rPr>
            <w:rStyle w:val="Hyperlink"/>
            <w:rFonts w:hint="eastAsia"/>
            <w:rtl/>
          </w:rPr>
          <w:t>המוצעות</w:t>
        </w:r>
        <w:r w:rsidR="00191154" w:rsidRPr="003C01E5">
          <w:rPr>
            <w:rStyle w:val="Hyperlink"/>
            <w:rtl/>
          </w:rPr>
          <w:t xml:space="preserve"> </w:t>
        </w:r>
        <w:r w:rsidR="00191154" w:rsidRPr="003C01E5">
          <w:rPr>
            <w:rStyle w:val="Hyperlink"/>
            <w:rFonts w:hint="eastAsia"/>
            <w:rtl/>
          </w:rPr>
          <w:t>והצורך</w:t>
        </w:r>
        <w:r w:rsidR="00191154" w:rsidRPr="003C01E5">
          <w:rPr>
            <w:rStyle w:val="Hyperlink"/>
            <w:rtl/>
          </w:rPr>
          <w:t xml:space="preserve"> </w:t>
        </w:r>
        <w:r w:rsidR="00191154" w:rsidRPr="003C01E5">
          <w:rPr>
            <w:rStyle w:val="Hyperlink"/>
            <w:rFonts w:hint="eastAsia"/>
            <w:rtl/>
          </w:rPr>
          <w:t>בהן</w:t>
        </w:r>
        <w:r w:rsidR="00191154">
          <w:rPr>
            <w:webHidden/>
            <w:rtl/>
          </w:rPr>
          <w:tab/>
        </w:r>
        <w:r w:rsidR="00191154">
          <w:rPr>
            <w:rStyle w:val="Hyperlink"/>
            <w:rtl/>
          </w:rPr>
          <w:fldChar w:fldCharType="begin"/>
        </w:r>
        <w:r w:rsidR="00191154">
          <w:rPr>
            <w:webHidden/>
            <w:rtl/>
          </w:rPr>
          <w:instrText xml:space="preserve"> </w:instrText>
        </w:r>
        <w:r w:rsidR="00191154">
          <w:rPr>
            <w:webHidden/>
          </w:rPr>
          <w:instrText>PAGEREF</w:instrText>
        </w:r>
        <w:r w:rsidR="00191154">
          <w:rPr>
            <w:webHidden/>
            <w:rtl/>
          </w:rPr>
          <w:instrText xml:space="preserve"> _</w:instrText>
        </w:r>
        <w:r w:rsidR="00191154">
          <w:rPr>
            <w:webHidden/>
          </w:rPr>
          <w:instrText>Toc100500679 \h</w:instrText>
        </w:r>
        <w:r w:rsidR="00191154">
          <w:rPr>
            <w:webHidden/>
            <w:rtl/>
          </w:rPr>
          <w:instrText xml:space="preserve"> </w:instrText>
        </w:r>
        <w:r w:rsidR="00191154">
          <w:rPr>
            <w:rStyle w:val="Hyperlink"/>
            <w:rtl/>
          </w:rPr>
        </w:r>
        <w:r w:rsidR="00191154">
          <w:rPr>
            <w:rStyle w:val="Hyperlink"/>
            <w:rtl/>
          </w:rPr>
          <w:fldChar w:fldCharType="separate"/>
        </w:r>
        <w:r w:rsidR="00191154">
          <w:rPr>
            <w:webHidden/>
            <w:rtl/>
          </w:rPr>
          <w:t>3</w:t>
        </w:r>
        <w:r w:rsidR="00191154">
          <w:rPr>
            <w:rStyle w:val="Hyperlink"/>
            <w:rtl/>
          </w:rPr>
          <w:fldChar w:fldCharType="end"/>
        </w:r>
      </w:hyperlink>
    </w:p>
    <w:p w:rsidR="00191154" w:rsidRDefault="007D2977">
      <w:pPr>
        <w:pStyle w:val="TOC4"/>
        <w:tabs>
          <w:tab w:val="left" w:pos="2922"/>
        </w:tabs>
        <w:rPr>
          <w:rFonts w:cstheme="minorBidi"/>
          <w:rtl/>
        </w:rPr>
      </w:pPr>
      <w:hyperlink w:anchor="_Toc100500683" w:history="1">
        <w:r w:rsidR="00191154" w:rsidRPr="003C01E5">
          <w:rPr>
            <w:rStyle w:val="Hyperlink"/>
            <w:rFonts w:hint="eastAsia"/>
            <w:rtl/>
          </w:rPr>
          <w:t>ג</w:t>
        </w:r>
        <w:r w:rsidR="00191154" w:rsidRPr="003C01E5">
          <w:rPr>
            <w:rStyle w:val="Hyperlink"/>
            <w:rtl/>
          </w:rPr>
          <w:t>.</w:t>
        </w:r>
        <w:r w:rsidR="00191154">
          <w:rPr>
            <w:rFonts w:cstheme="minorBidi"/>
            <w:rtl/>
          </w:rPr>
          <w:tab/>
        </w:r>
        <w:r w:rsidR="00191154" w:rsidRPr="003C01E5">
          <w:rPr>
            <w:rStyle w:val="Hyperlink"/>
            <w:rFonts w:hint="eastAsia"/>
            <w:rtl/>
          </w:rPr>
          <w:t>להלן</w:t>
        </w:r>
        <w:r w:rsidR="00191154" w:rsidRPr="003C01E5">
          <w:rPr>
            <w:rStyle w:val="Hyperlink"/>
            <w:rtl/>
          </w:rPr>
          <w:t xml:space="preserve"> </w:t>
        </w:r>
        <w:r w:rsidR="00191154" w:rsidRPr="003C01E5">
          <w:rPr>
            <w:rStyle w:val="Hyperlink"/>
            <w:rFonts w:hint="eastAsia"/>
            <w:rtl/>
          </w:rPr>
          <w:t>נוסח</w:t>
        </w:r>
        <w:r w:rsidR="00191154" w:rsidRPr="003C01E5">
          <w:rPr>
            <w:rStyle w:val="Hyperlink"/>
            <w:rtl/>
          </w:rPr>
          <w:t xml:space="preserve"> </w:t>
        </w:r>
        <w:r w:rsidR="00191154" w:rsidRPr="003C01E5">
          <w:rPr>
            <w:rStyle w:val="Hyperlink"/>
            <w:rFonts w:hint="eastAsia"/>
            <w:rtl/>
          </w:rPr>
          <w:t>טיוטת</w:t>
        </w:r>
        <w:r w:rsidR="00191154" w:rsidRPr="003C01E5">
          <w:rPr>
            <w:rStyle w:val="Hyperlink"/>
            <w:rtl/>
          </w:rPr>
          <w:t xml:space="preserve"> </w:t>
        </w:r>
        <w:r w:rsidR="00191154" w:rsidRPr="003C01E5">
          <w:rPr>
            <w:rStyle w:val="Hyperlink"/>
            <w:rFonts w:hint="eastAsia"/>
            <w:rtl/>
          </w:rPr>
          <w:t>התקנות</w:t>
        </w:r>
        <w:r w:rsidR="00191154" w:rsidRPr="003C01E5">
          <w:rPr>
            <w:rStyle w:val="Hyperlink"/>
            <w:rtl/>
          </w:rPr>
          <w:t xml:space="preserve"> </w:t>
        </w:r>
        <w:r w:rsidR="00191154" w:rsidRPr="003C01E5">
          <w:rPr>
            <w:rStyle w:val="Hyperlink"/>
            <w:rFonts w:hint="eastAsia"/>
            <w:rtl/>
          </w:rPr>
          <w:t>המוצעות</w:t>
        </w:r>
        <w:r w:rsidR="00191154" w:rsidRPr="003C01E5">
          <w:rPr>
            <w:rStyle w:val="Hyperlink"/>
            <w:rtl/>
          </w:rPr>
          <w:t>:</w:t>
        </w:r>
        <w:r w:rsidR="00191154">
          <w:rPr>
            <w:webHidden/>
            <w:rtl/>
          </w:rPr>
          <w:tab/>
        </w:r>
        <w:r w:rsidR="00191154">
          <w:rPr>
            <w:rStyle w:val="Hyperlink"/>
            <w:rtl/>
          </w:rPr>
          <w:fldChar w:fldCharType="begin"/>
        </w:r>
        <w:r w:rsidR="00191154">
          <w:rPr>
            <w:webHidden/>
            <w:rtl/>
          </w:rPr>
          <w:instrText xml:space="preserve"> </w:instrText>
        </w:r>
        <w:r w:rsidR="00191154">
          <w:rPr>
            <w:webHidden/>
          </w:rPr>
          <w:instrText>PAGEREF</w:instrText>
        </w:r>
        <w:r w:rsidR="00191154">
          <w:rPr>
            <w:webHidden/>
            <w:rtl/>
          </w:rPr>
          <w:instrText xml:space="preserve"> _</w:instrText>
        </w:r>
        <w:r w:rsidR="00191154">
          <w:rPr>
            <w:webHidden/>
          </w:rPr>
          <w:instrText>Toc100500683 \h</w:instrText>
        </w:r>
        <w:r w:rsidR="00191154">
          <w:rPr>
            <w:webHidden/>
            <w:rtl/>
          </w:rPr>
          <w:instrText xml:space="preserve"> </w:instrText>
        </w:r>
        <w:r w:rsidR="00191154">
          <w:rPr>
            <w:rStyle w:val="Hyperlink"/>
            <w:rtl/>
          </w:rPr>
        </w:r>
        <w:r w:rsidR="00191154">
          <w:rPr>
            <w:rStyle w:val="Hyperlink"/>
            <w:rtl/>
          </w:rPr>
          <w:fldChar w:fldCharType="separate"/>
        </w:r>
        <w:r w:rsidR="00191154">
          <w:rPr>
            <w:webHidden/>
            <w:rtl/>
          </w:rPr>
          <w:t>3</w:t>
        </w:r>
        <w:r w:rsidR="00191154">
          <w:rPr>
            <w:rStyle w:val="Hyperlink"/>
            <w:rtl/>
          </w:rPr>
          <w:fldChar w:fldCharType="end"/>
        </w:r>
      </w:hyperlink>
    </w:p>
    <w:p w:rsidR="00191154" w:rsidRDefault="007D2977">
      <w:pPr>
        <w:pStyle w:val="TOC1"/>
        <w:rPr>
          <w:rFonts w:asciiTheme="minorHAnsi" w:eastAsiaTheme="minorEastAsia" w:hAnsiTheme="minorHAnsi" w:cstheme="minorBidi"/>
          <w:bCs w:val="0"/>
          <w:noProof/>
          <w:sz w:val="22"/>
          <w:rtl/>
        </w:rPr>
      </w:pPr>
      <w:hyperlink w:anchor="_Toc100500684" w:history="1">
        <w:r w:rsidR="00191154" w:rsidRPr="003C01E5">
          <w:rPr>
            <w:rStyle w:val="Hyperlink"/>
            <w:rFonts w:hint="eastAsia"/>
            <w:noProof/>
            <w:rtl/>
          </w:rPr>
          <w:t>טיוטת</w:t>
        </w:r>
        <w:r w:rsidR="00191154" w:rsidRPr="003C01E5">
          <w:rPr>
            <w:rStyle w:val="Hyperlink"/>
            <w:noProof/>
            <w:rtl/>
          </w:rPr>
          <w:t xml:space="preserve"> </w:t>
        </w:r>
        <w:r w:rsidR="00191154" w:rsidRPr="003C01E5">
          <w:rPr>
            <w:rStyle w:val="Hyperlink"/>
            <w:rFonts w:hint="eastAsia"/>
            <w:noProof/>
            <w:rtl/>
          </w:rPr>
          <w:t>תקנות</w:t>
        </w:r>
        <w:r w:rsidR="00191154" w:rsidRPr="003C01E5">
          <w:rPr>
            <w:rStyle w:val="Hyperlink"/>
            <w:noProof/>
            <w:rtl/>
          </w:rPr>
          <w:t xml:space="preserve"> </w:t>
        </w:r>
        <w:r w:rsidR="00191154" w:rsidRPr="003C01E5">
          <w:rPr>
            <w:rStyle w:val="Hyperlink"/>
            <w:rFonts w:hint="eastAsia"/>
            <w:noProof/>
            <w:rtl/>
          </w:rPr>
          <w:t>הפיקוח</w:t>
        </w:r>
        <w:r w:rsidR="00191154" w:rsidRPr="003C01E5">
          <w:rPr>
            <w:rStyle w:val="Hyperlink"/>
            <w:noProof/>
            <w:rtl/>
          </w:rPr>
          <w:t xml:space="preserve"> </w:t>
        </w:r>
        <w:r w:rsidR="00191154" w:rsidRPr="003C01E5">
          <w:rPr>
            <w:rStyle w:val="Hyperlink"/>
            <w:rFonts w:hint="eastAsia"/>
            <w:noProof/>
            <w:rtl/>
          </w:rPr>
          <w:t>על</w:t>
        </w:r>
        <w:r w:rsidR="00191154" w:rsidRPr="003C01E5">
          <w:rPr>
            <w:rStyle w:val="Hyperlink"/>
            <w:noProof/>
            <w:rtl/>
          </w:rPr>
          <w:t xml:space="preserve"> </w:t>
        </w:r>
        <w:r w:rsidR="00191154" w:rsidRPr="003C01E5">
          <w:rPr>
            <w:rStyle w:val="Hyperlink"/>
            <w:rFonts w:hint="eastAsia"/>
            <w:noProof/>
            <w:rtl/>
          </w:rPr>
          <w:t>שירותים</w:t>
        </w:r>
        <w:r w:rsidR="00191154" w:rsidRPr="003C01E5">
          <w:rPr>
            <w:rStyle w:val="Hyperlink"/>
            <w:noProof/>
            <w:rtl/>
          </w:rPr>
          <w:t xml:space="preserve"> </w:t>
        </w:r>
        <w:r w:rsidR="00191154" w:rsidRPr="003C01E5">
          <w:rPr>
            <w:rStyle w:val="Hyperlink"/>
            <w:rFonts w:hint="eastAsia"/>
            <w:noProof/>
            <w:rtl/>
          </w:rPr>
          <w:t>פיננסיים</w:t>
        </w:r>
        <w:r w:rsidR="00191154" w:rsidRPr="003C01E5">
          <w:rPr>
            <w:rStyle w:val="Hyperlink"/>
            <w:noProof/>
            <w:rtl/>
          </w:rPr>
          <w:t xml:space="preserve"> (</w:t>
        </w:r>
        <w:r w:rsidR="00191154" w:rsidRPr="003C01E5">
          <w:rPr>
            <w:rStyle w:val="Hyperlink"/>
            <w:rFonts w:hint="eastAsia"/>
            <w:noProof/>
            <w:rtl/>
          </w:rPr>
          <w:t>קופות</w:t>
        </w:r>
        <w:r w:rsidR="00191154" w:rsidRPr="003C01E5">
          <w:rPr>
            <w:rStyle w:val="Hyperlink"/>
            <w:noProof/>
            <w:rtl/>
          </w:rPr>
          <w:t xml:space="preserve"> </w:t>
        </w:r>
        <w:r w:rsidR="00191154" w:rsidRPr="003C01E5">
          <w:rPr>
            <w:rStyle w:val="Hyperlink"/>
            <w:rFonts w:hint="eastAsia"/>
            <w:noProof/>
            <w:rtl/>
          </w:rPr>
          <w:t>גמל</w:t>
        </w:r>
        <w:r w:rsidR="00191154" w:rsidRPr="003C01E5">
          <w:rPr>
            <w:rStyle w:val="Hyperlink"/>
            <w:noProof/>
            <w:rtl/>
          </w:rPr>
          <w:t>) (</w:t>
        </w:r>
        <w:r w:rsidR="00191154" w:rsidRPr="003C01E5">
          <w:rPr>
            <w:rStyle w:val="Hyperlink"/>
            <w:rFonts w:hint="eastAsia"/>
            <w:noProof/>
            <w:rtl/>
          </w:rPr>
          <w:t>הוצאות</w:t>
        </w:r>
        <w:r w:rsidR="00191154" w:rsidRPr="003C01E5">
          <w:rPr>
            <w:rStyle w:val="Hyperlink"/>
            <w:noProof/>
            <w:rtl/>
          </w:rPr>
          <w:t xml:space="preserve"> </w:t>
        </w:r>
        <w:r w:rsidR="00191154" w:rsidRPr="003C01E5">
          <w:rPr>
            <w:rStyle w:val="Hyperlink"/>
            <w:rFonts w:hint="eastAsia"/>
            <w:noProof/>
            <w:rtl/>
          </w:rPr>
          <w:t>ישירות</w:t>
        </w:r>
        <w:r w:rsidR="00191154" w:rsidRPr="003C01E5">
          <w:rPr>
            <w:rStyle w:val="Hyperlink"/>
            <w:noProof/>
            <w:rtl/>
          </w:rPr>
          <w:t xml:space="preserve"> </w:t>
        </w:r>
        <w:r w:rsidR="00191154" w:rsidRPr="003C01E5">
          <w:rPr>
            <w:rStyle w:val="Hyperlink"/>
            <w:rFonts w:hint="eastAsia"/>
            <w:noProof/>
            <w:rtl/>
          </w:rPr>
          <w:t>בשל</w:t>
        </w:r>
        <w:r w:rsidR="00191154" w:rsidRPr="003C01E5">
          <w:rPr>
            <w:rStyle w:val="Hyperlink"/>
            <w:noProof/>
            <w:rtl/>
          </w:rPr>
          <w:t xml:space="preserve"> </w:t>
        </w:r>
        <w:r w:rsidR="00191154" w:rsidRPr="003C01E5">
          <w:rPr>
            <w:rStyle w:val="Hyperlink"/>
            <w:rFonts w:hint="eastAsia"/>
            <w:noProof/>
            <w:rtl/>
          </w:rPr>
          <w:t>ביצוע</w:t>
        </w:r>
        <w:r w:rsidR="00191154" w:rsidRPr="003C01E5">
          <w:rPr>
            <w:rStyle w:val="Hyperlink"/>
            <w:noProof/>
            <w:rtl/>
          </w:rPr>
          <w:t xml:space="preserve"> </w:t>
        </w:r>
        <w:r w:rsidR="00191154" w:rsidRPr="003C01E5">
          <w:rPr>
            <w:rStyle w:val="Hyperlink"/>
            <w:rFonts w:hint="eastAsia"/>
            <w:noProof/>
            <w:rtl/>
          </w:rPr>
          <w:t>עסקאות</w:t>
        </w:r>
        <w:r w:rsidR="00191154" w:rsidRPr="003C01E5">
          <w:rPr>
            <w:rStyle w:val="Hyperlink"/>
            <w:noProof/>
            <w:rtl/>
          </w:rPr>
          <w:t>) (</w:t>
        </w:r>
        <w:r w:rsidR="00191154" w:rsidRPr="003C01E5">
          <w:rPr>
            <w:rStyle w:val="Hyperlink"/>
            <w:rFonts w:hint="eastAsia"/>
            <w:noProof/>
            <w:rtl/>
          </w:rPr>
          <w:t>תיקון</w:t>
        </w:r>
        <w:r w:rsidR="00191154" w:rsidRPr="003C01E5">
          <w:rPr>
            <w:rStyle w:val="Hyperlink"/>
            <w:noProof/>
            <w:rtl/>
          </w:rPr>
          <w:t xml:space="preserve"> </w:t>
        </w:r>
        <w:r w:rsidR="00191154" w:rsidRPr="003C01E5">
          <w:rPr>
            <w:rStyle w:val="Hyperlink"/>
            <w:rFonts w:hint="eastAsia"/>
            <w:noProof/>
            <w:rtl/>
          </w:rPr>
          <w:t>מס</w:t>
        </w:r>
        <w:r w:rsidR="00191154" w:rsidRPr="003C01E5">
          <w:rPr>
            <w:rStyle w:val="Hyperlink"/>
            <w:noProof/>
            <w:rtl/>
          </w:rPr>
          <w:t xml:space="preserve">' _), </w:t>
        </w:r>
        <w:r w:rsidR="00191154" w:rsidRPr="003C01E5">
          <w:rPr>
            <w:rStyle w:val="Hyperlink"/>
            <w:rFonts w:hint="eastAsia"/>
            <w:noProof/>
            <w:rtl/>
          </w:rPr>
          <w:t>התשפ</w:t>
        </w:r>
        <w:r w:rsidR="00191154" w:rsidRPr="003C01E5">
          <w:rPr>
            <w:rStyle w:val="Hyperlink"/>
            <w:noProof/>
            <w:rtl/>
          </w:rPr>
          <w:t>"</w:t>
        </w:r>
        <w:r w:rsidR="00191154" w:rsidRPr="003C01E5">
          <w:rPr>
            <w:rStyle w:val="Hyperlink"/>
            <w:rFonts w:hint="eastAsia"/>
            <w:noProof/>
            <w:rtl/>
          </w:rPr>
          <w:t>ב</w:t>
        </w:r>
        <w:r w:rsidR="00191154" w:rsidRPr="003C01E5">
          <w:rPr>
            <w:rStyle w:val="Hyperlink"/>
            <w:noProof/>
            <w:rtl/>
          </w:rPr>
          <w:t>-2022</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Toc100500684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4</w:t>
        </w:r>
        <w:r w:rsidR="00191154">
          <w:rPr>
            <w:rStyle w:val="Hyperlink"/>
            <w:noProof/>
            <w:rtl/>
          </w:rPr>
          <w:fldChar w:fldCharType="end"/>
        </w:r>
      </w:hyperlink>
    </w:p>
    <w:p w:rsidR="00191154" w:rsidRDefault="007D2977">
      <w:pPr>
        <w:pStyle w:val="TOC3"/>
        <w:rPr>
          <w:rFonts w:asciiTheme="minorHAnsi" w:eastAsiaTheme="minorEastAsia" w:hAnsiTheme="minorHAnsi" w:cstheme="minorBidi"/>
          <w:noProof/>
          <w:sz w:val="22"/>
          <w:rtl/>
        </w:rPr>
      </w:pPr>
      <w:hyperlink w:anchor="_Toc100500686" w:history="1">
        <w:r w:rsidR="00191154" w:rsidRPr="003C01E5">
          <w:rPr>
            <w:rStyle w:val="Hyperlink"/>
            <w:rFonts w:hint="eastAsia"/>
            <w:noProof/>
            <w:rtl/>
          </w:rPr>
          <w:t>תיקון</w:t>
        </w:r>
        <w:r w:rsidR="00191154" w:rsidRPr="003C01E5">
          <w:rPr>
            <w:rStyle w:val="Hyperlink"/>
            <w:noProof/>
            <w:rtl/>
          </w:rPr>
          <w:t xml:space="preserve"> </w:t>
        </w:r>
        <w:r w:rsidR="00191154" w:rsidRPr="003C01E5">
          <w:rPr>
            <w:rStyle w:val="Hyperlink"/>
            <w:rFonts w:hint="eastAsia"/>
            <w:noProof/>
            <w:rtl/>
          </w:rPr>
          <w:t>תקנה</w:t>
        </w:r>
        <w:r w:rsidR="00191154" w:rsidRPr="003C01E5">
          <w:rPr>
            <w:rStyle w:val="Hyperlink"/>
            <w:noProof/>
            <w:rtl/>
          </w:rPr>
          <w:t xml:space="preserve"> 1</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Toc100500686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4</w:t>
        </w:r>
        <w:r w:rsidR="00191154">
          <w:rPr>
            <w:rStyle w:val="Hyperlink"/>
            <w:noProof/>
            <w:rtl/>
          </w:rPr>
          <w:fldChar w:fldCharType="end"/>
        </w:r>
      </w:hyperlink>
    </w:p>
    <w:p w:rsidR="00191154" w:rsidRDefault="007D2977">
      <w:pPr>
        <w:pStyle w:val="TOC3"/>
        <w:rPr>
          <w:rFonts w:asciiTheme="minorHAnsi" w:eastAsiaTheme="minorEastAsia" w:hAnsiTheme="minorHAnsi" w:cstheme="minorBidi"/>
          <w:noProof/>
          <w:sz w:val="22"/>
          <w:rtl/>
        </w:rPr>
      </w:pPr>
      <w:hyperlink w:anchor="_Toc100500687" w:history="1">
        <w:r w:rsidR="00191154" w:rsidRPr="003C01E5">
          <w:rPr>
            <w:rStyle w:val="Hyperlink"/>
            <w:rFonts w:hint="eastAsia"/>
            <w:noProof/>
            <w:rtl/>
          </w:rPr>
          <w:t>תיקון</w:t>
        </w:r>
        <w:r w:rsidR="00191154" w:rsidRPr="003C01E5">
          <w:rPr>
            <w:rStyle w:val="Hyperlink"/>
            <w:noProof/>
            <w:rtl/>
          </w:rPr>
          <w:t xml:space="preserve"> </w:t>
        </w:r>
        <w:r w:rsidR="00191154" w:rsidRPr="003C01E5">
          <w:rPr>
            <w:rStyle w:val="Hyperlink"/>
            <w:rFonts w:hint="eastAsia"/>
            <w:noProof/>
            <w:rtl/>
          </w:rPr>
          <w:t>תקנה</w:t>
        </w:r>
        <w:r w:rsidR="00191154" w:rsidRPr="003C01E5">
          <w:rPr>
            <w:rStyle w:val="Hyperlink"/>
            <w:noProof/>
            <w:rtl/>
          </w:rPr>
          <w:t xml:space="preserve"> 2</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Toc100500687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6</w:t>
        </w:r>
        <w:r w:rsidR="00191154">
          <w:rPr>
            <w:rStyle w:val="Hyperlink"/>
            <w:noProof/>
            <w:rtl/>
          </w:rPr>
          <w:fldChar w:fldCharType="end"/>
        </w:r>
      </w:hyperlink>
    </w:p>
    <w:p w:rsidR="00191154" w:rsidRDefault="007D2977">
      <w:pPr>
        <w:pStyle w:val="TOC3"/>
        <w:rPr>
          <w:rFonts w:asciiTheme="minorHAnsi" w:eastAsiaTheme="minorEastAsia" w:hAnsiTheme="minorHAnsi" w:cstheme="minorBidi"/>
          <w:noProof/>
          <w:sz w:val="22"/>
          <w:rtl/>
        </w:rPr>
      </w:pPr>
      <w:hyperlink w:anchor="_Toc100500688" w:history="1">
        <w:r w:rsidR="00191154" w:rsidRPr="003C01E5">
          <w:rPr>
            <w:rStyle w:val="Hyperlink"/>
            <w:rFonts w:hint="eastAsia"/>
            <w:noProof/>
            <w:rtl/>
          </w:rPr>
          <w:t>הוספת</w:t>
        </w:r>
        <w:r w:rsidR="00191154" w:rsidRPr="003C01E5">
          <w:rPr>
            <w:rStyle w:val="Hyperlink"/>
            <w:noProof/>
            <w:rtl/>
          </w:rPr>
          <w:t xml:space="preserve"> </w:t>
        </w:r>
        <w:r w:rsidR="00191154" w:rsidRPr="003C01E5">
          <w:rPr>
            <w:rStyle w:val="Hyperlink"/>
            <w:rFonts w:hint="eastAsia"/>
            <w:noProof/>
            <w:rtl/>
          </w:rPr>
          <w:t>תקנה</w:t>
        </w:r>
        <w:r w:rsidR="00191154" w:rsidRPr="003C01E5">
          <w:rPr>
            <w:rStyle w:val="Hyperlink"/>
            <w:noProof/>
            <w:rtl/>
          </w:rPr>
          <w:t xml:space="preserve"> 2</w:t>
        </w:r>
        <w:r w:rsidR="00191154" w:rsidRPr="003C01E5">
          <w:rPr>
            <w:rStyle w:val="Hyperlink"/>
            <w:rFonts w:hint="eastAsia"/>
            <w:noProof/>
            <w:rtl/>
          </w:rPr>
          <w:t>א</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Toc100500688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8</w:t>
        </w:r>
        <w:r w:rsidR="00191154">
          <w:rPr>
            <w:rStyle w:val="Hyperlink"/>
            <w:noProof/>
            <w:rtl/>
          </w:rPr>
          <w:fldChar w:fldCharType="end"/>
        </w:r>
      </w:hyperlink>
    </w:p>
    <w:p w:rsidR="00191154" w:rsidRDefault="007D2977">
      <w:pPr>
        <w:pStyle w:val="TOC3"/>
        <w:rPr>
          <w:rFonts w:asciiTheme="minorHAnsi" w:eastAsiaTheme="minorEastAsia" w:hAnsiTheme="minorHAnsi" w:cstheme="minorBidi"/>
          <w:noProof/>
          <w:sz w:val="22"/>
          <w:rtl/>
        </w:rPr>
      </w:pPr>
      <w:hyperlink w:anchor="_Toc100500689" w:history="1">
        <w:r w:rsidR="00191154" w:rsidRPr="003C01E5">
          <w:rPr>
            <w:rStyle w:val="Hyperlink"/>
            <w:rFonts w:hint="eastAsia"/>
            <w:noProof/>
            <w:rtl/>
          </w:rPr>
          <w:t>תיקון</w:t>
        </w:r>
        <w:r w:rsidR="00191154" w:rsidRPr="003C01E5">
          <w:rPr>
            <w:rStyle w:val="Hyperlink"/>
            <w:noProof/>
            <w:rtl/>
          </w:rPr>
          <w:t xml:space="preserve"> </w:t>
        </w:r>
        <w:r w:rsidR="00191154" w:rsidRPr="003C01E5">
          <w:rPr>
            <w:rStyle w:val="Hyperlink"/>
            <w:rFonts w:hint="eastAsia"/>
            <w:noProof/>
            <w:rtl/>
          </w:rPr>
          <w:t>תקנה</w:t>
        </w:r>
        <w:r w:rsidR="00191154" w:rsidRPr="003C01E5">
          <w:rPr>
            <w:rStyle w:val="Hyperlink"/>
            <w:noProof/>
            <w:rtl/>
          </w:rPr>
          <w:t xml:space="preserve"> 3</w:t>
        </w:r>
        <w:r w:rsidR="00191154" w:rsidRPr="003C01E5">
          <w:rPr>
            <w:rStyle w:val="Hyperlink"/>
            <w:rFonts w:hint="eastAsia"/>
            <w:noProof/>
            <w:rtl/>
          </w:rPr>
          <w:t>א</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Toc100500689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9</w:t>
        </w:r>
        <w:r w:rsidR="00191154">
          <w:rPr>
            <w:rStyle w:val="Hyperlink"/>
            <w:noProof/>
            <w:rtl/>
          </w:rPr>
          <w:fldChar w:fldCharType="end"/>
        </w:r>
      </w:hyperlink>
    </w:p>
    <w:p w:rsidR="00191154" w:rsidRDefault="007D2977">
      <w:pPr>
        <w:pStyle w:val="TOC3"/>
        <w:rPr>
          <w:rFonts w:asciiTheme="minorHAnsi" w:eastAsiaTheme="minorEastAsia" w:hAnsiTheme="minorHAnsi" w:cstheme="minorBidi"/>
          <w:noProof/>
          <w:sz w:val="22"/>
          <w:rtl/>
        </w:rPr>
      </w:pPr>
      <w:hyperlink w:anchor="_Toc100500690" w:history="1">
        <w:r w:rsidR="00191154" w:rsidRPr="003C01E5">
          <w:rPr>
            <w:rStyle w:val="Hyperlink"/>
            <w:rFonts w:hint="eastAsia"/>
            <w:noProof/>
            <w:rtl/>
          </w:rPr>
          <w:t>תיקון</w:t>
        </w:r>
        <w:r w:rsidR="00191154" w:rsidRPr="003C01E5">
          <w:rPr>
            <w:rStyle w:val="Hyperlink"/>
            <w:noProof/>
            <w:rtl/>
          </w:rPr>
          <w:t xml:space="preserve"> </w:t>
        </w:r>
        <w:r w:rsidR="00191154" w:rsidRPr="003C01E5">
          <w:rPr>
            <w:rStyle w:val="Hyperlink"/>
            <w:rFonts w:hint="eastAsia"/>
            <w:noProof/>
            <w:rtl/>
          </w:rPr>
          <w:t>תקנה</w:t>
        </w:r>
        <w:r w:rsidR="00191154" w:rsidRPr="003C01E5">
          <w:rPr>
            <w:rStyle w:val="Hyperlink"/>
            <w:noProof/>
            <w:rtl/>
          </w:rPr>
          <w:t xml:space="preserve"> 3</w:t>
        </w:r>
        <w:r w:rsidR="00191154" w:rsidRPr="003C01E5">
          <w:rPr>
            <w:rStyle w:val="Hyperlink"/>
            <w:rFonts w:hint="eastAsia"/>
            <w:noProof/>
            <w:rtl/>
          </w:rPr>
          <w:t>ב</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Toc100500690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9</w:t>
        </w:r>
        <w:r w:rsidR="00191154">
          <w:rPr>
            <w:rStyle w:val="Hyperlink"/>
            <w:noProof/>
            <w:rtl/>
          </w:rPr>
          <w:fldChar w:fldCharType="end"/>
        </w:r>
      </w:hyperlink>
    </w:p>
    <w:p w:rsidR="00191154" w:rsidRDefault="007D2977">
      <w:pPr>
        <w:pStyle w:val="TOC3"/>
        <w:rPr>
          <w:rFonts w:asciiTheme="minorHAnsi" w:eastAsiaTheme="minorEastAsia" w:hAnsiTheme="minorHAnsi" w:cstheme="minorBidi"/>
          <w:noProof/>
          <w:sz w:val="22"/>
          <w:rtl/>
        </w:rPr>
      </w:pPr>
      <w:hyperlink w:anchor="_Toc100500691" w:history="1">
        <w:r w:rsidR="00191154" w:rsidRPr="003C01E5">
          <w:rPr>
            <w:rStyle w:val="Hyperlink"/>
            <w:rFonts w:hint="eastAsia"/>
            <w:noProof/>
            <w:rtl/>
          </w:rPr>
          <w:t>תחילה</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Toc100500691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10</w:t>
        </w:r>
        <w:r w:rsidR="00191154">
          <w:rPr>
            <w:rStyle w:val="Hyperlink"/>
            <w:noProof/>
            <w:rtl/>
          </w:rPr>
          <w:fldChar w:fldCharType="end"/>
        </w:r>
      </w:hyperlink>
    </w:p>
    <w:p w:rsidR="00191154" w:rsidRDefault="007D2977">
      <w:pPr>
        <w:pStyle w:val="TOC1"/>
        <w:rPr>
          <w:rFonts w:asciiTheme="minorHAnsi" w:eastAsiaTheme="minorEastAsia" w:hAnsiTheme="minorHAnsi" w:cstheme="minorBidi"/>
          <w:bCs w:val="0"/>
          <w:noProof/>
          <w:sz w:val="22"/>
          <w:rtl/>
        </w:rPr>
      </w:pPr>
      <w:hyperlink w:anchor="_Toc100500692" w:history="1">
        <w:r w:rsidR="00191154" w:rsidRPr="003C01E5">
          <w:rPr>
            <w:rStyle w:val="Hyperlink"/>
            <w:rFonts w:hint="eastAsia"/>
            <w:noProof/>
            <w:rtl/>
          </w:rPr>
          <w:t>דברי</w:t>
        </w:r>
        <w:r w:rsidR="00191154" w:rsidRPr="003C01E5">
          <w:rPr>
            <w:rStyle w:val="Hyperlink"/>
            <w:noProof/>
            <w:rtl/>
          </w:rPr>
          <w:t xml:space="preserve"> </w:t>
        </w:r>
        <w:r w:rsidR="00191154" w:rsidRPr="003C01E5">
          <w:rPr>
            <w:rStyle w:val="Hyperlink"/>
            <w:rFonts w:hint="eastAsia"/>
            <w:noProof/>
            <w:rtl/>
          </w:rPr>
          <w:t>הסבר</w:t>
        </w:r>
        <w:r w:rsidR="00191154">
          <w:rPr>
            <w:noProof/>
            <w:webHidden/>
            <w:rtl/>
          </w:rPr>
          <w:tab/>
        </w:r>
        <w:r w:rsidR="00191154">
          <w:rPr>
            <w:rStyle w:val="Hyperlink"/>
            <w:noProof/>
            <w:rtl/>
          </w:rPr>
          <w:fldChar w:fldCharType="begin"/>
        </w:r>
        <w:r w:rsidR="00191154">
          <w:rPr>
            <w:noProof/>
            <w:webHidden/>
            <w:rtl/>
          </w:rPr>
          <w:instrText xml:space="preserve"> </w:instrText>
        </w:r>
        <w:r w:rsidR="00191154">
          <w:rPr>
            <w:noProof/>
            <w:webHidden/>
          </w:rPr>
          <w:instrText>PAGEREF</w:instrText>
        </w:r>
        <w:r w:rsidR="00191154">
          <w:rPr>
            <w:noProof/>
            <w:webHidden/>
            <w:rtl/>
          </w:rPr>
          <w:instrText xml:space="preserve"> _</w:instrText>
        </w:r>
        <w:r w:rsidR="00191154">
          <w:rPr>
            <w:noProof/>
            <w:webHidden/>
          </w:rPr>
          <w:instrText>Toc100500692 \h</w:instrText>
        </w:r>
        <w:r w:rsidR="00191154">
          <w:rPr>
            <w:noProof/>
            <w:webHidden/>
            <w:rtl/>
          </w:rPr>
          <w:instrText xml:space="preserve"> </w:instrText>
        </w:r>
        <w:r w:rsidR="00191154">
          <w:rPr>
            <w:rStyle w:val="Hyperlink"/>
            <w:noProof/>
            <w:rtl/>
          </w:rPr>
        </w:r>
        <w:r w:rsidR="00191154">
          <w:rPr>
            <w:rStyle w:val="Hyperlink"/>
            <w:noProof/>
            <w:rtl/>
          </w:rPr>
          <w:fldChar w:fldCharType="separate"/>
        </w:r>
        <w:r w:rsidR="00191154">
          <w:rPr>
            <w:noProof/>
            <w:webHidden/>
            <w:rtl/>
          </w:rPr>
          <w:t>11</w:t>
        </w:r>
        <w:r w:rsidR="00191154">
          <w:rPr>
            <w:rStyle w:val="Hyperlink"/>
            <w:noProof/>
            <w:rtl/>
          </w:rPr>
          <w:fldChar w:fldCharType="end"/>
        </w:r>
      </w:hyperlink>
    </w:p>
    <w:p w:rsidR="007A5EEA" w:rsidRDefault="007A5EEA" w:rsidP="005F0271">
      <w:pPr>
        <w:rPr>
          <w:snapToGrid w:val="0"/>
          <w:rtl/>
        </w:rPr>
      </w:pPr>
      <w:r>
        <w:rPr>
          <w:rtl/>
        </w:rPr>
        <w:fldChar w:fldCharType="end"/>
      </w:r>
      <w:r>
        <w:rPr>
          <w:rtl/>
        </w:rPr>
        <w:br w:type="page"/>
      </w:r>
    </w:p>
    <w:p w:rsidR="00375FF0" w:rsidRDefault="00375FF0" w:rsidP="00375FF0">
      <w:pPr>
        <w:pStyle w:val="1"/>
        <w:keepNext w:val="0"/>
        <w:keepLines w:val="0"/>
        <w:rPr>
          <w:rtl/>
        </w:rPr>
      </w:pPr>
      <w:bookmarkStart w:id="1" w:name="_Toc100499807"/>
      <w:bookmarkStart w:id="2" w:name="_Toc100500676"/>
      <w:r>
        <w:rPr>
          <w:rtl/>
        </w:rPr>
        <w:lastRenderedPageBreak/>
        <w:t>טיוטת תקנות</w:t>
      </w:r>
      <w:bookmarkEnd w:id="1"/>
      <w:bookmarkEnd w:id="2"/>
    </w:p>
    <w:p w:rsidR="00375FF0" w:rsidRDefault="00375FF0" w:rsidP="00375FF0"/>
    <w:p w:rsidR="00375FF0" w:rsidRDefault="00375FF0" w:rsidP="00DA5352">
      <w:pPr>
        <w:pStyle w:val="4"/>
        <w:numPr>
          <w:ilvl w:val="0"/>
          <w:numId w:val="5"/>
        </w:numPr>
        <w:rPr>
          <w:rtl/>
        </w:rPr>
      </w:pPr>
      <w:bookmarkStart w:id="3" w:name="_Toc100500677"/>
      <w:r w:rsidRPr="00375FF0">
        <w:rPr>
          <w:rtl/>
        </w:rPr>
        <w:t>שם התקנות המוצעות</w:t>
      </w:r>
      <w:bookmarkEnd w:id="3"/>
    </w:p>
    <w:p w:rsidR="00734E88" w:rsidRPr="00734E88" w:rsidRDefault="00734E88" w:rsidP="00734E88">
      <w:pPr>
        <w:pStyle w:val="HeadHatzaotHok"/>
        <w:keepNext w:val="0"/>
        <w:keepLines w:val="0"/>
        <w:jc w:val="both"/>
        <w:rPr>
          <w:rFonts w:ascii="David" w:hAnsi="David"/>
          <w:b w:val="0"/>
          <w:bCs w:val="0"/>
          <w:rtl/>
        </w:rPr>
      </w:pPr>
      <w:bookmarkStart w:id="4" w:name="_Toc100499808"/>
      <w:bookmarkStart w:id="5" w:name="_Toc100499822"/>
      <w:bookmarkStart w:id="6" w:name="_Toc100500678"/>
      <w:r w:rsidRPr="00734E88">
        <w:rPr>
          <w:rFonts w:ascii="David" w:hAnsi="David" w:hint="cs"/>
          <w:b w:val="0"/>
          <w:bCs w:val="0"/>
          <w:rtl/>
        </w:rPr>
        <w:t>טיוטת</w:t>
      </w:r>
      <w:r w:rsidRPr="00734E88">
        <w:rPr>
          <w:rFonts w:ascii="David" w:hAnsi="David"/>
          <w:b w:val="0"/>
          <w:bCs w:val="0"/>
          <w:rtl/>
        </w:rPr>
        <w:t xml:space="preserve"> </w:t>
      </w:r>
      <w:r w:rsidRPr="00734E88">
        <w:rPr>
          <w:rFonts w:ascii="David" w:hAnsi="David" w:hint="cs"/>
          <w:b w:val="0"/>
          <w:bCs w:val="0"/>
          <w:rtl/>
        </w:rPr>
        <w:t>תקנות</w:t>
      </w:r>
      <w:r w:rsidRPr="00734E88">
        <w:rPr>
          <w:rFonts w:ascii="David" w:hAnsi="David"/>
          <w:b w:val="0"/>
          <w:bCs w:val="0"/>
          <w:rtl/>
        </w:rPr>
        <w:t xml:space="preserve"> </w:t>
      </w:r>
      <w:r w:rsidRPr="00734E88">
        <w:rPr>
          <w:rFonts w:ascii="David" w:hAnsi="David" w:hint="cs"/>
          <w:b w:val="0"/>
          <w:bCs w:val="0"/>
          <w:rtl/>
        </w:rPr>
        <w:t>הפיקוח על שירותים פיננסיים (קופות גמל)</w:t>
      </w:r>
      <w:r w:rsidRPr="00734E88">
        <w:rPr>
          <w:rFonts w:ascii="David" w:eastAsiaTheme="minorHAnsi" w:hAnsi="David" w:hint="cs"/>
          <w:b w:val="0"/>
          <w:bCs w:val="0"/>
          <w:sz w:val="15"/>
          <w:rtl/>
        </w:rPr>
        <w:t xml:space="preserve"> (הוצאות ישירות בשל ביצוע עסקאות) (תיקון מס' _), </w:t>
      </w:r>
      <w:r w:rsidRPr="00734E88">
        <w:rPr>
          <w:rFonts w:ascii="David" w:hAnsi="David" w:hint="cs"/>
          <w:b w:val="0"/>
          <w:bCs w:val="0"/>
          <w:rtl/>
        </w:rPr>
        <w:t>התשפ"ב-2022</w:t>
      </w:r>
      <w:bookmarkEnd w:id="4"/>
      <w:bookmarkEnd w:id="5"/>
      <w:bookmarkEnd w:id="6"/>
    </w:p>
    <w:p w:rsidR="00375FF0" w:rsidRPr="00375FF0" w:rsidRDefault="00375FF0" w:rsidP="00BF3ADA">
      <w:pPr>
        <w:rPr>
          <w:rtl/>
        </w:rPr>
      </w:pPr>
    </w:p>
    <w:p w:rsidR="00375FF0" w:rsidRDefault="00375FF0" w:rsidP="00DA5352">
      <w:pPr>
        <w:pStyle w:val="4"/>
        <w:numPr>
          <w:ilvl w:val="0"/>
          <w:numId w:val="5"/>
        </w:numPr>
        <w:rPr>
          <w:rtl/>
        </w:rPr>
      </w:pPr>
      <w:bookmarkStart w:id="7" w:name="_Toc100500679"/>
      <w:r w:rsidRPr="00375FF0">
        <w:rPr>
          <w:rtl/>
        </w:rPr>
        <w:t>מטרת התקנות המוצעות והצורך בהן</w:t>
      </w:r>
      <w:bookmarkEnd w:id="7"/>
      <w:r w:rsidRPr="00375FF0">
        <w:rPr>
          <w:rtl/>
        </w:rPr>
        <w:t xml:space="preserve"> </w:t>
      </w:r>
    </w:p>
    <w:p w:rsidR="00CC1274" w:rsidRPr="00CC1274" w:rsidRDefault="00CC1274" w:rsidP="00CC1274">
      <w:pPr>
        <w:pStyle w:val="HeadHatzaotHok"/>
        <w:keepNext w:val="0"/>
        <w:keepLines w:val="0"/>
        <w:jc w:val="both"/>
        <w:rPr>
          <w:rFonts w:ascii="David" w:hAnsi="David"/>
          <w:b w:val="0"/>
          <w:bCs w:val="0"/>
          <w:rtl/>
        </w:rPr>
      </w:pPr>
      <w:bookmarkStart w:id="8" w:name="_Toc100499809"/>
      <w:bookmarkStart w:id="9" w:name="_Toc100499824"/>
      <w:bookmarkStart w:id="10" w:name="_Toc100500680"/>
      <w:r w:rsidRPr="00CC1274">
        <w:rPr>
          <w:rFonts w:ascii="David" w:hAnsi="David"/>
          <w:b w:val="0"/>
          <w:bCs w:val="0"/>
          <w:rtl/>
        </w:rPr>
        <w:t>בהתאם להוראות סעיף 32(א)(2) לחוק הפיקוח על שירותים פיננסיים (קופות גמל), התשס"ה-2005 (להלן - חוק קופות גמל), כפי שהוחלו גם בסעיף 36א לחוק הפיקוח על שירותים פיננסיים (ביטוח), התשמ"א-1981, גופים מוסדיים רשאים לגבות מנכסי קופת הגמל או מנכסים העומדים כנגד התחייבויות תלויות תשואה, הוצאות ישירות בשל ביצוע עסקאות בנכסים כאמור, כפי שקבע שר האוצר באישור ועדת הכספים של הכנסת (להלן – הוצאות ישירות). בהתאם לסמכויות אלה הותקנו בשנת 2008 תקנות הפיקוח על שירותים פיננסיים (קופות גמל) (הוצאות ישירות בשל ביצוע עסקאות), התשס"ח-2008 (להלן – תקנות הוצאות ישירות או התקנות), הקובעות אלו הוצאות ישירות ניתן לגבות בשל ביצוע עסקאות בנכסי המשקיע המוסדי. בשנת 2014 נקבעה לראשונה בתקנות הוצאות ישירות, תקרה להיקף הוצאות מסוימות שאותן ניתן לגבות כאמור, על מנת להגביל את שיעורן (להלן – מגבלת ההוצאות). מגבלת ההוצאות נקבעה לגבי הוצאות הנובעות מהשקעה בקרנות השקעה, מנהלי תיקים, קרנות, קרנות מחקות, נכסים לא סחירים, לרבות מתן אשראי, ומתן משכנתא, בכפוף לתנאים שפורטו בתקנות. התקרה שנקבעה היא בשיעור של 0.25 אחוזים מסך כל השווי המשוערך של נכסי המשקיע המוסדי במועד הקבוע בתקנה 2(ב) לתקנות, והיא נקבעה כהוראת שעה, אשר הוארכה מעת לעת (להלן – הוראת השעה).</w:t>
      </w:r>
      <w:bookmarkEnd w:id="8"/>
      <w:bookmarkEnd w:id="9"/>
      <w:bookmarkEnd w:id="10"/>
      <w:r w:rsidRPr="00CC1274">
        <w:rPr>
          <w:rFonts w:ascii="David" w:hAnsi="David"/>
          <w:b w:val="0"/>
          <w:bCs w:val="0"/>
          <w:rtl/>
        </w:rPr>
        <w:t xml:space="preserve"> </w:t>
      </w:r>
    </w:p>
    <w:p w:rsidR="00CC1274" w:rsidRPr="00CC1274" w:rsidRDefault="00CC1274" w:rsidP="00CC1274">
      <w:pPr>
        <w:pStyle w:val="HeadHatzaotHok"/>
        <w:keepNext w:val="0"/>
        <w:keepLines w:val="0"/>
        <w:jc w:val="both"/>
        <w:rPr>
          <w:rFonts w:ascii="David" w:hAnsi="David"/>
          <w:b w:val="0"/>
          <w:bCs w:val="0"/>
          <w:rtl/>
        </w:rPr>
      </w:pPr>
      <w:bookmarkStart w:id="11" w:name="_Toc100499810"/>
      <w:bookmarkStart w:id="12" w:name="_Toc100499825"/>
      <w:bookmarkStart w:id="13" w:name="_Toc100500681"/>
      <w:r w:rsidRPr="00CC1274">
        <w:rPr>
          <w:rFonts w:ascii="David" w:hAnsi="David"/>
          <w:b w:val="0"/>
          <w:bCs w:val="0"/>
          <w:rtl/>
        </w:rPr>
        <w:t>מאז שנת 2014, נבחן על ידי רשות שוק ההון ביטוח וחיסכון (להלן – הרשות) יישומה של מגבלת ההוצאות בקרב המשקיעים המוסדיים. בחינת היישום מעלה כי מחד, יש חשיבות לכך שהוגבלו סוגים מסוימים של הוצאות ישירות. מאידך, קיים חשש כי הטלת מגבלה שרירותית או לא מתאימה, מבחינת היקף וסוגי ההשקעות עליהן היא מוטלת, עלולה לפגוע בהרכב תיק הנכסים של העמיתים ובתשואה המושגת על כספי הפנסיה והחיסכון של הציבור.</w:t>
      </w:r>
      <w:bookmarkEnd w:id="11"/>
      <w:bookmarkEnd w:id="12"/>
      <w:bookmarkEnd w:id="13"/>
      <w:r w:rsidRPr="00CC1274">
        <w:rPr>
          <w:rFonts w:ascii="David" w:hAnsi="David"/>
          <w:b w:val="0"/>
          <w:bCs w:val="0"/>
          <w:rtl/>
        </w:rPr>
        <w:t xml:space="preserve"> </w:t>
      </w:r>
    </w:p>
    <w:p w:rsidR="005A3B28" w:rsidRPr="00CC1274" w:rsidRDefault="00CC1274" w:rsidP="00CC1274">
      <w:pPr>
        <w:pStyle w:val="HeadHatzaotHok"/>
        <w:keepNext w:val="0"/>
        <w:keepLines w:val="0"/>
        <w:jc w:val="both"/>
        <w:rPr>
          <w:rFonts w:ascii="David" w:hAnsi="David"/>
          <w:b w:val="0"/>
          <w:bCs w:val="0"/>
          <w:rtl/>
        </w:rPr>
      </w:pPr>
      <w:bookmarkStart w:id="14" w:name="_Toc100499811"/>
      <w:bookmarkStart w:id="15" w:name="_Toc100499826"/>
      <w:bookmarkStart w:id="16" w:name="_Toc100500682"/>
      <w:r w:rsidRPr="00CC1274">
        <w:rPr>
          <w:rFonts w:ascii="David" w:hAnsi="David"/>
          <w:b w:val="0"/>
          <w:bCs w:val="0"/>
          <w:rtl/>
        </w:rPr>
        <w:t>על מנת לקבוע את האיזון הדרוש, ביקשה הרשות לבצע בחינה מקיפה ורוחבית של סוגיית ההוצאות הישירות. לשם כך מינה הממונה על שוק ההון, ביטוח וחיסכון ועדה מי</w:t>
      </w:r>
      <w:r>
        <w:rPr>
          <w:rFonts w:ascii="David" w:hAnsi="David"/>
          <w:b w:val="0"/>
          <w:bCs w:val="0"/>
          <w:rtl/>
        </w:rPr>
        <w:t>יעצת</w:t>
      </w:r>
      <w:r>
        <w:rPr>
          <w:rFonts w:ascii="David" w:hAnsi="David" w:hint="cs"/>
          <w:b w:val="0"/>
          <w:bCs w:val="0"/>
          <w:rtl/>
        </w:rPr>
        <w:t xml:space="preserve"> </w:t>
      </w:r>
      <w:r w:rsidRPr="00CC1274">
        <w:rPr>
          <w:rFonts w:ascii="David" w:hAnsi="David"/>
          <w:b w:val="0"/>
          <w:bCs w:val="0"/>
          <w:rtl/>
        </w:rPr>
        <w:t>לבחינת הוצאות ישירות שרשאי גוף מוסדי לנכות מנכסי החוסכים שבניהולו, בשל ביצוע עסקאות בנכסי המשקיע המוסדי. המלצות הוועדה נבחנו על ידי הממונה והיוו בסיס לנוסח המוצע של טיוטת התקנות שמציע הסדר קבוע כפי שמובא להלן, זאת לצד שורת צעדים אסדרתיים ופיקוחיים מקבילים אשר מקודמים לצד טיוטת התקנות, בנושאים אשר אינם בתחולת התקנות.</w:t>
      </w:r>
      <w:bookmarkEnd w:id="14"/>
      <w:bookmarkEnd w:id="15"/>
      <w:bookmarkEnd w:id="16"/>
    </w:p>
    <w:p w:rsidR="00D81F0F" w:rsidRPr="00AB1AD6" w:rsidRDefault="00D81F0F" w:rsidP="00BF3ADA">
      <w:pPr>
        <w:rPr>
          <w:rFonts w:asciiTheme="minorHAnsi" w:hAnsiTheme="minorHAnsi"/>
        </w:rPr>
      </w:pPr>
    </w:p>
    <w:p w:rsidR="00375FF0" w:rsidRPr="00375FF0" w:rsidRDefault="00375FF0" w:rsidP="00DA5352">
      <w:pPr>
        <w:pStyle w:val="4"/>
        <w:numPr>
          <w:ilvl w:val="0"/>
          <w:numId w:val="5"/>
        </w:numPr>
        <w:rPr>
          <w:rtl/>
        </w:rPr>
      </w:pPr>
      <w:bookmarkStart w:id="17" w:name="_Toc100500683"/>
      <w:r w:rsidRPr="00375FF0">
        <w:rPr>
          <w:rtl/>
        </w:rPr>
        <w:t>להלן נוסח טיוטת התקנות המוצעות:</w:t>
      </w:r>
      <w:bookmarkEnd w:id="17"/>
      <w:r w:rsidRPr="00375FF0">
        <w:rPr>
          <w:rtl/>
        </w:rPr>
        <w:t xml:space="preserve"> </w:t>
      </w:r>
    </w:p>
    <w:p w:rsidR="00C24DBA" w:rsidRPr="00785B20" w:rsidRDefault="00C24DBA">
      <w:pPr>
        <w:bidi w:val="0"/>
      </w:pPr>
      <w:r w:rsidRPr="00785B20">
        <w:rPr>
          <w:rtl/>
        </w:rPr>
        <w:br w:type="page"/>
      </w:r>
    </w:p>
    <w:p w:rsidR="00C24DBA" w:rsidRPr="00785B20" w:rsidRDefault="00375FF0" w:rsidP="009A4E69">
      <w:pPr>
        <w:pStyle w:val="HeadMitparsemetBaze"/>
        <w:keepNext w:val="0"/>
        <w:keepLines w:val="0"/>
        <w:pageBreakBefore w:val="0"/>
        <w:rPr>
          <w:rFonts w:ascii="David" w:hAnsi="David"/>
          <w:rtl/>
        </w:rPr>
      </w:pPr>
      <w:r>
        <w:rPr>
          <w:rFonts w:ascii="David" w:hAnsi="David" w:hint="cs"/>
          <w:rtl/>
        </w:rPr>
        <w:lastRenderedPageBreak/>
        <w:t>טיוטת</w:t>
      </w:r>
      <w:r w:rsidR="00C24DBA" w:rsidRPr="00785B20">
        <w:rPr>
          <w:rFonts w:ascii="David" w:hAnsi="David"/>
          <w:rtl/>
        </w:rPr>
        <w:t xml:space="preserve"> </w:t>
      </w:r>
      <w:r w:rsidR="009A4E69">
        <w:rPr>
          <w:rFonts w:ascii="David" w:hAnsi="David" w:hint="cs"/>
          <w:rtl/>
        </w:rPr>
        <w:t>תקנות</w:t>
      </w:r>
      <w:r w:rsidR="00C24DBA" w:rsidRPr="00785B20">
        <w:rPr>
          <w:rFonts w:ascii="David" w:hAnsi="David"/>
          <w:rtl/>
        </w:rPr>
        <w:t xml:space="preserve"> מטעם משרד</w:t>
      </w:r>
      <w:r w:rsidR="009A4E69">
        <w:rPr>
          <w:rFonts w:ascii="David" w:hAnsi="David" w:hint="cs"/>
          <w:rtl/>
        </w:rPr>
        <w:t xml:space="preserve"> האוצר</w:t>
      </w:r>
      <w:r w:rsidR="00C24DBA" w:rsidRPr="00785B20">
        <w:rPr>
          <w:rFonts w:ascii="David" w:hAnsi="David"/>
          <w:rtl/>
        </w:rPr>
        <w:t xml:space="preserve">: </w:t>
      </w:r>
    </w:p>
    <w:p w:rsidR="00C24DBA" w:rsidRDefault="00375FF0" w:rsidP="00EB25E8">
      <w:pPr>
        <w:pStyle w:val="HeadHatzaotHok"/>
        <w:keepNext w:val="0"/>
        <w:keepLines w:val="0"/>
        <w:rPr>
          <w:rFonts w:ascii="David" w:hAnsi="David"/>
          <w:rtl/>
        </w:rPr>
      </w:pPr>
      <w:bookmarkStart w:id="18" w:name="_Toc503130994"/>
      <w:bookmarkStart w:id="19" w:name="_Toc100499812"/>
      <w:bookmarkStart w:id="20" w:name="_Toc100500684"/>
      <w:r>
        <w:rPr>
          <w:rFonts w:ascii="David" w:hAnsi="David" w:hint="cs"/>
          <w:rtl/>
        </w:rPr>
        <w:t>טיוטת</w:t>
      </w:r>
      <w:r w:rsidR="00C24DBA" w:rsidRPr="00785B20">
        <w:rPr>
          <w:rFonts w:ascii="David" w:hAnsi="David"/>
          <w:rtl/>
        </w:rPr>
        <w:t xml:space="preserve"> </w:t>
      </w:r>
      <w:r w:rsidR="009A4E69">
        <w:rPr>
          <w:rFonts w:ascii="David" w:hAnsi="David" w:hint="cs"/>
          <w:rtl/>
        </w:rPr>
        <w:t>תקנות</w:t>
      </w:r>
      <w:r w:rsidR="00C24DBA" w:rsidRPr="00785B20">
        <w:rPr>
          <w:rFonts w:ascii="David" w:hAnsi="David"/>
          <w:rtl/>
        </w:rPr>
        <w:t xml:space="preserve"> </w:t>
      </w:r>
      <w:r w:rsidR="009A4E69">
        <w:rPr>
          <w:rFonts w:ascii="David" w:hAnsi="David" w:hint="cs"/>
          <w:rtl/>
        </w:rPr>
        <w:t>הפיקוח על שירותים פיננסיים (קופות גמל)</w:t>
      </w:r>
      <w:r w:rsidR="00826DC3">
        <w:rPr>
          <w:rFonts w:ascii="David" w:eastAsiaTheme="minorHAnsi" w:hAnsi="David" w:hint="cs"/>
          <w:sz w:val="15"/>
          <w:rtl/>
        </w:rPr>
        <w:t xml:space="preserve"> </w:t>
      </w:r>
      <w:r w:rsidR="00837247" w:rsidRPr="00837247">
        <w:rPr>
          <w:rFonts w:ascii="David" w:eastAsiaTheme="minorHAnsi" w:hAnsi="David" w:hint="cs"/>
          <w:sz w:val="15"/>
          <w:rtl/>
        </w:rPr>
        <w:t>(</w:t>
      </w:r>
      <w:r w:rsidR="00EB25E8">
        <w:rPr>
          <w:rFonts w:ascii="David" w:eastAsiaTheme="minorHAnsi" w:hAnsi="David" w:hint="cs"/>
          <w:sz w:val="15"/>
          <w:rtl/>
        </w:rPr>
        <w:t>הוצאות ישירות בשל ביצוע עסקאות</w:t>
      </w:r>
      <w:r w:rsidR="00837247" w:rsidRPr="00837247">
        <w:rPr>
          <w:rFonts w:ascii="David" w:eastAsiaTheme="minorHAnsi" w:hAnsi="David" w:hint="cs"/>
          <w:sz w:val="15"/>
          <w:rtl/>
        </w:rPr>
        <w:t>) (תיקון מס' _)</w:t>
      </w:r>
      <w:r w:rsidR="00837247" w:rsidRPr="00375FF0">
        <w:rPr>
          <w:rFonts w:ascii="David" w:eastAsiaTheme="minorHAnsi" w:hAnsi="David" w:hint="cs"/>
          <w:b w:val="0"/>
          <w:bCs w:val="0"/>
          <w:sz w:val="15"/>
          <w:rtl/>
        </w:rPr>
        <w:t xml:space="preserve">, </w:t>
      </w:r>
      <w:r w:rsidR="009A4E69">
        <w:rPr>
          <w:rFonts w:ascii="David" w:hAnsi="David" w:hint="cs"/>
          <w:rtl/>
        </w:rPr>
        <w:t>התשפ"ב-</w:t>
      </w:r>
      <w:bookmarkEnd w:id="18"/>
      <w:r w:rsidR="00D81F0F">
        <w:rPr>
          <w:rFonts w:ascii="David" w:hAnsi="David" w:hint="cs"/>
          <w:rtl/>
        </w:rPr>
        <w:t>2022</w:t>
      </w:r>
      <w:bookmarkEnd w:id="19"/>
      <w:bookmarkEnd w:id="20"/>
    </w:p>
    <w:p w:rsidR="009A4E69" w:rsidRPr="008A7064" w:rsidRDefault="008A7064" w:rsidP="00CC1274">
      <w:pPr>
        <w:pStyle w:val="HeadHatzaotHok"/>
        <w:keepNext w:val="0"/>
        <w:keepLines w:val="0"/>
        <w:ind w:left="-1"/>
        <w:jc w:val="both"/>
        <w:rPr>
          <w:rFonts w:ascii="David" w:hAnsi="David"/>
          <w:b w:val="0"/>
          <w:bCs w:val="0"/>
          <w:sz w:val="18"/>
          <w:szCs w:val="24"/>
          <w:rtl/>
        </w:rPr>
      </w:pPr>
      <w:bookmarkStart w:id="21" w:name="_Toc100499813"/>
      <w:bookmarkStart w:id="22" w:name="_Toc100499829"/>
      <w:bookmarkStart w:id="23" w:name="_Toc100500685"/>
      <w:r w:rsidRPr="008A7064">
        <w:rPr>
          <w:rFonts w:hint="eastAsia"/>
          <w:b w:val="0"/>
          <w:bCs w:val="0"/>
          <w:sz w:val="26"/>
          <w:rtl/>
        </w:rPr>
        <w:t>בתוקף</w:t>
      </w:r>
      <w:r w:rsidRPr="008A7064">
        <w:rPr>
          <w:b w:val="0"/>
          <w:bCs w:val="0"/>
          <w:sz w:val="26"/>
          <w:rtl/>
        </w:rPr>
        <w:t xml:space="preserve"> </w:t>
      </w:r>
      <w:r w:rsidRPr="008A7064">
        <w:rPr>
          <w:rFonts w:hint="eastAsia"/>
          <w:b w:val="0"/>
          <w:bCs w:val="0"/>
          <w:sz w:val="26"/>
          <w:rtl/>
        </w:rPr>
        <w:t>סמכותי</w:t>
      </w:r>
      <w:r w:rsidRPr="008A7064">
        <w:rPr>
          <w:b w:val="0"/>
          <w:bCs w:val="0"/>
          <w:sz w:val="26"/>
          <w:rtl/>
        </w:rPr>
        <w:t xml:space="preserve"> </w:t>
      </w:r>
      <w:r w:rsidRPr="008A7064">
        <w:rPr>
          <w:rFonts w:hint="eastAsia"/>
          <w:b w:val="0"/>
          <w:bCs w:val="0"/>
          <w:sz w:val="26"/>
          <w:rtl/>
        </w:rPr>
        <w:t>לפי</w:t>
      </w:r>
      <w:r w:rsidRPr="008A7064">
        <w:rPr>
          <w:b w:val="0"/>
          <w:bCs w:val="0"/>
          <w:sz w:val="26"/>
          <w:rtl/>
        </w:rPr>
        <w:t xml:space="preserve"> </w:t>
      </w:r>
      <w:r w:rsidRPr="008A7064">
        <w:rPr>
          <w:rFonts w:hint="eastAsia"/>
          <w:b w:val="0"/>
          <w:bCs w:val="0"/>
          <w:sz w:val="26"/>
          <w:rtl/>
        </w:rPr>
        <w:t>סעי</w:t>
      </w:r>
      <w:r w:rsidR="00CB3361">
        <w:rPr>
          <w:rFonts w:hint="cs"/>
          <w:b w:val="0"/>
          <w:bCs w:val="0"/>
          <w:sz w:val="26"/>
          <w:rtl/>
        </w:rPr>
        <w:t xml:space="preserve">פים </w:t>
      </w:r>
      <w:r w:rsidR="00EB25E8">
        <w:rPr>
          <w:rFonts w:hint="cs"/>
          <w:b w:val="0"/>
          <w:bCs w:val="0"/>
          <w:sz w:val="26"/>
          <w:rtl/>
        </w:rPr>
        <w:t>32(א)(2) ו-(ב)</w:t>
      </w:r>
      <w:r w:rsidRPr="008A7064">
        <w:rPr>
          <w:rFonts w:hint="cs"/>
          <w:b w:val="0"/>
          <w:bCs w:val="0"/>
          <w:sz w:val="26"/>
          <w:rtl/>
        </w:rPr>
        <w:t xml:space="preserve"> </w:t>
      </w:r>
      <w:r w:rsidR="00CB3361">
        <w:rPr>
          <w:rFonts w:hint="cs"/>
          <w:b w:val="0"/>
          <w:bCs w:val="0"/>
          <w:sz w:val="26"/>
          <w:rtl/>
        </w:rPr>
        <w:t xml:space="preserve">ו- 60 </w:t>
      </w:r>
      <w:r w:rsidRPr="008A7064">
        <w:rPr>
          <w:rFonts w:hint="cs"/>
          <w:b w:val="0"/>
          <w:bCs w:val="0"/>
          <w:sz w:val="26"/>
          <w:rtl/>
        </w:rPr>
        <w:t xml:space="preserve">לחוק </w:t>
      </w:r>
      <w:r w:rsidR="00EC62B1">
        <w:rPr>
          <w:rFonts w:hint="cs"/>
          <w:b w:val="0"/>
          <w:bCs w:val="0"/>
          <w:sz w:val="26"/>
          <w:rtl/>
        </w:rPr>
        <w:t>הפיקוח על שירותים פיננסיים (קופות גמל)</w:t>
      </w:r>
      <w:r w:rsidRPr="008A7064">
        <w:rPr>
          <w:rFonts w:hint="cs"/>
          <w:b w:val="0"/>
          <w:bCs w:val="0"/>
          <w:sz w:val="26"/>
          <w:rtl/>
        </w:rPr>
        <w:t>, התש</w:t>
      </w:r>
      <w:r w:rsidR="00EC62B1">
        <w:rPr>
          <w:rFonts w:hint="cs"/>
          <w:b w:val="0"/>
          <w:bCs w:val="0"/>
          <w:sz w:val="26"/>
          <w:rtl/>
        </w:rPr>
        <w:t>ס</w:t>
      </w:r>
      <w:r w:rsidRPr="008A7064">
        <w:rPr>
          <w:rFonts w:hint="cs"/>
          <w:b w:val="0"/>
          <w:bCs w:val="0"/>
          <w:sz w:val="26"/>
          <w:rtl/>
        </w:rPr>
        <w:t>"</w:t>
      </w:r>
      <w:r w:rsidR="00EC62B1">
        <w:rPr>
          <w:rFonts w:hint="cs"/>
          <w:b w:val="0"/>
          <w:bCs w:val="0"/>
          <w:sz w:val="26"/>
          <w:rtl/>
        </w:rPr>
        <w:t>ה</w:t>
      </w:r>
      <w:r w:rsidRPr="008A7064">
        <w:rPr>
          <w:rFonts w:hint="cs"/>
          <w:b w:val="0"/>
          <w:bCs w:val="0"/>
          <w:sz w:val="26"/>
          <w:rtl/>
        </w:rPr>
        <w:t>-</w:t>
      </w:r>
      <w:r w:rsidR="00EC62B1">
        <w:rPr>
          <w:rFonts w:hint="cs"/>
          <w:b w:val="0"/>
          <w:bCs w:val="0"/>
          <w:sz w:val="26"/>
          <w:rtl/>
        </w:rPr>
        <w:t>2005</w:t>
      </w:r>
      <w:r w:rsidRPr="008A7064">
        <w:rPr>
          <w:b w:val="0"/>
          <w:bCs w:val="0"/>
          <w:sz w:val="26"/>
          <w:vertAlign w:val="superscript"/>
          <w:rtl/>
        </w:rPr>
        <w:footnoteReference w:id="1"/>
      </w:r>
      <w:r w:rsidR="00B70CC7">
        <w:rPr>
          <w:rFonts w:hint="cs"/>
          <w:b w:val="0"/>
          <w:bCs w:val="0"/>
          <w:sz w:val="26"/>
          <w:rtl/>
        </w:rPr>
        <w:t xml:space="preserve"> </w:t>
      </w:r>
      <w:r w:rsidR="00EB25E8" w:rsidRPr="00673C58">
        <w:rPr>
          <w:rFonts w:hint="cs"/>
          <w:b w:val="0"/>
          <w:bCs w:val="0"/>
          <w:rtl/>
        </w:rPr>
        <w:t>ולפי סעיפים 36א ו-112 לחוק הפיקוח על שירותים פיננסיים (ביטוח), התשמ"א-1981</w:t>
      </w:r>
      <w:r w:rsidR="00EB25E8" w:rsidRPr="00673C58">
        <w:rPr>
          <w:rStyle w:val="ad"/>
          <w:b w:val="0"/>
          <w:bCs w:val="0"/>
          <w:rtl/>
        </w:rPr>
        <w:footnoteReference w:id="2"/>
      </w:r>
      <w:r w:rsidRPr="008A7064">
        <w:rPr>
          <w:rFonts w:hint="cs"/>
          <w:b w:val="0"/>
          <w:bCs w:val="0"/>
          <w:sz w:val="26"/>
          <w:rtl/>
        </w:rPr>
        <w:t>, וב</w:t>
      </w:r>
      <w:r w:rsidR="00EC62B1">
        <w:rPr>
          <w:rFonts w:hint="cs"/>
          <w:b w:val="0"/>
          <w:bCs w:val="0"/>
          <w:sz w:val="26"/>
          <w:rtl/>
        </w:rPr>
        <w:t>אישור ועדת הכספים של הכנסת</w:t>
      </w:r>
      <w:r w:rsidRPr="008A7064">
        <w:rPr>
          <w:b w:val="0"/>
          <w:bCs w:val="0"/>
          <w:sz w:val="26"/>
          <w:rtl/>
        </w:rPr>
        <w:t>, אני מתקין תקנות אלה:</w:t>
      </w:r>
      <w:bookmarkEnd w:id="21"/>
      <w:bookmarkEnd w:id="22"/>
      <w:bookmarkEnd w:id="23"/>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6"/>
      </w:tblGrid>
      <w:tr w:rsidR="00C24DBA" w:rsidRPr="00785B20" w:rsidTr="00846F50">
        <w:trPr>
          <w:cantSplit/>
          <w:trHeight w:val="60"/>
        </w:trPr>
        <w:tc>
          <w:tcPr>
            <w:tcW w:w="1871" w:type="dxa"/>
          </w:tcPr>
          <w:p w:rsidR="00C24DBA" w:rsidRPr="00785B20" w:rsidRDefault="008A7064" w:rsidP="00D55D68">
            <w:pPr>
              <w:pStyle w:val="TableSideHeading"/>
              <w:rPr>
                <w:rFonts w:ascii="David" w:hAnsi="David"/>
              </w:rPr>
            </w:pPr>
            <w:bookmarkStart w:id="24" w:name="_Toc100499814"/>
            <w:bookmarkStart w:id="25" w:name="_Toc100500686"/>
            <w:r>
              <w:rPr>
                <w:rFonts w:ascii="David" w:hAnsi="David" w:hint="cs"/>
                <w:rtl/>
              </w:rPr>
              <w:t xml:space="preserve">תיקון </w:t>
            </w:r>
            <w:r w:rsidR="00D55D68">
              <w:rPr>
                <w:rFonts w:ascii="David" w:hAnsi="David" w:hint="cs"/>
                <w:rtl/>
              </w:rPr>
              <w:t>תקנה 1</w:t>
            </w:r>
            <w:bookmarkEnd w:id="24"/>
            <w:bookmarkEnd w:id="25"/>
          </w:p>
        </w:tc>
        <w:tc>
          <w:tcPr>
            <w:tcW w:w="624" w:type="dxa"/>
          </w:tcPr>
          <w:p w:rsidR="00C24DBA" w:rsidRPr="00785B20" w:rsidRDefault="00C24DBA" w:rsidP="005A2C49">
            <w:pPr>
              <w:pStyle w:val="TableText"/>
              <w:numPr>
                <w:ilvl w:val="0"/>
                <w:numId w:val="3"/>
              </w:numPr>
              <w:rPr>
                <w:rFonts w:ascii="David" w:hAnsi="David"/>
              </w:rPr>
            </w:pPr>
          </w:p>
        </w:tc>
        <w:tc>
          <w:tcPr>
            <w:tcW w:w="7146" w:type="dxa"/>
            <w:gridSpan w:val="6"/>
          </w:tcPr>
          <w:p w:rsidR="00C24DBA" w:rsidRPr="009A4E69" w:rsidRDefault="00737025" w:rsidP="00D55D68">
            <w:pPr>
              <w:pStyle w:val="TableBlock"/>
              <w:rPr>
                <w:rFonts w:ascii="David" w:hAnsi="David"/>
              </w:rPr>
            </w:pPr>
            <w:r>
              <w:rPr>
                <w:rFonts w:ascii="David" w:hAnsi="David" w:hint="cs"/>
                <w:rtl/>
              </w:rPr>
              <w:t xml:space="preserve">בתקנות </w:t>
            </w:r>
            <w:r w:rsidRPr="00737025">
              <w:rPr>
                <w:rFonts w:ascii="David" w:hAnsi="David"/>
                <w:rtl/>
              </w:rPr>
              <w:t>הפיקוח על שירותים פיננסיים (קופות גמל) (</w:t>
            </w:r>
            <w:r w:rsidR="00CE67A7">
              <w:rPr>
                <w:rFonts w:ascii="David" w:hAnsi="David" w:hint="cs"/>
                <w:rtl/>
              </w:rPr>
              <w:t>הוצאות ישירות בשל ביצוע עסקאות</w:t>
            </w:r>
            <w:r w:rsidRPr="00737025">
              <w:rPr>
                <w:rFonts w:ascii="David" w:hAnsi="David"/>
                <w:rtl/>
              </w:rPr>
              <w:t xml:space="preserve">), </w:t>
            </w:r>
            <w:r w:rsidR="00790CFF" w:rsidRPr="009B2473">
              <w:rPr>
                <w:rtl/>
              </w:rPr>
              <w:t>התשס"ח-2008</w:t>
            </w:r>
            <w:r w:rsidR="00790CFF" w:rsidRPr="009B2473">
              <w:rPr>
                <w:vertAlign w:val="superscript"/>
                <w:rtl/>
              </w:rPr>
              <w:footnoteReference w:id="3"/>
            </w:r>
            <w:r w:rsidR="00790CFF">
              <w:rPr>
                <w:rFonts w:ascii="David" w:hAnsi="David" w:hint="cs"/>
                <w:rtl/>
              </w:rPr>
              <w:t xml:space="preserve"> </w:t>
            </w:r>
            <w:r>
              <w:rPr>
                <w:rFonts w:ascii="David" w:hAnsi="David" w:hint="cs"/>
                <w:rtl/>
              </w:rPr>
              <w:t xml:space="preserve">(להלן </w:t>
            </w:r>
            <w:r>
              <w:rPr>
                <w:rFonts w:ascii="David" w:hAnsi="David"/>
                <w:rtl/>
              </w:rPr>
              <w:t>–</w:t>
            </w:r>
            <w:r>
              <w:rPr>
                <w:rFonts w:ascii="David" w:hAnsi="David" w:hint="cs"/>
                <w:rtl/>
              </w:rPr>
              <w:t xml:space="preserve"> </w:t>
            </w:r>
            <w:r w:rsidR="00B84FCF">
              <w:rPr>
                <w:rFonts w:ascii="David" w:hAnsi="David" w:hint="cs"/>
                <w:rtl/>
              </w:rPr>
              <w:t>התקנות העיקריות</w:t>
            </w:r>
            <w:r w:rsidR="00D55D68">
              <w:rPr>
                <w:rFonts w:ascii="David" w:hAnsi="David" w:hint="cs"/>
                <w:rtl/>
              </w:rPr>
              <w:t xml:space="preserve">), בתקנה 1 </w:t>
            </w:r>
            <w:r w:rsidR="00D55D68">
              <w:rPr>
                <w:rtl/>
              </w:rPr>
              <w:t>–</w:t>
            </w:r>
            <w:r w:rsidR="00D55D68">
              <w:rPr>
                <w:rFonts w:hint="cs"/>
                <w:rtl/>
              </w:rPr>
              <w:t xml:space="preserve"> </w:t>
            </w:r>
            <w:r w:rsidR="00D55D68">
              <w:rPr>
                <w:rFonts w:ascii="David" w:hAnsi="David" w:hint="cs"/>
                <w:rtl/>
              </w:rPr>
              <w:t xml:space="preserve">  </w:t>
            </w:r>
            <w:r w:rsidR="00DF71BE">
              <w:rPr>
                <w:rFonts w:hint="cs"/>
                <w:rtl/>
              </w:rPr>
              <w:t xml:space="preserve"> </w:t>
            </w:r>
            <w:r w:rsidR="00DF71BE">
              <w:rPr>
                <w:rFonts w:ascii="David" w:hAnsi="David" w:hint="cs"/>
                <w:rtl/>
              </w:rPr>
              <w:t xml:space="preserve"> </w:t>
            </w:r>
          </w:p>
        </w:tc>
      </w:tr>
      <w:tr w:rsidR="00FD3D84">
        <w:trPr>
          <w:cantSplit/>
          <w:trHeight w:val="60"/>
        </w:trPr>
        <w:tc>
          <w:tcPr>
            <w:tcW w:w="1871" w:type="dxa"/>
          </w:tcPr>
          <w:p w:rsidR="00FD3D84" w:rsidRDefault="00FD3D84">
            <w:pPr>
              <w:pStyle w:val="TableSideHeading"/>
            </w:pPr>
          </w:p>
        </w:tc>
        <w:tc>
          <w:tcPr>
            <w:tcW w:w="624" w:type="dxa"/>
          </w:tcPr>
          <w:p w:rsidR="00FD3D84" w:rsidRDefault="00FD3D84">
            <w:pPr>
              <w:pStyle w:val="TableText"/>
            </w:pPr>
          </w:p>
        </w:tc>
        <w:tc>
          <w:tcPr>
            <w:tcW w:w="624" w:type="dxa"/>
          </w:tcPr>
          <w:p w:rsidR="00FD3D84" w:rsidRDefault="00FD3D84">
            <w:pPr>
              <w:pStyle w:val="TableText"/>
            </w:pPr>
          </w:p>
        </w:tc>
        <w:tc>
          <w:tcPr>
            <w:tcW w:w="6522" w:type="dxa"/>
            <w:gridSpan w:val="5"/>
          </w:tcPr>
          <w:p w:rsidR="00FD3D84" w:rsidRPr="0036051D" w:rsidRDefault="0027306C" w:rsidP="00DA5352">
            <w:pPr>
              <w:pStyle w:val="TableBlock"/>
              <w:numPr>
                <w:ilvl w:val="0"/>
                <w:numId w:val="6"/>
              </w:numPr>
              <w:tabs>
                <w:tab w:val="left" w:pos="624"/>
              </w:tabs>
            </w:pPr>
            <w:r>
              <w:rPr>
                <w:rFonts w:ascii="David" w:hAnsi="David" w:hint="cs"/>
                <w:rtl/>
              </w:rPr>
              <w:t>לפני</w:t>
            </w:r>
            <w:r w:rsidRPr="0036051D">
              <w:rPr>
                <w:rFonts w:ascii="David" w:hAnsi="David"/>
                <w:rtl/>
              </w:rPr>
              <w:t xml:space="preserve"> </w:t>
            </w:r>
            <w:r w:rsidRPr="0036051D">
              <w:rPr>
                <w:rFonts w:ascii="David" w:hAnsi="David" w:hint="eastAsia"/>
                <w:rtl/>
              </w:rPr>
              <w:t>ההגדרה</w:t>
            </w:r>
            <w:r w:rsidRPr="0036051D">
              <w:rPr>
                <w:rFonts w:ascii="David" w:hAnsi="David"/>
                <w:rtl/>
              </w:rPr>
              <w:t xml:space="preserve"> </w:t>
            </w:r>
            <w:r>
              <w:rPr>
                <w:rFonts w:ascii="David" w:hAnsi="David" w:hint="cs"/>
                <w:rtl/>
              </w:rPr>
              <w:t xml:space="preserve">"ניירות ערך" ו"נייר ערך סחיר" </w:t>
            </w:r>
            <w:r w:rsidRPr="0036051D">
              <w:rPr>
                <w:rFonts w:ascii="David" w:hAnsi="David" w:hint="eastAsia"/>
                <w:rtl/>
              </w:rPr>
              <w:t>יבוא</w:t>
            </w:r>
            <w:r w:rsidRPr="0036051D">
              <w:rPr>
                <w:rFonts w:ascii="David" w:hAnsi="David"/>
                <w:rtl/>
              </w:rPr>
              <w:t>:</w:t>
            </w:r>
          </w:p>
        </w:tc>
      </w:tr>
      <w:tr w:rsidR="0027306C">
        <w:trPr>
          <w:cantSplit/>
          <w:trHeight w:val="60"/>
        </w:trPr>
        <w:tc>
          <w:tcPr>
            <w:tcW w:w="1871" w:type="dxa"/>
          </w:tcPr>
          <w:p w:rsidR="0027306C" w:rsidRDefault="0027306C">
            <w:pPr>
              <w:pStyle w:val="TableSideHeading"/>
            </w:pPr>
          </w:p>
        </w:tc>
        <w:tc>
          <w:tcPr>
            <w:tcW w:w="624" w:type="dxa"/>
          </w:tcPr>
          <w:p w:rsidR="0027306C" w:rsidRDefault="0027306C" w:rsidP="0027306C">
            <w:pPr>
              <w:pStyle w:val="TableText"/>
            </w:pPr>
          </w:p>
        </w:tc>
        <w:tc>
          <w:tcPr>
            <w:tcW w:w="624" w:type="dxa"/>
          </w:tcPr>
          <w:p w:rsidR="0027306C" w:rsidRDefault="0027306C">
            <w:pPr>
              <w:pStyle w:val="TableText"/>
            </w:pPr>
          </w:p>
        </w:tc>
        <w:tc>
          <w:tcPr>
            <w:tcW w:w="624" w:type="dxa"/>
          </w:tcPr>
          <w:p w:rsidR="0027306C" w:rsidRDefault="0027306C">
            <w:pPr>
              <w:pStyle w:val="TableText"/>
            </w:pPr>
          </w:p>
        </w:tc>
        <w:tc>
          <w:tcPr>
            <w:tcW w:w="5898" w:type="dxa"/>
            <w:gridSpan w:val="4"/>
          </w:tcPr>
          <w:p w:rsidR="0027306C" w:rsidRPr="0027306C" w:rsidRDefault="0027306C" w:rsidP="0027306C">
            <w:pPr>
              <w:pStyle w:val="TableBlockOutdent"/>
            </w:pPr>
            <w:r>
              <w:rPr>
                <w:rtl/>
              </w:rPr>
              <w:t>"</w:t>
            </w:r>
            <w:r>
              <w:rPr>
                <w:rFonts w:hint="cs"/>
                <w:rtl/>
              </w:rPr>
              <w:t>"</w:t>
            </w:r>
            <w:r w:rsidRPr="0036051D">
              <w:rPr>
                <w:rtl/>
              </w:rPr>
              <w:t>אפיק השקעה מובטח תשואה"</w:t>
            </w:r>
            <w:r>
              <w:rPr>
                <w:rFonts w:hint="cs"/>
                <w:rtl/>
              </w:rPr>
              <w:t>, "קרן ותיקה שבהסדר", "קרן ותיקה שאינה בהסדר" ו-"קרן ותיקה מסלולית"</w:t>
            </w:r>
            <w:r>
              <w:rPr>
                <w:rtl/>
              </w:rPr>
              <w:t xml:space="preserve"> – כהגדרת</w:t>
            </w:r>
            <w:r>
              <w:rPr>
                <w:rFonts w:hint="cs"/>
                <w:rtl/>
              </w:rPr>
              <w:t>ן</w:t>
            </w:r>
            <w:r w:rsidRPr="0036051D">
              <w:rPr>
                <w:rtl/>
              </w:rPr>
              <w:t xml:space="preserve"> בסעיף 34ב לחוק קופות גמל</w:t>
            </w:r>
            <w:r>
              <w:rPr>
                <w:rFonts w:hint="cs"/>
                <w:rtl/>
              </w:rPr>
              <w:t>"</w:t>
            </w:r>
            <w:r w:rsidRPr="0036051D">
              <w:rPr>
                <w:rtl/>
              </w:rPr>
              <w:t>;</w:t>
            </w:r>
          </w:p>
        </w:tc>
      </w:tr>
      <w:tr w:rsidR="00C47BD0">
        <w:trPr>
          <w:cantSplit/>
          <w:trHeight w:val="60"/>
        </w:trPr>
        <w:tc>
          <w:tcPr>
            <w:tcW w:w="1871" w:type="dxa"/>
          </w:tcPr>
          <w:p w:rsidR="00C47BD0" w:rsidRDefault="00C47BD0">
            <w:pPr>
              <w:pStyle w:val="TableSideHeading"/>
            </w:pPr>
          </w:p>
        </w:tc>
        <w:tc>
          <w:tcPr>
            <w:tcW w:w="624" w:type="dxa"/>
          </w:tcPr>
          <w:p w:rsidR="00C47BD0" w:rsidRDefault="00C47BD0" w:rsidP="0027306C">
            <w:pPr>
              <w:pStyle w:val="TableText"/>
            </w:pPr>
          </w:p>
        </w:tc>
        <w:tc>
          <w:tcPr>
            <w:tcW w:w="624" w:type="dxa"/>
          </w:tcPr>
          <w:p w:rsidR="00C47BD0" w:rsidRDefault="00C47BD0">
            <w:pPr>
              <w:pStyle w:val="TableText"/>
            </w:pPr>
          </w:p>
        </w:tc>
        <w:tc>
          <w:tcPr>
            <w:tcW w:w="624" w:type="dxa"/>
          </w:tcPr>
          <w:p w:rsidR="00C47BD0" w:rsidRDefault="00C47BD0">
            <w:pPr>
              <w:pStyle w:val="TableText"/>
            </w:pPr>
          </w:p>
        </w:tc>
        <w:tc>
          <w:tcPr>
            <w:tcW w:w="5898" w:type="dxa"/>
            <w:gridSpan w:val="4"/>
          </w:tcPr>
          <w:p w:rsidR="00C47BD0" w:rsidRPr="00C47BD0" w:rsidRDefault="00C47BD0" w:rsidP="00C47BD0">
            <w:pPr>
              <w:pStyle w:val="TableBlockOutdent"/>
              <w:rPr>
                <w:rtl/>
              </w:rPr>
            </w:pPr>
            <w:r w:rsidRPr="00C47BD0">
              <w:rPr>
                <w:rFonts w:hint="cs"/>
                <w:rtl/>
              </w:rPr>
              <w:t>"חוק קופות גמל" – חוק הפיקוח על שירותים פיננסיים (קופות גמל), התשס"ה-2005;</w:t>
            </w:r>
          </w:p>
        </w:tc>
      </w:tr>
      <w:tr w:rsidR="0027306C">
        <w:trPr>
          <w:cantSplit/>
          <w:trHeight w:val="60"/>
        </w:trPr>
        <w:tc>
          <w:tcPr>
            <w:tcW w:w="1871" w:type="dxa"/>
          </w:tcPr>
          <w:p w:rsidR="0027306C" w:rsidRDefault="0027306C">
            <w:pPr>
              <w:pStyle w:val="TableSideHeading"/>
            </w:pPr>
          </w:p>
        </w:tc>
        <w:tc>
          <w:tcPr>
            <w:tcW w:w="624" w:type="dxa"/>
          </w:tcPr>
          <w:p w:rsidR="0027306C" w:rsidRDefault="0027306C" w:rsidP="0027306C">
            <w:pPr>
              <w:pStyle w:val="TableText"/>
            </w:pPr>
          </w:p>
        </w:tc>
        <w:tc>
          <w:tcPr>
            <w:tcW w:w="624" w:type="dxa"/>
          </w:tcPr>
          <w:p w:rsidR="0027306C" w:rsidRDefault="0027306C">
            <w:pPr>
              <w:pStyle w:val="TableText"/>
            </w:pPr>
          </w:p>
        </w:tc>
        <w:tc>
          <w:tcPr>
            <w:tcW w:w="624" w:type="dxa"/>
          </w:tcPr>
          <w:p w:rsidR="0027306C" w:rsidRDefault="0027306C">
            <w:pPr>
              <w:pStyle w:val="TableText"/>
            </w:pPr>
          </w:p>
        </w:tc>
        <w:tc>
          <w:tcPr>
            <w:tcW w:w="5898" w:type="dxa"/>
            <w:gridSpan w:val="4"/>
          </w:tcPr>
          <w:p w:rsidR="0027306C" w:rsidRPr="0027306C" w:rsidRDefault="0027306C" w:rsidP="00D173EB">
            <w:pPr>
              <w:pStyle w:val="TableBlockOutdent"/>
              <w:rPr>
                <w:rtl/>
              </w:rPr>
            </w:pPr>
            <w:r>
              <w:rPr>
                <w:rtl/>
              </w:rPr>
              <w:t>"</w:t>
            </w:r>
            <w:r w:rsidRPr="00594726">
              <w:rPr>
                <w:rFonts w:ascii="David" w:hAnsi="David" w:hint="cs"/>
                <w:sz w:val="26"/>
                <w:rtl/>
              </w:rPr>
              <w:t>משקיע</w:t>
            </w:r>
            <w:r>
              <w:rPr>
                <w:rFonts w:hint="cs"/>
                <w:rtl/>
              </w:rPr>
              <w:t xml:space="preserve"> מוסדי" </w:t>
            </w:r>
            <w:r>
              <w:rPr>
                <w:rtl/>
              </w:rPr>
              <w:t>–</w:t>
            </w:r>
            <w:r>
              <w:rPr>
                <w:rFonts w:hint="cs"/>
                <w:rtl/>
              </w:rPr>
              <w:t xml:space="preserve"> כהגדרתו בתקנות </w:t>
            </w:r>
            <w:r w:rsidR="00D173EB">
              <w:rPr>
                <w:rFonts w:hint="cs"/>
                <w:rtl/>
              </w:rPr>
              <w:t>ההשקעה;".</w:t>
            </w:r>
          </w:p>
        </w:tc>
      </w:tr>
      <w:tr w:rsidR="001D4A18">
        <w:trPr>
          <w:cantSplit/>
          <w:trHeight w:val="60"/>
        </w:trPr>
        <w:tc>
          <w:tcPr>
            <w:tcW w:w="1871" w:type="dxa"/>
          </w:tcPr>
          <w:p w:rsidR="001D4A18" w:rsidRDefault="001D4A18">
            <w:pPr>
              <w:pStyle w:val="TableSideHeading"/>
            </w:pPr>
          </w:p>
        </w:tc>
        <w:tc>
          <w:tcPr>
            <w:tcW w:w="624" w:type="dxa"/>
          </w:tcPr>
          <w:p w:rsidR="001D4A18" w:rsidRDefault="001D4A18">
            <w:pPr>
              <w:pStyle w:val="TableText"/>
            </w:pPr>
          </w:p>
        </w:tc>
        <w:tc>
          <w:tcPr>
            <w:tcW w:w="624" w:type="dxa"/>
          </w:tcPr>
          <w:p w:rsidR="001D4A18" w:rsidRDefault="001D4A18">
            <w:pPr>
              <w:pStyle w:val="TableText"/>
            </w:pPr>
          </w:p>
        </w:tc>
        <w:tc>
          <w:tcPr>
            <w:tcW w:w="6522" w:type="dxa"/>
            <w:gridSpan w:val="5"/>
          </w:tcPr>
          <w:p w:rsidR="001D4A18" w:rsidRDefault="001D4A18" w:rsidP="00DA5352">
            <w:pPr>
              <w:pStyle w:val="TableBlock"/>
              <w:numPr>
                <w:ilvl w:val="0"/>
                <w:numId w:val="6"/>
              </w:numPr>
              <w:tabs>
                <w:tab w:val="left" w:pos="624"/>
              </w:tabs>
            </w:pPr>
            <w:r>
              <w:rPr>
                <w:rFonts w:hint="cs"/>
                <w:rtl/>
              </w:rPr>
              <w:t>בהגדרה "ניירות ערך" ו"נייר ערך סחיר", במקום "</w:t>
            </w:r>
            <w:r w:rsidR="00C47BD0">
              <w:rPr>
                <w:rFonts w:hint="cs"/>
                <w:rtl/>
              </w:rPr>
              <w:t>ב</w:t>
            </w:r>
            <w:r>
              <w:rPr>
                <w:rFonts w:hint="cs"/>
                <w:rtl/>
              </w:rPr>
              <w:t xml:space="preserve">תקנות הפיקוח על שירותים פיננסיים (קופות גמל)(כללי השקעה החלים על גופים מוסדיים), התשע"ב-2012 (בתקנה זו </w:t>
            </w:r>
            <w:r>
              <w:rPr>
                <w:rtl/>
              </w:rPr>
              <w:t>–</w:t>
            </w:r>
            <w:r>
              <w:rPr>
                <w:rFonts w:hint="cs"/>
                <w:rtl/>
              </w:rPr>
              <w:t xml:space="preserve"> תקנות ההשקעה)"</w:t>
            </w:r>
            <w:r w:rsidR="00D173EB">
              <w:rPr>
                <w:rFonts w:hint="cs"/>
                <w:rtl/>
              </w:rPr>
              <w:t xml:space="preserve"> יבוא "</w:t>
            </w:r>
            <w:r w:rsidR="00C47BD0">
              <w:rPr>
                <w:rFonts w:hint="cs"/>
                <w:rtl/>
              </w:rPr>
              <w:t>ב</w:t>
            </w:r>
            <w:r w:rsidR="00D173EB">
              <w:rPr>
                <w:rFonts w:hint="cs"/>
                <w:rtl/>
              </w:rPr>
              <w:t>תקנות ההשקעה";</w:t>
            </w:r>
          </w:p>
        </w:tc>
      </w:tr>
      <w:tr w:rsidR="00D173EB">
        <w:trPr>
          <w:cantSplit/>
          <w:trHeight w:val="60"/>
        </w:trPr>
        <w:tc>
          <w:tcPr>
            <w:tcW w:w="1871" w:type="dxa"/>
          </w:tcPr>
          <w:p w:rsidR="00D173EB" w:rsidRDefault="00D173EB">
            <w:pPr>
              <w:pStyle w:val="TableSideHeading"/>
            </w:pPr>
          </w:p>
        </w:tc>
        <w:tc>
          <w:tcPr>
            <w:tcW w:w="624" w:type="dxa"/>
          </w:tcPr>
          <w:p w:rsidR="00D173EB" w:rsidRDefault="00D173EB" w:rsidP="00D173EB">
            <w:pPr>
              <w:pStyle w:val="TableText"/>
            </w:pPr>
          </w:p>
        </w:tc>
        <w:tc>
          <w:tcPr>
            <w:tcW w:w="624" w:type="dxa"/>
          </w:tcPr>
          <w:p w:rsidR="00D173EB" w:rsidRDefault="00D173EB">
            <w:pPr>
              <w:pStyle w:val="TableText"/>
            </w:pPr>
          </w:p>
        </w:tc>
        <w:tc>
          <w:tcPr>
            <w:tcW w:w="6522" w:type="dxa"/>
            <w:gridSpan w:val="5"/>
          </w:tcPr>
          <w:p w:rsidR="00D173EB" w:rsidRDefault="001942B6" w:rsidP="00DA5352">
            <w:pPr>
              <w:pStyle w:val="TableBlock"/>
              <w:numPr>
                <w:ilvl w:val="0"/>
                <w:numId w:val="6"/>
              </w:numPr>
              <w:tabs>
                <w:tab w:val="left" w:pos="624"/>
              </w:tabs>
              <w:rPr>
                <w:rtl/>
              </w:rPr>
            </w:pPr>
            <w:r>
              <w:rPr>
                <w:rFonts w:hint="cs"/>
                <w:rtl/>
              </w:rPr>
              <w:t>אחרי ההגדרה "נייר ערך לא סחיר" יבוא:</w:t>
            </w:r>
          </w:p>
        </w:tc>
      </w:tr>
      <w:tr w:rsidR="001942B6">
        <w:trPr>
          <w:cantSplit/>
          <w:trHeight w:val="60"/>
        </w:trPr>
        <w:tc>
          <w:tcPr>
            <w:tcW w:w="1871" w:type="dxa"/>
          </w:tcPr>
          <w:p w:rsidR="001942B6" w:rsidRDefault="001942B6">
            <w:pPr>
              <w:pStyle w:val="TableSideHeading"/>
            </w:pPr>
          </w:p>
        </w:tc>
        <w:tc>
          <w:tcPr>
            <w:tcW w:w="624" w:type="dxa"/>
          </w:tcPr>
          <w:p w:rsidR="001942B6" w:rsidRDefault="001942B6" w:rsidP="001942B6">
            <w:pPr>
              <w:pStyle w:val="TableText"/>
            </w:pPr>
          </w:p>
        </w:tc>
        <w:tc>
          <w:tcPr>
            <w:tcW w:w="624" w:type="dxa"/>
          </w:tcPr>
          <w:p w:rsidR="001942B6" w:rsidRDefault="001942B6">
            <w:pPr>
              <w:pStyle w:val="TableText"/>
            </w:pPr>
          </w:p>
        </w:tc>
        <w:tc>
          <w:tcPr>
            <w:tcW w:w="624" w:type="dxa"/>
          </w:tcPr>
          <w:p w:rsidR="001942B6" w:rsidRDefault="001942B6">
            <w:pPr>
              <w:pStyle w:val="TableText"/>
            </w:pPr>
          </w:p>
        </w:tc>
        <w:tc>
          <w:tcPr>
            <w:tcW w:w="5898" w:type="dxa"/>
            <w:gridSpan w:val="4"/>
          </w:tcPr>
          <w:p w:rsidR="001942B6" w:rsidRPr="00665A5D" w:rsidRDefault="001942B6" w:rsidP="003A21A3">
            <w:pPr>
              <w:pStyle w:val="TableBlockOutdent"/>
              <w:rPr>
                <w:rtl/>
              </w:rPr>
            </w:pPr>
            <w:r w:rsidRPr="00C47BD0">
              <w:rPr>
                <w:rtl/>
              </w:rPr>
              <w:t>"</w:t>
            </w:r>
            <w:r w:rsidRPr="00C47BD0">
              <w:rPr>
                <w:rFonts w:hint="cs"/>
                <w:rtl/>
              </w:rPr>
              <w:t xml:space="preserve">"עמלת ניהול חיצוני" </w:t>
            </w:r>
            <w:r w:rsidRPr="00C47BD0">
              <w:rPr>
                <w:rtl/>
              </w:rPr>
              <w:t>–</w:t>
            </w:r>
            <w:r w:rsidRPr="00C47BD0">
              <w:rPr>
                <w:rFonts w:hint="cs"/>
                <w:rtl/>
              </w:rPr>
              <w:t xml:space="preserve"> הוצאה הנובעת מכל אחד מאלה</w:t>
            </w:r>
            <w:r w:rsidRPr="00665A5D">
              <w:rPr>
                <w:rFonts w:hint="cs"/>
                <w:rtl/>
              </w:rPr>
              <w:t>:</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5274" w:type="dxa"/>
            <w:gridSpan w:val="3"/>
          </w:tcPr>
          <w:p w:rsidR="00911EB5" w:rsidRDefault="00911EB5" w:rsidP="00DA5352">
            <w:pPr>
              <w:pStyle w:val="TableBlock"/>
              <w:numPr>
                <w:ilvl w:val="0"/>
                <w:numId w:val="7"/>
              </w:numPr>
              <w:tabs>
                <w:tab w:val="left" w:pos="624"/>
              </w:tabs>
            </w:pPr>
            <w:r w:rsidRPr="00F90B63">
              <w:rPr>
                <w:rFonts w:hint="cs"/>
                <w:rtl/>
              </w:rPr>
              <w:t xml:space="preserve">השקעה של משקיע מוסדי בקרנות השקעה שאינן צד קשור או בקרן השקעה שהיא שותפות שהשותף הכללי בה אינו צד קשור, לרבות באמצעות חשבון המנוהל למשקיע </w:t>
            </w:r>
            <w:r w:rsidR="0069537D">
              <w:rPr>
                <w:rFonts w:hint="cs"/>
                <w:rtl/>
              </w:rPr>
              <w:t>ה</w:t>
            </w:r>
            <w:r w:rsidRPr="00F90B63">
              <w:rPr>
                <w:rFonts w:hint="cs"/>
                <w:rtl/>
              </w:rPr>
              <w:t xml:space="preserve">מוסדי המיועד להשקעה רק בקרנות השקעה (בהגדרה זו </w:t>
            </w:r>
            <w:r w:rsidRPr="00F90B63">
              <w:rPr>
                <w:rtl/>
              </w:rPr>
              <w:t>–</w:t>
            </w:r>
            <w:r w:rsidRPr="00F90B63">
              <w:rPr>
                <w:rFonts w:hint="cs"/>
                <w:rtl/>
              </w:rPr>
              <w:t xml:space="preserve"> חשבון ההשקעה) או בעד הניהול של חשבון ההשקעה, ובלבד שמנהל חשבון ההשקעה אינו צד קשור;</w:t>
            </w:r>
          </w:p>
        </w:tc>
      </w:tr>
      <w:tr w:rsidR="00911EB5">
        <w:trPr>
          <w:cantSplit/>
          <w:trHeight w:val="60"/>
        </w:trPr>
        <w:tc>
          <w:tcPr>
            <w:tcW w:w="1871" w:type="dxa"/>
          </w:tcPr>
          <w:p w:rsidR="00911EB5" w:rsidRDefault="00911EB5">
            <w:pPr>
              <w:pStyle w:val="TableSideHeading"/>
            </w:pPr>
          </w:p>
        </w:tc>
        <w:tc>
          <w:tcPr>
            <w:tcW w:w="624" w:type="dxa"/>
          </w:tcPr>
          <w:p w:rsidR="00911EB5" w:rsidRDefault="00911EB5" w:rsidP="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5274" w:type="dxa"/>
            <w:gridSpan w:val="3"/>
          </w:tcPr>
          <w:p w:rsidR="00911EB5" w:rsidRPr="00F90B63" w:rsidRDefault="00911EB5" w:rsidP="00DA5352">
            <w:pPr>
              <w:pStyle w:val="TableBlock"/>
              <w:numPr>
                <w:ilvl w:val="0"/>
                <w:numId w:val="7"/>
              </w:numPr>
              <w:tabs>
                <w:tab w:val="left" w:pos="624"/>
              </w:tabs>
              <w:rPr>
                <w:rtl/>
              </w:rPr>
            </w:pPr>
            <w:r>
              <w:rPr>
                <w:rFonts w:hint="cs"/>
                <w:rtl/>
              </w:rPr>
              <w:t>ניהול השקעות של משקיע מוסדי שהיא תשלום למנהל תיקים זר, ובלבד שהתקיימו שני אלה:</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Default="00911EB5" w:rsidP="00DA5352">
            <w:pPr>
              <w:pStyle w:val="TableBlock"/>
              <w:numPr>
                <w:ilvl w:val="0"/>
                <w:numId w:val="8"/>
              </w:numPr>
              <w:tabs>
                <w:tab w:val="left" w:pos="624"/>
              </w:tabs>
            </w:pPr>
            <w:r>
              <w:rPr>
                <w:rFonts w:hint="cs"/>
                <w:rtl/>
              </w:rPr>
              <w:t xml:space="preserve">כל השקעות </w:t>
            </w:r>
            <w:r w:rsidR="0069537D">
              <w:rPr>
                <w:rFonts w:hint="cs"/>
                <w:rtl/>
              </w:rPr>
              <w:t>ה</w:t>
            </w:r>
            <w:r>
              <w:rPr>
                <w:rFonts w:hint="cs"/>
                <w:rtl/>
              </w:rPr>
              <w:t xml:space="preserve">משקיע </w:t>
            </w:r>
            <w:r w:rsidR="0069537D">
              <w:rPr>
                <w:rFonts w:hint="cs"/>
                <w:rtl/>
              </w:rPr>
              <w:t>ה</w:t>
            </w:r>
            <w:r>
              <w:rPr>
                <w:rFonts w:hint="cs"/>
                <w:rtl/>
              </w:rPr>
              <w:t>מוסדי המנוהלות בידי מנהל התיקים הזר הן השקעות בנכסים שלא הונפקו במדינת ישראל ואינם נסחרים או מוחזקים בה;</w:t>
            </w:r>
          </w:p>
        </w:tc>
      </w:tr>
      <w:tr w:rsidR="00911EB5">
        <w:trPr>
          <w:cantSplit/>
          <w:trHeight w:val="60"/>
        </w:trPr>
        <w:tc>
          <w:tcPr>
            <w:tcW w:w="1871" w:type="dxa"/>
          </w:tcPr>
          <w:p w:rsidR="00911EB5" w:rsidRDefault="00911EB5">
            <w:pPr>
              <w:pStyle w:val="TableSideHeading"/>
            </w:pPr>
          </w:p>
        </w:tc>
        <w:tc>
          <w:tcPr>
            <w:tcW w:w="624" w:type="dxa"/>
          </w:tcPr>
          <w:p w:rsidR="00911EB5" w:rsidRDefault="00911EB5" w:rsidP="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Default="00911EB5" w:rsidP="00DA5352">
            <w:pPr>
              <w:pStyle w:val="TableBlock"/>
              <w:numPr>
                <w:ilvl w:val="0"/>
                <w:numId w:val="8"/>
              </w:numPr>
              <w:tabs>
                <w:tab w:val="left" w:pos="624"/>
              </w:tabs>
              <w:rPr>
                <w:rtl/>
              </w:rPr>
            </w:pPr>
            <w:r>
              <w:rPr>
                <w:rFonts w:hint="cs"/>
                <w:rtl/>
              </w:rPr>
              <w:t>מנהל התיקים אינו צד קשור;</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5274" w:type="dxa"/>
            <w:gridSpan w:val="3"/>
          </w:tcPr>
          <w:p w:rsidR="00911EB5" w:rsidRDefault="00911EB5" w:rsidP="00DA5352">
            <w:pPr>
              <w:pStyle w:val="TableBlock"/>
              <w:numPr>
                <w:ilvl w:val="0"/>
                <w:numId w:val="7"/>
              </w:numPr>
            </w:pPr>
            <w:r w:rsidRPr="007E4A6C">
              <w:rPr>
                <w:rtl/>
              </w:rPr>
              <w:t>ניהול השקעות של משקיע מוסדי שהיא תשלום לבעל רישיון מנהל תיקים, ובלבד שהתקיימו כל אלה:</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Default="00911EB5" w:rsidP="00DA5352">
            <w:pPr>
              <w:pStyle w:val="TableBlock"/>
              <w:numPr>
                <w:ilvl w:val="0"/>
                <w:numId w:val="9"/>
              </w:numPr>
              <w:tabs>
                <w:tab w:val="left" w:pos="624"/>
              </w:tabs>
            </w:pPr>
            <w:r>
              <w:rPr>
                <w:rFonts w:hint="cs"/>
                <w:rtl/>
              </w:rPr>
              <w:t xml:space="preserve">כל השקעות </w:t>
            </w:r>
            <w:r w:rsidR="0069537D">
              <w:rPr>
                <w:rFonts w:hint="cs"/>
                <w:rtl/>
              </w:rPr>
              <w:t>ה</w:t>
            </w:r>
            <w:r>
              <w:rPr>
                <w:rFonts w:hint="cs"/>
                <w:rtl/>
              </w:rPr>
              <w:t xml:space="preserve">משקיע </w:t>
            </w:r>
            <w:r w:rsidR="0069537D">
              <w:rPr>
                <w:rFonts w:hint="cs"/>
                <w:rtl/>
              </w:rPr>
              <w:t>ה</w:t>
            </w:r>
            <w:r>
              <w:rPr>
                <w:rFonts w:hint="cs"/>
                <w:rtl/>
              </w:rPr>
              <w:t xml:space="preserve">מוסדי </w:t>
            </w:r>
            <w:r w:rsidRPr="007E4A6C">
              <w:rPr>
                <w:rFonts w:hint="cs"/>
                <w:rtl/>
                <w:lang w:eastAsia="he-IL"/>
              </w:rPr>
              <w:t>המנוהלות בידי מנהל התיקים הן השקעות בנכסים שלא הונפקו במדינת ישראל ואינם נסחרים או מוחזקים בה;</w:t>
            </w:r>
          </w:p>
        </w:tc>
      </w:tr>
      <w:tr w:rsidR="00911EB5">
        <w:trPr>
          <w:cantSplit/>
          <w:trHeight w:val="60"/>
        </w:trPr>
        <w:tc>
          <w:tcPr>
            <w:tcW w:w="1871" w:type="dxa"/>
          </w:tcPr>
          <w:p w:rsidR="00911EB5" w:rsidRDefault="00911EB5">
            <w:pPr>
              <w:pStyle w:val="TableSideHeading"/>
            </w:pPr>
          </w:p>
        </w:tc>
        <w:tc>
          <w:tcPr>
            <w:tcW w:w="624" w:type="dxa"/>
          </w:tcPr>
          <w:p w:rsidR="00911EB5" w:rsidRDefault="00911EB5" w:rsidP="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Default="00911EB5" w:rsidP="00DA5352">
            <w:pPr>
              <w:pStyle w:val="TableBlock"/>
              <w:numPr>
                <w:ilvl w:val="0"/>
                <w:numId w:val="9"/>
              </w:numPr>
              <w:tabs>
                <w:tab w:val="left" w:pos="624"/>
              </w:tabs>
              <w:rPr>
                <w:rtl/>
              </w:rPr>
            </w:pPr>
            <w:r w:rsidRPr="007E4A6C">
              <w:rPr>
                <w:rtl/>
              </w:rPr>
              <w:t>75 אחוזים לפחות מן הנכסים המנוהלים בידי מנהל התיקים לכלל לקוחותיו מושקעים בנכסים שלא הונפקו במדינת ישראל ואינם נסחרים או מוחזקים בה;</w:t>
            </w:r>
          </w:p>
        </w:tc>
      </w:tr>
      <w:tr w:rsidR="00911EB5">
        <w:trPr>
          <w:cantSplit/>
          <w:trHeight w:val="60"/>
        </w:trPr>
        <w:tc>
          <w:tcPr>
            <w:tcW w:w="1871" w:type="dxa"/>
          </w:tcPr>
          <w:p w:rsidR="00911EB5" w:rsidRDefault="00911EB5">
            <w:pPr>
              <w:pStyle w:val="TableSideHeading"/>
            </w:pPr>
          </w:p>
        </w:tc>
        <w:tc>
          <w:tcPr>
            <w:tcW w:w="624" w:type="dxa"/>
          </w:tcPr>
          <w:p w:rsidR="00911EB5" w:rsidRDefault="00911EB5" w:rsidP="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Pr="007E4A6C" w:rsidRDefault="00911EB5" w:rsidP="00DA5352">
            <w:pPr>
              <w:pStyle w:val="TableBlock"/>
              <w:numPr>
                <w:ilvl w:val="0"/>
                <w:numId w:val="9"/>
              </w:numPr>
              <w:tabs>
                <w:tab w:val="left" w:pos="624"/>
              </w:tabs>
              <w:rPr>
                <w:rtl/>
              </w:rPr>
            </w:pPr>
            <w:r>
              <w:rPr>
                <w:rFonts w:hint="cs"/>
                <w:rtl/>
              </w:rPr>
              <w:t>מנהל התיקים אינו צד קשור;</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5274" w:type="dxa"/>
            <w:gridSpan w:val="3"/>
          </w:tcPr>
          <w:p w:rsidR="00911EB5" w:rsidRDefault="00911EB5" w:rsidP="00DA5352">
            <w:pPr>
              <w:pStyle w:val="TableBlock"/>
              <w:numPr>
                <w:ilvl w:val="0"/>
                <w:numId w:val="7"/>
              </w:numPr>
            </w:pPr>
            <w:r w:rsidRPr="00CC1A5E">
              <w:rPr>
                <w:rtl/>
              </w:rPr>
              <w:t>השקעה של משקיע מוסדי בקרן או בקרן חוץ (בפסקה זו – הקרן) שהיא תשלום למנהל הקרן או לקרן, ובלבד שהתקיימו שני אלה:</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Default="00911EB5" w:rsidP="00DA5352">
            <w:pPr>
              <w:pStyle w:val="TableBlock"/>
              <w:numPr>
                <w:ilvl w:val="0"/>
                <w:numId w:val="10"/>
              </w:numPr>
              <w:tabs>
                <w:tab w:val="left" w:pos="624"/>
              </w:tabs>
            </w:pPr>
            <w:r w:rsidRPr="005A2C49">
              <w:rPr>
                <w:rtl/>
              </w:rPr>
              <w:t>75 אחוזים לפחות מנכסי הקרן מושקעים בנכסים שלא הונפקו במדינת ישראל ואינם נסחרים או מוחזקים בה;</w:t>
            </w:r>
          </w:p>
        </w:tc>
      </w:tr>
      <w:tr w:rsidR="00911EB5">
        <w:trPr>
          <w:cantSplit/>
          <w:trHeight w:val="60"/>
        </w:trPr>
        <w:tc>
          <w:tcPr>
            <w:tcW w:w="1871" w:type="dxa"/>
          </w:tcPr>
          <w:p w:rsidR="00911EB5" w:rsidRDefault="00911EB5">
            <w:pPr>
              <w:pStyle w:val="TableSideHeading"/>
            </w:pPr>
          </w:p>
        </w:tc>
        <w:tc>
          <w:tcPr>
            <w:tcW w:w="624" w:type="dxa"/>
          </w:tcPr>
          <w:p w:rsidR="00911EB5" w:rsidRDefault="00911EB5" w:rsidP="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4650" w:type="dxa"/>
            <w:gridSpan w:val="2"/>
          </w:tcPr>
          <w:p w:rsidR="00911EB5" w:rsidRPr="005A2C49" w:rsidRDefault="00911EB5" w:rsidP="00DA5352">
            <w:pPr>
              <w:pStyle w:val="TableBlock"/>
              <w:numPr>
                <w:ilvl w:val="0"/>
                <w:numId w:val="10"/>
              </w:numPr>
              <w:tabs>
                <w:tab w:val="left" w:pos="624"/>
              </w:tabs>
              <w:rPr>
                <w:rtl/>
              </w:rPr>
            </w:pPr>
            <w:r w:rsidRPr="005A2C49">
              <w:rPr>
                <w:rtl/>
              </w:rPr>
              <w:t>מנהל הקרן אינו צד קשור;</w:t>
            </w:r>
          </w:p>
        </w:tc>
      </w:tr>
      <w:tr w:rsidR="00911EB5">
        <w:trPr>
          <w:cantSplit/>
          <w:trHeight w:val="60"/>
        </w:trPr>
        <w:tc>
          <w:tcPr>
            <w:tcW w:w="1871" w:type="dxa"/>
          </w:tcPr>
          <w:p w:rsidR="00911EB5" w:rsidRDefault="00911EB5">
            <w:pPr>
              <w:pStyle w:val="TableSideHeading"/>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624" w:type="dxa"/>
          </w:tcPr>
          <w:p w:rsidR="00911EB5" w:rsidRDefault="00911EB5">
            <w:pPr>
              <w:pStyle w:val="TableText"/>
            </w:pPr>
          </w:p>
        </w:tc>
        <w:tc>
          <w:tcPr>
            <w:tcW w:w="5274" w:type="dxa"/>
            <w:gridSpan w:val="3"/>
          </w:tcPr>
          <w:p w:rsidR="00911EB5" w:rsidRDefault="00C85803" w:rsidP="00DA5352">
            <w:pPr>
              <w:pStyle w:val="TableBlock"/>
              <w:numPr>
                <w:ilvl w:val="0"/>
                <w:numId w:val="7"/>
              </w:numPr>
              <w:tabs>
                <w:tab w:val="left" w:pos="624"/>
              </w:tabs>
            </w:pPr>
            <w:r w:rsidRPr="00E17070">
              <w:rPr>
                <w:rtl/>
              </w:rPr>
              <w:t xml:space="preserve">השקעה של משקיע מוסדי בקרן </w:t>
            </w:r>
            <w:r w:rsidR="003645FA">
              <w:rPr>
                <w:rFonts w:hint="cs"/>
                <w:rtl/>
              </w:rPr>
              <w:t>סל</w:t>
            </w:r>
            <w:r w:rsidR="003645FA" w:rsidRPr="00E17070">
              <w:rPr>
                <w:rtl/>
              </w:rPr>
              <w:t xml:space="preserve"> </w:t>
            </w:r>
            <w:r w:rsidRPr="00E17070">
              <w:rPr>
                <w:rtl/>
              </w:rPr>
              <w:t xml:space="preserve">ובלבד </w:t>
            </w:r>
            <w:r w:rsidR="003645FA">
              <w:rPr>
                <w:rFonts w:hint="cs"/>
                <w:rtl/>
              </w:rPr>
              <w:t>ש</w:t>
            </w:r>
            <w:r w:rsidRPr="00E17070">
              <w:rPr>
                <w:rtl/>
              </w:rPr>
              <w:t>מנהל הקרן, אינו צד קשור ושהתקיים אחד מאלה:</w:t>
            </w:r>
          </w:p>
        </w:tc>
      </w:tr>
      <w:tr w:rsidR="00C85803">
        <w:trPr>
          <w:cantSplit/>
          <w:trHeight w:val="60"/>
        </w:trPr>
        <w:tc>
          <w:tcPr>
            <w:tcW w:w="1871" w:type="dxa"/>
          </w:tcPr>
          <w:p w:rsidR="00C85803" w:rsidRDefault="00C85803">
            <w:pPr>
              <w:pStyle w:val="TableSideHeading"/>
            </w:pPr>
          </w:p>
        </w:tc>
        <w:tc>
          <w:tcPr>
            <w:tcW w:w="624" w:type="dxa"/>
          </w:tcPr>
          <w:p w:rsidR="00C85803" w:rsidRDefault="00C85803">
            <w:pPr>
              <w:pStyle w:val="TableText"/>
            </w:pPr>
          </w:p>
        </w:tc>
        <w:tc>
          <w:tcPr>
            <w:tcW w:w="624" w:type="dxa"/>
          </w:tcPr>
          <w:p w:rsidR="00C85803" w:rsidRDefault="00C85803">
            <w:pPr>
              <w:pStyle w:val="TableText"/>
            </w:pPr>
          </w:p>
        </w:tc>
        <w:tc>
          <w:tcPr>
            <w:tcW w:w="624" w:type="dxa"/>
          </w:tcPr>
          <w:p w:rsidR="00C85803" w:rsidRDefault="00C85803">
            <w:pPr>
              <w:pStyle w:val="TableText"/>
            </w:pPr>
          </w:p>
        </w:tc>
        <w:tc>
          <w:tcPr>
            <w:tcW w:w="624" w:type="dxa"/>
          </w:tcPr>
          <w:p w:rsidR="00C85803" w:rsidRDefault="00C85803">
            <w:pPr>
              <w:pStyle w:val="TableText"/>
            </w:pPr>
          </w:p>
        </w:tc>
        <w:tc>
          <w:tcPr>
            <w:tcW w:w="624" w:type="dxa"/>
          </w:tcPr>
          <w:p w:rsidR="00C85803" w:rsidRDefault="00C85803">
            <w:pPr>
              <w:pStyle w:val="TableText"/>
            </w:pPr>
          </w:p>
        </w:tc>
        <w:tc>
          <w:tcPr>
            <w:tcW w:w="4650" w:type="dxa"/>
            <w:gridSpan w:val="2"/>
          </w:tcPr>
          <w:p w:rsidR="00C85803" w:rsidRDefault="00C85803" w:rsidP="00DA5352">
            <w:pPr>
              <w:pStyle w:val="TableBlock"/>
              <w:numPr>
                <w:ilvl w:val="0"/>
                <w:numId w:val="11"/>
              </w:numPr>
              <w:tabs>
                <w:tab w:val="left" w:pos="624"/>
              </w:tabs>
            </w:pPr>
            <w:r w:rsidRPr="00DD5717">
              <w:rPr>
                <w:rtl/>
              </w:rPr>
              <w:t xml:space="preserve">75 אחוזים לפחות </w:t>
            </w:r>
            <w:r w:rsidR="003645FA">
              <w:rPr>
                <w:rFonts w:hint="cs"/>
                <w:rtl/>
              </w:rPr>
              <w:t xml:space="preserve">מנכסי </w:t>
            </w:r>
            <w:r w:rsidRPr="00DD5717">
              <w:rPr>
                <w:rtl/>
              </w:rPr>
              <w:t>הקרן יהיו לנכסים שלא הונפקו במדינת ישראל ואינם נסחרים או מוחזקים בה;</w:t>
            </w:r>
          </w:p>
        </w:tc>
      </w:tr>
      <w:tr w:rsidR="00C85803">
        <w:trPr>
          <w:cantSplit/>
          <w:trHeight w:val="60"/>
        </w:trPr>
        <w:tc>
          <w:tcPr>
            <w:tcW w:w="1871" w:type="dxa"/>
          </w:tcPr>
          <w:p w:rsidR="00C85803" w:rsidRDefault="00C85803">
            <w:pPr>
              <w:pStyle w:val="TableSideHeading"/>
            </w:pPr>
          </w:p>
        </w:tc>
        <w:tc>
          <w:tcPr>
            <w:tcW w:w="624" w:type="dxa"/>
          </w:tcPr>
          <w:p w:rsidR="00C85803" w:rsidRDefault="00C85803" w:rsidP="00C85803">
            <w:pPr>
              <w:pStyle w:val="TableText"/>
            </w:pPr>
          </w:p>
        </w:tc>
        <w:tc>
          <w:tcPr>
            <w:tcW w:w="624" w:type="dxa"/>
          </w:tcPr>
          <w:p w:rsidR="00C85803" w:rsidRDefault="00C85803">
            <w:pPr>
              <w:pStyle w:val="TableText"/>
            </w:pPr>
          </w:p>
        </w:tc>
        <w:tc>
          <w:tcPr>
            <w:tcW w:w="624" w:type="dxa"/>
          </w:tcPr>
          <w:p w:rsidR="00C85803" w:rsidRDefault="00C85803">
            <w:pPr>
              <w:pStyle w:val="TableText"/>
            </w:pPr>
          </w:p>
        </w:tc>
        <w:tc>
          <w:tcPr>
            <w:tcW w:w="624" w:type="dxa"/>
          </w:tcPr>
          <w:p w:rsidR="00C85803" w:rsidRDefault="00C85803">
            <w:pPr>
              <w:pStyle w:val="TableText"/>
            </w:pPr>
          </w:p>
        </w:tc>
        <w:tc>
          <w:tcPr>
            <w:tcW w:w="624" w:type="dxa"/>
          </w:tcPr>
          <w:p w:rsidR="00C85803" w:rsidRDefault="00C85803">
            <w:pPr>
              <w:pStyle w:val="TableText"/>
            </w:pPr>
          </w:p>
        </w:tc>
        <w:tc>
          <w:tcPr>
            <w:tcW w:w="4650" w:type="dxa"/>
            <w:gridSpan w:val="2"/>
          </w:tcPr>
          <w:p w:rsidR="00C85803" w:rsidRPr="00DD5717" w:rsidRDefault="00A22CF9" w:rsidP="00DA5352">
            <w:pPr>
              <w:pStyle w:val="TableBlock"/>
              <w:numPr>
                <w:ilvl w:val="0"/>
                <w:numId w:val="11"/>
              </w:numPr>
              <w:tabs>
                <w:tab w:val="left" w:pos="624"/>
              </w:tabs>
              <w:rPr>
                <w:rtl/>
              </w:rPr>
            </w:pPr>
            <w:r w:rsidRPr="00DD5717">
              <w:rPr>
                <w:rtl/>
              </w:rPr>
              <w:t xml:space="preserve">75 אחוזים לפחות </w:t>
            </w:r>
            <w:r w:rsidR="003645FA">
              <w:rPr>
                <w:rFonts w:hint="cs"/>
                <w:rtl/>
              </w:rPr>
              <w:t xml:space="preserve">מנכסי </w:t>
            </w:r>
            <w:r w:rsidRPr="00DD5717">
              <w:rPr>
                <w:rtl/>
              </w:rPr>
              <w:t>הקרן יהיו לנכסים שהונפקו במדינה לפי מדדים שעליהם יורה הממונה ובתנאים שיורה;</w:t>
            </w:r>
          </w:p>
        </w:tc>
      </w:tr>
      <w:tr w:rsidR="00A22CF9">
        <w:trPr>
          <w:cantSplit/>
          <w:trHeight w:val="60"/>
        </w:trPr>
        <w:tc>
          <w:tcPr>
            <w:tcW w:w="1871" w:type="dxa"/>
          </w:tcPr>
          <w:p w:rsidR="00A22CF9" w:rsidRDefault="00A22CF9">
            <w:pPr>
              <w:pStyle w:val="TableSideHeading"/>
            </w:pPr>
          </w:p>
        </w:tc>
        <w:tc>
          <w:tcPr>
            <w:tcW w:w="624" w:type="dxa"/>
          </w:tcPr>
          <w:p w:rsidR="00A22CF9" w:rsidRDefault="00A22CF9">
            <w:pPr>
              <w:pStyle w:val="TableText"/>
            </w:pPr>
          </w:p>
        </w:tc>
        <w:tc>
          <w:tcPr>
            <w:tcW w:w="624" w:type="dxa"/>
          </w:tcPr>
          <w:p w:rsidR="00A22CF9" w:rsidRDefault="00A22CF9">
            <w:pPr>
              <w:pStyle w:val="TableText"/>
            </w:pPr>
          </w:p>
        </w:tc>
        <w:tc>
          <w:tcPr>
            <w:tcW w:w="624" w:type="dxa"/>
          </w:tcPr>
          <w:p w:rsidR="00A22CF9" w:rsidRDefault="00A22CF9">
            <w:pPr>
              <w:pStyle w:val="TableText"/>
            </w:pPr>
          </w:p>
        </w:tc>
        <w:tc>
          <w:tcPr>
            <w:tcW w:w="624" w:type="dxa"/>
          </w:tcPr>
          <w:p w:rsidR="00A22CF9" w:rsidRDefault="00A22CF9">
            <w:pPr>
              <w:pStyle w:val="TableText"/>
            </w:pPr>
          </w:p>
        </w:tc>
        <w:tc>
          <w:tcPr>
            <w:tcW w:w="5274" w:type="dxa"/>
            <w:gridSpan w:val="3"/>
          </w:tcPr>
          <w:p w:rsidR="00A22CF9" w:rsidRDefault="00A22CF9" w:rsidP="00DA5352">
            <w:pPr>
              <w:pStyle w:val="TableBlock"/>
              <w:numPr>
                <w:ilvl w:val="0"/>
                <w:numId w:val="7"/>
              </w:numPr>
              <w:tabs>
                <w:tab w:val="left" w:pos="624"/>
              </w:tabs>
            </w:pPr>
            <w:r w:rsidRPr="00DD5717">
              <w:rPr>
                <w:rtl/>
              </w:rPr>
              <w:t>השקעה של משקיע מוסדי בקרן טכנולוגיה עילית כהגדרתה בחוק השקעות משותפות בנאמנות</w:t>
            </w:r>
            <w:r w:rsidR="003645FA">
              <w:rPr>
                <w:rFonts w:hint="cs"/>
                <w:rtl/>
              </w:rPr>
              <w:t>, ובלבד שמנהל הקרן אינו צד קשור</w:t>
            </w:r>
            <w:r w:rsidRPr="00DD5717">
              <w:rPr>
                <w:rtl/>
              </w:rPr>
              <w:t>.";</w:t>
            </w:r>
          </w:p>
        </w:tc>
      </w:tr>
      <w:tr w:rsidR="00A22CF9">
        <w:trPr>
          <w:cantSplit/>
          <w:trHeight w:val="60"/>
        </w:trPr>
        <w:tc>
          <w:tcPr>
            <w:tcW w:w="1871" w:type="dxa"/>
          </w:tcPr>
          <w:p w:rsidR="00A22CF9" w:rsidRDefault="00A22CF9">
            <w:pPr>
              <w:pStyle w:val="TableSideHeading"/>
            </w:pPr>
          </w:p>
        </w:tc>
        <w:tc>
          <w:tcPr>
            <w:tcW w:w="624" w:type="dxa"/>
          </w:tcPr>
          <w:p w:rsidR="00A22CF9" w:rsidRDefault="00A22CF9">
            <w:pPr>
              <w:pStyle w:val="TableText"/>
            </w:pPr>
          </w:p>
        </w:tc>
        <w:tc>
          <w:tcPr>
            <w:tcW w:w="624" w:type="dxa"/>
          </w:tcPr>
          <w:p w:rsidR="00A22CF9" w:rsidRDefault="00A22CF9">
            <w:pPr>
              <w:pStyle w:val="TableText"/>
            </w:pPr>
          </w:p>
        </w:tc>
        <w:tc>
          <w:tcPr>
            <w:tcW w:w="624" w:type="dxa"/>
          </w:tcPr>
          <w:p w:rsidR="00A22CF9" w:rsidRDefault="00A22CF9">
            <w:pPr>
              <w:pStyle w:val="TableText"/>
            </w:pPr>
          </w:p>
        </w:tc>
        <w:tc>
          <w:tcPr>
            <w:tcW w:w="5898" w:type="dxa"/>
            <w:gridSpan w:val="4"/>
          </w:tcPr>
          <w:p w:rsidR="00A22CF9" w:rsidRDefault="00A22CF9">
            <w:pPr>
              <w:pStyle w:val="TableBlock"/>
            </w:pPr>
            <w:r w:rsidRPr="00010BF9">
              <w:rPr>
                <w:rtl/>
              </w:rPr>
              <w:t>לעניין הגדרה זו –</w:t>
            </w:r>
          </w:p>
        </w:tc>
      </w:tr>
      <w:tr w:rsidR="00A22CF9">
        <w:trPr>
          <w:cantSplit/>
          <w:trHeight w:val="60"/>
        </w:trPr>
        <w:tc>
          <w:tcPr>
            <w:tcW w:w="1871" w:type="dxa"/>
          </w:tcPr>
          <w:p w:rsidR="00A22CF9" w:rsidRDefault="00A22CF9">
            <w:pPr>
              <w:pStyle w:val="TableSideHeading"/>
            </w:pPr>
          </w:p>
        </w:tc>
        <w:tc>
          <w:tcPr>
            <w:tcW w:w="624" w:type="dxa"/>
          </w:tcPr>
          <w:p w:rsidR="00A22CF9" w:rsidRDefault="00A22CF9" w:rsidP="00A22CF9">
            <w:pPr>
              <w:pStyle w:val="TableText"/>
            </w:pPr>
          </w:p>
        </w:tc>
        <w:tc>
          <w:tcPr>
            <w:tcW w:w="624" w:type="dxa"/>
          </w:tcPr>
          <w:p w:rsidR="00A22CF9" w:rsidRDefault="00A22CF9">
            <w:pPr>
              <w:pStyle w:val="TableText"/>
            </w:pPr>
          </w:p>
        </w:tc>
        <w:tc>
          <w:tcPr>
            <w:tcW w:w="624" w:type="dxa"/>
          </w:tcPr>
          <w:p w:rsidR="00A22CF9" w:rsidRDefault="00A22CF9">
            <w:pPr>
              <w:pStyle w:val="TableText"/>
            </w:pPr>
          </w:p>
        </w:tc>
        <w:tc>
          <w:tcPr>
            <w:tcW w:w="5898" w:type="dxa"/>
            <w:gridSpan w:val="4"/>
          </w:tcPr>
          <w:p w:rsidR="00A22CF9" w:rsidRPr="00A22CF9" w:rsidRDefault="00A22CF9" w:rsidP="00A22CF9">
            <w:pPr>
              <w:pStyle w:val="TableBlockOutdent"/>
              <w:rPr>
                <w:rtl/>
              </w:rPr>
            </w:pPr>
            <w:r>
              <w:rPr>
                <w:rtl/>
              </w:rPr>
              <w:t>"</w:t>
            </w:r>
            <w:r>
              <w:rPr>
                <w:rFonts w:hint="cs"/>
                <w:rtl/>
              </w:rPr>
              <w:t xml:space="preserve">"בעל </w:t>
            </w:r>
            <w:r w:rsidRPr="00010BF9">
              <w:rPr>
                <w:rtl/>
              </w:rPr>
              <w:t>רישיון", "מנהל תיקים" ו"ניהול תיקי השקעות" – כהגדרתם בחוק הסדרת העיסוק בייעוץ השקעות, בשיווק השקעות ובניהול תיקי השקעות, התשנ"ה-1995;</w:t>
            </w:r>
          </w:p>
        </w:tc>
      </w:tr>
      <w:tr w:rsidR="00A22CF9">
        <w:trPr>
          <w:cantSplit/>
          <w:trHeight w:val="60"/>
        </w:trPr>
        <w:tc>
          <w:tcPr>
            <w:tcW w:w="1871" w:type="dxa"/>
          </w:tcPr>
          <w:p w:rsidR="00A22CF9" w:rsidRDefault="00A22CF9">
            <w:pPr>
              <w:pStyle w:val="TableSideHeading"/>
            </w:pPr>
          </w:p>
        </w:tc>
        <w:tc>
          <w:tcPr>
            <w:tcW w:w="624" w:type="dxa"/>
          </w:tcPr>
          <w:p w:rsidR="00A22CF9" w:rsidRDefault="00A22CF9" w:rsidP="00A22CF9">
            <w:pPr>
              <w:pStyle w:val="TableText"/>
            </w:pPr>
          </w:p>
        </w:tc>
        <w:tc>
          <w:tcPr>
            <w:tcW w:w="624" w:type="dxa"/>
          </w:tcPr>
          <w:p w:rsidR="00A22CF9" w:rsidRDefault="00A22CF9">
            <w:pPr>
              <w:pStyle w:val="TableText"/>
            </w:pPr>
          </w:p>
        </w:tc>
        <w:tc>
          <w:tcPr>
            <w:tcW w:w="624" w:type="dxa"/>
          </w:tcPr>
          <w:p w:rsidR="00A22CF9" w:rsidRDefault="00A22CF9">
            <w:pPr>
              <w:pStyle w:val="TableText"/>
            </w:pPr>
          </w:p>
        </w:tc>
        <w:tc>
          <w:tcPr>
            <w:tcW w:w="5898" w:type="dxa"/>
            <w:gridSpan w:val="4"/>
          </w:tcPr>
          <w:p w:rsidR="00A22CF9" w:rsidRPr="00A22CF9" w:rsidRDefault="00A22CF9" w:rsidP="00A22CF9">
            <w:pPr>
              <w:pStyle w:val="TableBlockOutdent"/>
              <w:rPr>
                <w:rtl/>
              </w:rPr>
            </w:pPr>
            <w:r>
              <w:rPr>
                <w:rtl/>
              </w:rPr>
              <w:t>"</w:t>
            </w:r>
            <w:r w:rsidRPr="00010BF9">
              <w:rPr>
                <w:rtl/>
              </w:rPr>
              <w:t>חוק השקעות משותפות בנאמנות" – חוק השקעות משותפות בנאמנות, התשנ"ד-1994;</w:t>
            </w:r>
          </w:p>
        </w:tc>
      </w:tr>
      <w:tr w:rsidR="00A22CF9">
        <w:trPr>
          <w:cantSplit/>
          <w:trHeight w:val="60"/>
        </w:trPr>
        <w:tc>
          <w:tcPr>
            <w:tcW w:w="1871" w:type="dxa"/>
          </w:tcPr>
          <w:p w:rsidR="00A22CF9" w:rsidRDefault="00A22CF9">
            <w:pPr>
              <w:pStyle w:val="TableSideHeading"/>
            </w:pPr>
          </w:p>
        </w:tc>
        <w:tc>
          <w:tcPr>
            <w:tcW w:w="624" w:type="dxa"/>
          </w:tcPr>
          <w:p w:rsidR="00A22CF9" w:rsidRDefault="00A22CF9" w:rsidP="00A22CF9">
            <w:pPr>
              <w:pStyle w:val="TableText"/>
            </w:pPr>
          </w:p>
        </w:tc>
        <w:tc>
          <w:tcPr>
            <w:tcW w:w="624" w:type="dxa"/>
          </w:tcPr>
          <w:p w:rsidR="00A22CF9" w:rsidRDefault="00A22CF9">
            <w:pPr>
              <w:pStyle w:val="TableText"/>
            </w:pPr>
          </w:p>
        </w:tc>
        <w:tc>
          <w:tcPr>
            <w:tcW w:w="624" w:type="dxa"/>
          </w:tcPr>
          <w:p w:rsidR="00A22CF9" w:rsidRDefault="00A22CF9">
            <w:pPr>
              <w:pStyle w:val="TableText"/>
            </w:pPr>
          </w:p>
        </w:tc>
        <w:tc>
          <w:tcPr>
            <w:tcW w:w="5898" w:type="dxa"/>
            <w:gridSpan w:val="4"/>
          </w:tcPr>
          <w:p w:rsidR="00A22CF9" w:rsidRPr="00A22CF9" w:rsidRDefault="00A22CF9" w:rsidP="00A22CF9">
            <w:pPr>
              <w:pStyle w:val="TableBlockOutdent"/>
              <w:rPr>
                <w:rtl/>
              </w:rPr>
            </w:pPr>
            <w:r>
              <w:rPr>
                <w:rtl/>
              </w:rPr>
              <w:t>"</w:t>
            </w:r>
            <w:r w:rsidRPr="00010BF9">
              <w:rPr>
                <w:rtl/>
              </w:rPr>
              <w:t>מנהל תיקים זר" – מי שרשאי לעסוק בניהול תיקי השקעות במדינה מחוץ לישראל לפי הדין החל באותה מדינה ואינו בעל רישיון מנהל תיקים;</w:t>
            </w:r>
          </w:p>
        </w:tc>
      </w:tr>
      <w:tr w:rsidR="00A22CF9">
        <w:trPr>
          <w:cantSplit/>
          <w:trHeight w:val="60"/>
        </w:trPr>
        <w:tc>
          <w:tcPr>
            <w:tcW w:w="1871" w:type="dxa"/>
          </w:tcPr>
          <w:p w:rsidR="00A22CF9" w:rsidRDefault="00A22CF9" w:rsidP="00A22CF9">
            <w:pPr>
              <w:pStyle w:val="TableSideHeading"/>
            </w:pPr>
          </w:p>
        </w:tc>
        <w:tc>
          <w:tcPr>
            <w:tcW w:w="624" w:type="dxa"/>
          </w:tcPr>
          <w:p w:rsidR="00A22CF9" w:rsidRDefault="00A22CF9" w:rsidP="00A22CF9">
            <w:pPr>
              <w:pStyle w:val="TableText"/>
            </w:pPr>
          </w:p>
        </w:tc>
        <w:tc>
          <w:tcPr>
            <w:tcW w:w="624" w:type="dxa"/>
          </w:tcPr>
          <w:p w:rsidR="00A22CF9" w:rsidRDefault="00A22CF9" w:rsidP="00A22CF9">
            <w:pPr>
              <w:pStyle w:val="TableText"/>
            </w:pPr>
          </w:p>
        </w:tc>
        <w:tc>
          <w:tcPr>
            <w:tcW w:w="624" w:type="dxa"/>
          </w:tcPr>
          <w:p w:rsidR="00A22CF9" w:rsidRDefault="00A22CF9" w:rsidP="00A22CF9">
            <w:pPr>
              <w:pStyle w:val="TableText"/>
            </w:pPr>
          </w:p>
        </w:tc>
        <w:tc>
          <w:tcPr>
            <w:tcW w:w="5898" w:type="dxa"/>
            <w:gridSpan w:val="4"/>
          </w:tcPr>
          <w:p w:rsidR="00A22CF9" w:rsidRPr="00A22CF9" w:rsidRDefault="00A22CF9" w:rsidP="00A22CF9">
            <w:pPr>
              <w:pStyle w:val="TableBlockOutdent"/>
              <w:rPr>
                <w:rtl/>
              </w:rPr>
            </w:pPr>
            <w:r w:rsidRPr="00010BF9">
              <w:rPr>
                <w:rtl/>
              </w:rPr>
              <w:t>"קרן"</w:t>
            </w:r>
            <w:r>
              <w:rPr>
                <w:rFonts w:hint="cs"/>
                <w:rtl/>
              </w:rPr>
              <w:t xml:space="preserve"> </w:t>
            </w:r>
            <w:r w:rsidR="003645FA">
              <w:rPr>
                <w:rFonts w:hint="cs"/>
                <w:rtl/>
              </w:rPr>
              <w:t>ו-"קרן סל"</w:t>
            </w:r>
            <w:r w:rsidRPr="00010BF9">
              <w:rPr>
                <w:rtl/>
              </w:rPr>
              <w:t>– כהגדרת</w:t>
            </w:r>
            <w:r w:rsidR="003645FA">
              <w:rPr>
                <w:rFonts w:hint="cs"/>
                <w:rtl/>
              </w:rPr>
              <w:t>ן</w:t>
            </w:r>
            <w:r w:rsidRPr="00010BF9">
              <w:rPr>
                <w:rtl/>
              </w:rPr>
              <w:t xml:space="preserve"> בחוק השקעות משותפות בנאמנות;</w:t>
            </w:r>
          </w:p>
        </w:tc>
      </w:tr>
      <w:tr w:rsidR="00A22CF9">
        <w:trPr>
          <w:cantSplit/>
          <w:trHeight w:val="60"/>
        </w:trPr>
        <w:tc>
          <w:tcPr>
            <w:tcW w:w="1871" w:type="dxa"/>
          </w:tcPr>
          <w:p w:rsidR="00A22CF9" w:rsidRDefault="00A22CF9" w:rsidP="00A22CF9">
            <w:pPr>
              <w:pStyle w:val="TableSideHeading"/>
            </w:pPr>
          </w:p>
        </w:tc>
        <w:tc>
          <w:tcPr>
            <w:tcW w:w="624" w:type="dxa"/>
          </w:tcPr>
          <w:p w:rsidR="00A22CF9" w:rsidRDefault="00A22CF9" w:rsidP="00A22CF9">
            <w:pPr>
              <w:pStyle w:val="TableText"/>
            </w:pPr>
          </w:p>
        </w:tc>
        <w:tc>
          <w:tcPr>
            <w:tcW w:w="624" w:type="dxa"/>
          </w:tcPr>
          <w:p w:rsidR="00A22CF9" w:rsidRDefault="00A22CF9" w:rsidP="00A22CF9">
            <w:pPr>
              <w:pStyle w:val="TableText"/>
            </w:pPr>
          </w:p>
        </w:tc>
        <w:tc>
          <w:tcPr>
            <w:tcW w:w="624" w:type="dxa"/>
          </w:tcPr>
          <w:p w:rsidR="00A22CF9" w:rsidRDefault="00A22CF9" w:rsidP="00A22CF9">
            <w:pPr>
              <w:pStyle w:val="TableText"/>
            </w:pPr>
          </w:p>
        </w:tc>
        <w:tc>
          <w:tcPr>
            <w:tcW w:w="5898" w:type="dxa"/>
            <w:gridSpan w:val="4"/>
          </w:tcPr>
          <w:p w:rsidR="00A22CF9" w:rsidRPr="00A22CF9" w:rsidRDefault="00A22CF9" w:rsidP="00A22CF9">
            <w:pPr>
              <w:pStyle w:val="TableBlockOutdent"/>
              <w:rPr>
                <w:rtl/>
              </w:rPr>
            </w:pPr>
            <w:r>
              <w:rPr>
                <w:rtl/>
              </w:rPr>
              <w:t>"</w:t>
            </w:r>
            <w:r w:rsidRPr="00010BF9">
              <w:rPr>
                <w:rtl/>
              </w:rPr>
              <w:t>קרן חוץ" – כהגדרתה בסעיף 113א לחוק השקעות משותפות בנאמנות;</w:t>
            </w:r>
            <w:r>
              <w:rPr>
                <w:rFonts w:hint="cs"/>
                <w:rtl/>
              </w:rPr>
              <w:t>";"</w:t>
            </w:r>
            <w:r w:rsidR="007F46B7">
              <w:rPr>
                <w:rFonts w:hint="cs"/>
                <w:rtl/>
              </w:rPr>
              <w:t>.</w:t>
            </w:r>
          </w:p>
        </w:tc>
      </w:tr>
      <w:tr w:rsidR="003D7F7C">
        <w:trPr>
          <w:cantSplit/>
          <w:trHeight w:val="60"/>
        </w:trPr>
        <w:tc>
          <w:tcPr>
            <w:tcW w:w="1871" w:type="dxa"/>
          </w:tcPr>
          <w:p w:rsidR="003D7F7C" w:rsidRDefault="003D7F7C">
            <w:pPr>
              <w:pStyle w:val="TableSideHeading"/>
            </w:pPr>
          </w:p>
        </w:tc>
        <w:tc>
          <w:tcPr>
            <w:tcW w:w="624" w:type="dxa"/>
          </w:tcPr>
          <w:p w:rsidR="003D7F7C" w:rsidRDefault="003D7F7C">
            <w:pPr>
              <w:pStyle w:val="TableText"/>
            </w:pPr>
          </w:p>
        </w:tc>
        <w:tc>
          <w:tcPr>
            <w:tcW w:w="624" w:type="dxa"/>
          </w:tcPr>
          <w:p w:rsidR="003D7F7C" w:rsidRDefault="003D7F7C">
            <w:pPr>
              <w:pStyle w:val="TableText"/>
            </w:pPr>
          </w:p>
        </w:tc>
        <w:tc>
          <w:tcPr>
            <w:tcW w:w="6522" w:type="dxa"/>
            <w:gridSpan w:val="5"/>
          </w:tcPr>
          <w:p w:rsidR="003D7F7C" w:rsidRDefault="003D7F7C" w:rsidP="00DA5352">
            <w:pPr>
              <w:pStyle w:val="TableBlock"/>
              <w:numPr>
                <w:ilvl w:val="0"/>
                <w:numId w:val="6"/>
              </w:numPr>
              <w:tabs>
                <w:tab w:val="left" w:pos="624"/>
              </w:tabs>
            </w:pPr>
            <w:r>
              <w:rPr>
                <w:rFonts w:hint="cs"/>
                <w:rtl/>
              </w:rPr>
              <w:t>אחרי ההגדרה "קרן השקעה" יבוא:</w:t>
            </w:r>
          </w:p>
        </w:tc>
      </w:tr>
      <w:tr w:rsidR="003D7F7C">
        <w:trPr>
          <w:cantSplit/>
          <w:trHeight w:val="60"/>
        </w:trPr>
        <w:tc>
          <w:tcPr>
            <w:tcW w:w="1871" w:type="dxa"/>
          </w:tcPr>
          <w:p w:rsidR="003D7F7C" w:rsidRDefault="003D7F7C">
            <w:pPr>
              <w:pStyle w:val="TableSideHeading"/>
            </w:pPr>
          </w:p>
        </w:tc>
        <w:tc>
          <w:tcPr>
            <w:tcW w:w="624" w:type="dxa"/>
          </w:tcPr>
          <w:p w:rsidR="003D7F7C" w:rsidRDefault="003D7F7C">
            <w:pPr>
              <w:pStyle w:val="TableText"/>
            </w:pPr>
          </w:p>
        </w:tc>
        <w:tc>
          <w:tcPr>
            <w:tcW w:w="624" w:type="dxa"/>
          </w:tcPr>
          <w:p w:rsidR="003D7F7C" w:rsidRDefault="003D7F7C">
            <w:pPr>
              <w:pStyle w:val="TableText"/>
            </w:pPr>
          </w:p>
        </w:tc>
        <w:tc>
          <w:tcPr>
            <w:tcW w:w="624" w:type="dxa"/>
          </w:tcPr>
          <w:p w:rsidR="003D7F7C" w:rsidRDefault="003D7F7C">
            <w:pPr>
              <w:pStyle w:val="TableText"/>
            </w:pPr>
          </w:p>
        </w:tc>
        <w:tc>
          <w:tcPr>
            <w:tcW w:w="5898" w:type="dxa"/>
            <w:gridSpan w:val="4"/>
          </w:tcPr>
          <w:p w:rsidR="003D7F7C" w:rsidRPr="00665A5D" w:rsidRDefault="003D7F7C" w:rsidP="00475A8F">
            <w:pPr>
              <w:pStyle w:val="TableBlockOutdent"/>
            </w:pPr>
            <w:r w:rsidRPr="00475A8F">
              <w:rPr>
                <w:rtl/>
              </w:rPr>
              <w:t xml:space="preserve">"תקנות ההשקעה" </w:t>
            </w:r>
            <w:r w:rsidR="00D45FBF" w:rsidRPr="00010BF9">
              <w:rPr>
                <w:rtl/>
              </w:rPr>
              <w:t xml:space="preserve">– </w:t>
            </w:r>
            <w:r w:rsidRPr="00475A8F">
              <w:rPr>
                <w:rFonts w:hint="eastAsia"/>
                <w:rtl/>
              </w:rPr>
              <w:t>תקנות</w:t>
            </w:r>
            <w:r w:rsidRPr="00475A8F">
              <w:rPr>
                <w:rtl/>
              </w:rPr>
              <w:t xml:space="preserve"> </w:t>
            </w:r>
            <w:r w:rsidRPr="00475A8F">
              <w:rPr>
                <w:rFonts w:hint="eastAsia"/>
                <w:rtl/>
              </w:rPr>
              <w:t>הפיקוח</w:t>
            </w:r>
            <w:r w:rsidRPr="00475A8F">
              <w:rPr>
                <w:rtl/>
              </w:rPr>
              <w:t xml:space="preserve"> </w:t>
            </w:r>
            <w:r w:rsidRPr="00475A8F">
              <w:rPr>
                <w:rFonts w:hint="eastAsia"/>
                <w:rtl/>
              </w:rPr>
              <w:t>על</w:t>
            </w:r>
            <w:r w:rsidRPr="00475A8F">
              <w:rPr>
                <w:rtl/>
              </w:rPr>
              <w:t xml:space="preserve"> </w:t>
            </w:r>
            <w:r w:rsidRPr="00475A8F">
              <w:rPr>
                <w:rFonts w:hint="eastAsia"/>
                <w:rtl/>
              </w:rPr>
              <w:t>שירותים</w:t>
            </w:r>
            <w:r w:rsidRPr="00475A8F">
              <w:rPr>
                <w:rtl/>
              </w:rPr>
              <w:t xml:space="preserve"> </w:t>
            </w:r>
            <w:r w:rsidRPr="00475A8F">
              <w:rPr>
                <w:rFonts w:hint="eastAsia"/>
                <w:rtl/>
              </w:rPr>
              <w:t>פיננסיים</w:t>
            </w:r>
            <w:r w:rsidRPr="00475A8F">
              <w:rPr>
                <w:rtl/>
              </w:rPr>
              <w:t xml:space="preserve"> (קופות </w:t>
            </w:r>
            <w:r w:rsidRPr="00475A8F">
              <w:rPr>
                <w:rFonts w:hint="eastAsia"/>
                <w:rtl/>
              </w:rPr>
              <w:t>גמל</w:t>
            </w:r>
            <w:r w:rsidRPr="00475A8F">
              <w:rPr>
                <w:rtl/>
              </w:rPr>
              <w:t xml:space="preserve">) (כללי </w:t>
            </w:r>
            <w:r w:rsidRPr="00475A8F">
              <w:rPr>
                <w:rFonts w:hint="eastAsia"/>
                <w:rtl/>
              </w:rPr>
              <w:t>השקעה</w:t>
            </w:r>
            <w:r w:rsidRPr="00475A8F">
              <w:rPr>
                <w:rtl/>
              </w:rPr>
              <w:t xml:space="preserve"> </w:t>
            </w:r>
            <w:r w:rsidRPr="00475A8F">
              <w:rPr>
                <w:rFonts w:hint="eastAsia"/>
                <w:rtl/>
              </w:rPr>
              <w:t>החלים</w:t>
            </w:r>
            <w:r w:rsidRPr="00475A8F">
              <w:rPr>
                <w:rtl/>
              </w:rPr>
              <w:t xml:space="preserve"> </w:t>
            </w:r>
            <w:r w:rsidRPr="00475A8F">
              <w:rPr>
                <w:rFonts w:hint="eastAsia"/>
                <w:rtl/>
              </w:rPr>
              <w:t>על</w:t>
            </w:r>
            <w:r w:rsidRPr="00475A8F">
              <w:rPr>
                <w:rtl/>
              </w:rPr>
              <w:t xml:space="preserve"> </w:t>
            </w:r>
            <w:r w:rsidRPr="00475A8F">
              <w:rPr>
                <w:rFonts w:hint="eastAsia"/>
                <w:rtl/>
              </w:rPr>
              <w:t>גופים</w:t>
            </w:r>
            <w:r w:rsidRPr="00475A8F">
              <w:rPr>
                <w:rtl/>
              </w:rPr>
              <w:t xml:space="preserve"> </w:t>
            </w:r>
            <w:r w:rsidRPr="00475A8F">
              <w:rPr>
                <w:rFonts w:hint="eastAsia"/>
                <w:rtl/>
              </w:rPr>
              <w:t>מוסדיים</w:t>
            </w:r>
            <w:r w:rsidRPr="00475A8F">
              <w:rPr>
                <w:rtl/>
              </w:rPr>
              <w:t xml:space="preserve">), </w:t>
            </w:r>
            <w:r w:rsidRPr="00475A8F">
              <w:rPr>
                <w:rFonts w:hint="eastAsia"/>
                <w:rtl/>
              </w:rPr>
              <w:t>התשע</w:t>
            </w:r>
            <w:r w:rsidRPr="00475A8F">
              <w:rPr>
                <w:rtl/>
              </w:rPr>
              <w:t>"ב-2012;</w:t>
            </w:r>
          </w:p>
        </w:tc>
      </w:tr>
      <w:tr w:rsidR="004A0AEA">
        <w:trPr>
          <w:cantSplit/>
          <w:trHeight w:val="60"/>
        </w:trPr>
        <w:tc>
          <w:tcPr>
            <w:tcW w:w="1871" w:type="dxa"/>
          </w:tcPr>
          <w:p w:rsidR="004A0AEA" w:rsidRDefault="004A0AEA" w:rsidP="001F591F">
            <w:pPr>
              <w:pStyle w:val="TableSideHeading"/>
              <w:keepLines w:val="0"/>
            </w:pPr>
            <w:bookmarkStart w:id="26" w:name="_Toc100499815"/>
            <w:bookmarkStart w:id="27" w:name="_Toc100500687"/>
            <w:r>
              <w:rPr>
                <w:rFonts w:hint="cs"/>
                <w:rtl/>
              </w:rPr>
              <w:t>תיקון תקנה 2</w:t>
            </w:r>
            <w:bookmarkEnd w:id="26"/>
            <w:bookmarkEnd w:id="27"/>
          </w:p>
        </w:tc>
        <w:tc>
          <w:tcPr>
            <w:tcW w:w="624" w:type="dxa"/>
          </w:tcPr>
          <w:p w:rsidR="004A0AEA" w:rsidRDefault="004A0AEA" w:rsidP="004A0AEA">
            <w:pPr>
              <w:pStyle w:val="TableText"/>
              <w:keepLines w:val="0"/>
              <w:numPr>
                <w:ilvl w:val="0"/>
                <w:numId w:val="3"/>
              </w:numPr>
            </w:pPr>
          </w:p>
        </w:tc>
        <w:tc>
          <w:tcPr>
            <w:tcW w:w="7146" w:type="dxa"/>
            <w:gridSpan w:val="6"/>
          </w:tcPr>
          <w:p w:rsidR="004A0AEA" w:rsidRPr="00C34DE2" w:rsidRDefault="00814125" w:rsidP="001F591F">
            <w:pPr>
              <w:pStyle w:val="TableBlock"/>
              <w:keepLines w:val="0"/>
            </w:pPr>
            <w:r>
              <w:rPr>
                <w:rFonts w:hint="cs"/>
                <w:rtl/>
              </w:rPr>
              <w:t xml:space="preserve">בתקנה 2 לתקנות העיקריות </w:t>
            </w:r>
            <w:r w:rsidRPr="00010BF9">
              <w:rPr>
                <w:rtl/>
              </w:rPr>
              <w:t>–</w:t>
            </w:r>
          </w:p>
        </w:tc>
      </w:tr>
      <w:tr w:rsidR="00EE1965">
        <w:trPr>
          <w:cantSplit/>
          <w:trHeight w:val="60"/>
        </w:trPr>
        <w:tc>
          <w:tcPr>
            <w:tcW w:w="1871" w:type="dxa"/>
          </w:tcPr>
          <w:p w:rsidR="00EE1965" w:rsidRDefault="00EE1965">
            <w:pPr>
              <w:pStyle w:val="TableSideHeading"/>
            </w:pPr>
          </w:p>
        </w:tc>
        <w:tc>
          <w:tcPr>
            <w:tcW w:w="624" w:type="dxa"/>
          </w:tcPr>
          <w:p w:rsidR="00EE1965" w:rsidRDefault="00EE1965">
            <w:pPr>
              <w:pStyle w:val="TableText"/>
            </w:pPr>
          </w:p>
        </w:tc>
        <w:tc>
          <w:tcPr>
            <w:tcW w:w="624" w:type="dxa"/>
          </w:tcPr>
          <w:p w:rsidR="00EE1965" w:rsidRDefault="00EE1965">
            <w:pPr>
              <w:pStyle w:val="TableText"/>
            </w:pPr>
          </w:p>
        </w:tc>
        <w:tc>
          <w:tcPr>
            <w:tcW w:w="6522" w:type="dxa"/>
            <w:gridSpan w:val="5"/>
          </w:tcPr>
          <w:p w:rsidR="00EE1965" w:rsidRDefault="00EE1965" w:rsidP="00DA5352">
            <w:pPr>
              <w:pStyle w:val="TableBlock"/>
              <w:numPr>
                <w:ilvl w:val="0"/>
                <w:numId w:val="12"/>
              </w:numPr>
              <w:tabs>
                <w:tab w:val="left" w:pos="624"/>
              </w:tabs>
            </w:pPr>
            <w:r>
              <w:rPr>
                <w:rFonts w:hint="cs"/>
                <w:rtl/>
              </w:rPr>
              <w:t>האמור בה יסומן "(א)", ובה:</w:t>
            </w:r>
          </w:p>
        </w:tc>
      </w:tr>
      <w:tr w:rsidR="00EE1965">
        <w:trPr>
          <w:cantSplit/>
          <w:trHeight w:val="60"/>
        </w:trPr>
        <w:tc>
          <w:tcPr>
            <w:tcW w:w="1871" w:type="dxa"/>
          </w:tcPr>
          <w:p w:rsidR="00EE1965" w:rsidRDefault="00EE1965">
            <w:pPr>
              <w:pStyle w:val="TableSideHeading"/>
            </w:pPr>
          </w:p>
        </w:tc>
        <w:tc>
          <w:tcPr>
            <w:tcW w:w="624" w:type="dxa"/>
          </w:tcPr>
          <w:p w:rsidR="00EE1965" w:rsidRDefault="00EE1965">
            <w:pPr>
              <w:pStyle w:val="TableText"/>
            </w:pPr>
          </w:p>
        </w:tc>
        <w:tc>
          <w:tcPr>
            <w:tcW w:w="624" w:type="dxa"/>
          </w:tcPr>
          <w:p w:rsidR="00EE1965" w:rsidRDefault="00EE1965">
            <w:pPr>
              <w:pStyle w:val="TableText"/>
            </w:pPr>
          </w:p>
        </w:tc>
        <w:tc>
          <w:tcPr>
            <w:tcW w:w="624" w:type="dxa"/>
          </w:tcPr>
          <w:p w:rsidR="00EE1965" w:rsidRDefault="00EE1965">
            <w:pPr>
              <w:pStyle w:val="TableText"/>
            </w:pPr>
          </w:p>
        </w:tc>
        <w:tc>
          <w:tcPr>
            <w:tcW w:w="5898" w:type="dxa"/>
            <w:gridSpan w:val="4"/>
          </w:tcPr>
          <w:p w:rsidR="00EE1965" w:rsidRDefault="00EE1965" w:rsidP="00DA5352">
            <w:pPr>
              <w:pStyle w:val="TableBlock"/>
              <w:numPr>
                <w:ilvl w:val="0"/>
                <w:numId w:val="13"/>
              </w:numPr>
              <w:tabs>
                <w:tab w:val="left" w:pos="624"/>
              </w:tabs>
            </w:pPr>
            <w:r>
              <w:rPr>
                <w:rFonts w:hint="cs"/>
                <w:rtl/>
              </w:rPr>
              <w:t>ברישה</w:t>
            </w:r>
            <w:r w:rsidR="00CC7EFE" w:rsidRPr="00CC7EFE">
              <w:rPr>
                <w:rFonts w:ascii="Hadasa Roso SL" w:eastAsia="MS Mincho" w:hAnsi="Hadasa Roso SL" w:cs="Hadasa Roso SL" w:hint="cs"/>
                <w:snapToGrid/>
                <w:spacing w:val="1"/>
                <w:sz w:val="17"/>
                <w:szCs w:val="17"/>
                <w:rtl/>
              </w:rPr>
              <w:t xml:space="preserve"> </w:t>
            </w:r>
            <w:r w:rsidR="00CC7EFE" w:rsidRPr="00CC7EFE">
              <w:rPr>
                <w:rFonts w:hint="cs"/>
                <w:rtl/>
              </w:rPr>
              <w:t>ובפסקאות (3),</w:t>
            </w:r>
            <w:r w:rsidR="004E2A6C">
              <w:rPr>
                <w:rFonts w:hint="cs"/>
                <w:rtl/>
              </w:rPr>
              <w:t xml:space="preserve"> </w:t>
            </w:r>
            <w:r w:rsidR="00CC7EFE" w:rsidRPr="00CC7EFE">
              <w:rPr>
                <w:rFonts w:hint="cs"/>
                <w:rtl/>
              </w:rPr>
              <w:t>(4) ו- (6)</w:t>
            </w:r>
            <w:r>
              <w:rPr>
                <w:rFonts w:hint="cs"/>
                <w:rtl/>
              </w:rPr>
              <w:t>, במקום "קופת גמל" יבוא "משקיע מוסדי";</w:t>
            </w:r>
          </w:p>
        </w:tc>
      </w:tr>
      <w:tr w:rsidR="00EE1965">
        <w:trPr>
          <w:cantSplit/>
          <w:trHeight w:val="60"/>
        </w:trPr>
        <w:tc>
          <w:tcPr>
            <w:tcW w:w="1871" w:type="dxa"/>
          </w:tcPr>
          <w:p w:rsidR="00EE1965" w:rsidRDefault="00EE1965">
            <w:pPr>
              <w:pStyle w:val="TableSideHeading"/>
            </w:pPr>
          </w:p>
        </w:tc>
        <w:tc>
          <w:tcPr>
            <w:tcW w:w="624" w:type="dxa"/>
          </w:tcPr>
          <w:p w:rsidR="00EE1965" w:rsidRDefault="00EE1965" w:rsidP="00EE1965">
            <w:pPr>
              <w:pStyle w:val="TableText"/>
            </w:pPr>
          </w:p>
        </w:tc>
        <w:tc>
          <w:tcPr>
            <w:tcW w:w="624" w:type="dxa"/>
          </w:tcPr>
          <w:p w:rsidR="00EE1965" w:rsidRDefault="00EE1965">
            <w:pPr>
              <w:pStyle w:val="TableText"/>
            </w:pPr>
          </w:p>
        </w:tc>
        <w:tc>
          <w:tcPr>
            <w:tcW w:w="624" w:type="dxa"/>
          </w:tcPr>
          <w:p w:rsidR="00EE1965" w:rsidRDefault="00EE1965">
            <w:pPr>
              <w:pStyle w:val="TableText"/>
            </w:pPr>
          </w:p>
        </w:tc>
        <w:tc>
          <w:tcPr>
            <w:tcW w:w="5898" w:type="dxa"/>
            <w:gridSpan w:val="4"/>
          </w:tcPr>
          <w:p w:rsidR="00EE1965" w:rsidRDefault="00EE1965" w:rsidP="00DA5352">
            <w:pPr>
              <w:pStyle w:val="TableBlock"/>
              <w:numPr>
                <w:ilvl w:val="0"/>
                <w:numId w:val="13"/>
              </w:numPr>
              <w:tabs>
                <w:tab w:val="left" w:pos="624"/>
              </w:tabs>
              <w:rPr>
                <w:rtl/>
              </w:rPr>
            </w:pPr>
            <w:r>
              <w:rPr>
                <w:rFonts w:hint="cs"/>
                <w:rtl/>
              </w:rPr>
              <w:t xml:space="preserve">בפסקה (6) </w:t>
            </w:r>
            <w:r w:rsidRPr="00010BF9">
              <w:rPr>
                <w:rtl/>
              </w:rPr>
              <w:t>–</w:t>
            </w:r>
          </w:p>
        </w:tc>
      </w:tr>
      <w:tr w:rsidR="00B65C90">
        <w:trPr>
          <w:cantSplit/>
          <w:trHeight w:val="60"/>
        </w:trPr>
        <w:tc>
          <w:tcPr>
            <w:tcW w:w="1871" w:type="dxa"/>
          </w:tcPr>
          <w:p w:rsidR="00B65C90" w:rsidRDefault="00B65C90">
            <w:pPr>
              <w:pStyle w:val="TableSideHeading"/>
            </w:pPr>
          </w:p>
        </w:tc>
        <w:tc>
          <w:tcPr>
            <w:tcW w:w="624" w:type="dxa"/>
          </w:tcPr>
          <w:p w:rsidR="00B65C90" w:rsidRDefault="00B65C90" w:rsidP="00B65C90">
            <w:pPr>
              <w:pStyle w:val="TableText"/>
            </w:pPr>
          </w:p>
        </w:tc>
        <w:tc>
          <w:tcPr>
            <w:tcW w:w="624" w:type="dxa"/>
          </w:tcPr>
          <w:p w:rsidR="00B65C90" w:rsidRDefault="00B65C90">
            <w:pPr>
              <w:pStyle w:val="TableText"/>
            </w:pPr>
          </w:p>
        </w:tc>
        <w:tc>
          <w:tcPr>
            <w:tcW w:w="624" w:type="dxa"/>
          </w:tcPr>
          <w:p w:rsidR="00B65C90" w:rsidRDefault="00B65C90">
            <w:pPr>
              <w:pStyle w:val="TableText"/>
            </w:pPr>
          </w:p>
        </w:tc>
        <w:tc>
          <w:tcPr>
            <w:tcW w:w="624" w:type="dxa"/>
          </w:tcPr>
          <w:p w:rsidR="00B65C90" w:rsidRDefault="00B65C90">
            <w:pPr>
              <w:pStyle w:val="TableText"/>
            </w:pPr>
          </w:p>
        </w:tc>
        <w:tc>
          <w:tcPr>
            <w:tcW w:w="5274" w:type="dxa"/>
            <w:gridSpan w:val="3"/>
          </w:tcPr>
          <w:p w:rsidR="00B65C90" w:rsidRDefault="00B65C90" w:rsidP="00DA5352">
            <w:pPr>
              <w:pStyle w:val="TableBlock"/>
              <w:numPr>
                <w:ilvl w:val="0"/>
                <w:numId w:val="14"/>
              </w:numPr>
              <w:tabs>
                <w:tab w:val="left" w:pos="624"/>
              </w:tabs>
              <w:rPr>
                <w:rtl/>
              </w:rPr>
            </w:pPr>
            <w:r>
              <w:rPr>
                <w:rFonts w:hint="cs"/>
                <w:rtl/>
              </w:rPr>
              <w:t>במקום "נכסיה" יבוא "נכסיו";</w:t>
            </w:r>
          </w:p>
        </w:tc>
      </w:tr>
      <w:tr w:rsidR="00B65C90">
        <w:trPr>
          <w:cantSplit/>
          <w:trHeight w:val="60"/>
        </w:trPr>
        <w:tc>
          <w:tcPr>
            <w:tcW w:w="1871" w:type="dxa"/>
          </w:tcPr>
          <w:p w:rsidR="00B65C90" w:rsidRDefault="00B65C90">
            <w:pPr>
              <w:pStyle w:val="TableSideHeading"/>
            </w:pPr>
          </w:p>
        </w:tc>
        <w:tc>
          <w:tcPr>
            <w:tcW w:w="624" w:type="dxa"/>
          </w:tcPr>
          <w:p w:rsidR="00B65C90" w:rsidRDefault="00B65C90" w:rsidP="00B65C90">
            <w:pPr>
              <w:pStyle w:val="TableText"/>
            </w:pPr>
          </w:p>
        </w:tc>
        <w:tc>
          <w:tcPr>
            <w:tcW w:w="624" w:type="dxa"/>
          </w:tcPr>
          <w:p w:rsidR="00B65C90" w:rsidRDefault="00B65C90">
            <w:pPr>
              <w:pStyle w:val="TableText"/>
            </w:pPr>
          </w:p>
        </w:tc>
        <w:tc>
          <w:tcPr>
            <w:tcW w:w="624" w:type="dxa"/>
          </w:tcPr>
          <w:p w:rsidR="00B65C90" w:rsidRDefault="00B65C90">
            <w:pPr>
              <w:pStyle w:val="TableText"/>
            </w:pPr>
          </w:p>
        </w:tc>
        <w:tc>
          <w:tcPr>
            <w:tcW w:w="624" w:type="dxa"/>
          </w:tcPr>
          <w:p w:rsidR="00B65C90" w:rsidRDefault="00B65C90">
            <w:pPr>
              <w:pStyle w:val="TableText"/>
            </w:pPr>
          </w:p>
        </w:tc>
        <w:tc>
          <w:tcPr>
            <w:tcW w:w="5274" w:type="dxa"/>
            <w:gridSpan w:val="3"/>
          </w:tcPr>
          <w:p w:rsidR="00B65C90" w:rsidRDefault="00B65C90" w:rsidP="00DA5352">
            <w:pPr>
              <w:pStyle w:val="TableBlock"/>
              <w:numPr>
                <w:ilvl w:val="0"/>
                <w:numId w:val="14"/>
              </w:numPr>
              <w:tabs>
                <w:tab w:val="left" w:pos="624"/>
              </w:tabs>
              <w:rPr>
                <w:rtl/>
              </w:rPr>
            </w:pPr>
            <w:r>
              <w:rPr>
                <w:rFonts w:hint="cs"/>
                <w:rtl/>
              </w:rPr>
              <w:t>במקום "הכנסותיה" יבוא "הכנסותיו";</w:t>
            </w:r>
          </w:p>
        </w:tc>
      </w:tr>
      <w:tr w:rsidR="00B65C90">
        <w:trPr>
          <w:cantSplit/>
          <w:trHeight w:val="60"/>
        </w:trPr>
        <w:tc>
          <w:tcPr>
            <w:tcW w:w="1871" w:type="dxa"/>
          </w:tcPr>
          <w:p w:rsidR="00B65C90" w:rsidRDefault="00B65C90">
            <w:pPr>
              <w:pStyle w:val="TableSideHeading"/>
            </w:pPr>
          </w:p>
        </w:tc>
        <w:tc>
          <w:tcPr>
            <w:tcW w:w="624" w:type="dxa"/>
          </w:tcPr>
          <w:p w:rsidR="00B65C90" w:rsidRDefault="00B65C90" w:rsidP="00B65C90">
            <w:pPr>
              <w:pStyle w:val="TableText"/>
            </w:pPr>
          </w:p>
        </w:tc>
        <w:tc>
          <w:tcPr>
            <w:tcW w:w="624" w:type="dxa"/>
          </w:tcPr>
          <w:p w:rsidR="00B65C90" w:rsidRDefault="00B65C90">
            <w:pPr>
              <w:pStyle w:val="TableText"/>
            </w:pPr>
          </w:p>
        </w:tc>
        <w:tc>
          <w:tcPr>
            <w:tcW w:w="624" w:type="dxa"/>
          </w:tcPr>
          <w:p w:rsidR="00B65C90" w:rsidRDefault="00B65C90">
            <w:pPr>
              <w:pStyle w:val="TableText"/>
            </w:pPr>
          </w:p>
        </w:tc>
        <w:tc>
          <w:tcPr>
            <w:tcW w:w="624" w:type="dxa"/>
          </w:tcPr>
          <w:p w:rsidR="00B65C90" w:rsidRDefault="00B65C90">
            <w:pPr>
              <w:pStyle w:val="TableText"/>
            </w:pPr>
          </w:p>
        </w:tc>
        <w:tc>
          <w:tcPr>
            <w:tcW w:w="5274" w:type="dxa"/>
            <w:gridSpan w:val="3"/>
          </w:tcPr>
          <w:p w:rsidR="00B65C90" w:rsidRDefault="00B65C90" w:rsidP="00DA5352">
            <w:pPr>
              <w:pStyle w:val="TableBlock"/>
              <w:numPr>
                <w:ilvl w:val="0"/>
                <w:numId w:val="14"/>
              </w:numPr>
              <w:tabs>
                <w:tab w:val="left" w:pos="624"/>
              </w:tabs>
              <w:rPr>
                <w:rtl/>
              </w:rPr>
            </w:pPr>
            <w:r>
              <w:rPr>
                <w:rFonts w:hint="cs"/>
                <w:rtl/>
              </w:rPr>
              <w:t>במקום "בנכסיה" יבוא "בנכסיו"</w:t>
            </w:r>
            <w:r w:rsidR="00576080">
              <w:rPr>
                <w:rFonts w:hint="cs"/>
                <w:rtl/>
              </w:rPr>
              <w:t>.</w:t>
            </w:r>
          </w:p>
        </w:tc>
      </w:tr>
      <w:tr w:rsidR="006919D0">
        <w:trPr>
          <w:cantSplit/>
          <w:trHeight w:val="60"/>
        </w:trPr>
        <w:tc>
          <w:tcPr>
            <w:tcW w:w="1871" w:type="dxa"/>
          </w:tcPr>
          <w:p w:rsidR="006919D0" w:rsidRDefault="006919D0">
            <w:pPr>
              <w:pStyle w:val="TableSideHeading"/>
            </w:pPr>
          </w:p>
        </w:tc>
        <w:tc>
          <w:tcPr>
            <w:tcW w:w="624" w:type="dxa"/>
          </w:tcPr>
          <w:p w:rsidR="006919D0" w:rsidRDefault="006919D0">
            <w:pPr>
              <w:pStyle w:val="TableText"/>
            </w:pPr>
          </w:p>
        </w:tc>
        <w:tc>
          <w:tcPr>
            <w:tcW w:w="624" w:type="dxa"/>
          </w:tcPr>
          <w:p w:rsidR="006919D0" w:rsidRDefault="006919D0">
            <w:pPr>
              <w:pStyle w:val="TableText"/>
            </w:pPr>
          </w:p>
        </w:tc>
        <w:tc>
          <w:tcPr>
            <w:tcW w:w="624" w:type="dxa"/>
          </w:tcPr>
          <w:p w:rsidR="006919D0" w:rsidRDefault="006919D0">
            <w:pPr>
              <w:pStyle w:val="TableText"/>
            </w:pPr>
          </w:p>
        </w:tc>
        <w:tc>
          <w:tcPr>
            <w:tcW w:w="5898" w:type="dxa"/>
            <w:gridSpan w:val="4"/>
          </w:tcPr>
          <w:p w:rsidR="006919D0" w:rsidRDefault="003A21A3" w:rsidP="00DA5352">
            <w:pPr>
              <w:pStyle w:val="TableBlock"/>
              <w:numPr>
                <w:ilvl w:val="0"/>
                <w:numId w:val="13"/>
              </w:numPr>
              <w:tabs>
                <w:tab w:val="left" w:pos="624"/>
              </w:tabs>
            </w:pPr>
            <w:r>
              <w:rPr>
                <w:rFonts w:hint="cs"/>
                <w:rtl/>
              </w:rPr>
              <w:t>בפסקה (7)</w:t>
            </w:r>
            <w:r w:rsidR="006919D0">
              <w:rPr>
                <w:rFonts w:hint="cs"/>
                <w:rtl/>
              </w:rPr>
              <w:t xml:space="preserve"> </w:t>
            </w:r>
            <w:r w:rsidRPr="00010BF9">
              <w:rPr>
                <w:rtl/>
              </w:rPr>
              <w:t>–</w:t>
            </w:r>
            <w:r>
              <w:rPr>
                <w:rFonts w:hint="cs"/>
                <w:rtl/>
              </w:rPr>
              <w:t xml:space="preserve"> </w:t>
            </w:r>
          </w:p>
        </w:tc>
      </w:tr>
      <w:tr w:rsidR="003A21A3">
        <w:trPr>
          <w:cantSplit/>
          <w:trHeight w:val="60"/>
        </w:trPr>
        <w:tc>
          <w:tcPr>
            <w:tcW w:w="1871" w:type="dxa"/>
          </w:tcPr>
          <w:p w:rsidR="003A21A3" w:rsidRDefault="003A21A3">
            <w:pPr>
              <w:pStyle w:val="TableSideHeading"/>
            </w:pPr>
          </w:p>
        </w:tc>
        <w:tc>
          <w:tcPr>
            <w:tcW w:w="624" w:type="dxa"/>
          </w:tcPr>
          <w:p w:rsidR="003A21A3" w:rsidRDefault="003A21A3">
            <w:pPr>
              <w:pStyle w:val="TableText"/>
            </w:pPr>
          </w:p>
        </w:tc>
        <w:tc>
          <w:tcPr>
            <w:tcW w:w="624" w:type="dxa"/>
          </w:tcPr>
          <w:p w:rsidR="003A21A3" w:rsidRDefault="003A21A3">
            <w:pPr>
              <w:pStyle w:val="TableText"/>
            </w:pPr>
          </w:p>
        </w:tc>
        <w:tc>
          <w:tcPr>
            <w:tcW w:w="624" w:type="dxa"/>
          </w:tcPr>
          <w:p w:rsidR="003A21A3" w:rsidRDefault="003A21A3">
            <w:pPr>
              <w:pStyle w:val="TableText"/>
            </w:pPr>
          </w:p>
        </w:tc>
        <w:tc>
          <w:tcPr>
            <w:tcW w:w="624" w:type="dxa"/>
          </w:tcPr>
          <w:p w:rsidR="003A21A3" w:rsidRDefault="003A21A3">
            <w:pPr>
              <w:pStyle w:val="TableText"/>
            </w:pPr>
          </w:p>
        </w:tc>
        <w:tc>
          <w:tcPr>
            <w:tcW w:w="5274" w:type="dxa"/>
            <w:gridSpan w:val="3"/>
          </w:tcPr>
          <w:p w:rsidR="003A21A3" w:rsidRDefault="003A21A3" w:rsidP="00DA5352">
            <w:pPr>
              <w:pStyle w:val="TableBlock"/>
              <w:numPr>
                <w:ilvl w:val="0"/>
                <w:numId w:val="18"/>
              </w:numPr>
              <w:tabs>
                <w:tab w:val="left" w:pos="624"/>
              </w:tabs>
            </w:pPr>
            <w:r>
              <w:rPr>
                <w:rFonts w:hint="cs"/>
                <w:rtl/>
              </w:rPr>
              <w:t>המילה "משלמת" תימחק;</w:t>
            </w:r>
          </w:p>
        </w:tc>
      </w:tr>
      <w:tr w:rsidR="003A21A3">
        <w:trPr>
          <w:cantSplit/>
          <w:trHeight w:val="60"/>
        </w:trPr>
        <w:tc>
          <w:tcPr>
            <w:tcW w:w="1871" w:type="dxa"/>
          </w:tcPr>
          <w:p w:rsidR="003A21A3" w:rsidRDefault="003A21A3">
            <w:pPr>
              <w:pStyle w:val="TableSideHeading"/>
            </w:pPr>
          </w:p>
        </w:tc>
        <w:tc>
          <w:tcPr>
            <w:tcW w:w="624" w:type="dxa"/>
          </w:tcPr>
          <w:p w:rsidR="003A21A3" w:rsidRDefault="003A21A3" w:rsidP="003A21A3">
            <w:pPr>
              <w:pStyle w:val="TableText"/>
            </w:pPr>
          </w:p>
        </w:tc>
        <w:tc>
          <w:tcPr>
            <w:tcW w:w="624" w:type="dxa"/>
          </w:tcPr>
          <w:p w:rsidR="003A21A3" w:rsidRDefault="003A21A3">
            <w:pPr>
              <w:pStyle w:val="TableText"/>
            </w:pPr>
          </w:p>
        </w:tc>
        <w:tc>
          <w:tcPr>
            <w:tcW w:w="624" w:type="dxa"/>
          </w:tcPr>
          <w:p w:rsidR="003A21A3" w:rsidRDefault="003A21A3">
            <w:pPr>
              <w:pStyle w:val="TableText"/>
            </w:pPr>
          </w:p>
        </w:tc>
        <w:tc>
          <w:tcPr>
            <w:tcW w:w="624" w:type="dxa"/>
          </w:tcPr>
          <w:p w:rsidR="003A21A3" w:rsidRDefault="003A21A3">
            <w:pPr>
              <w:pStyle w:val="TableText"/>
            </w:pPr>
          </w:p>
        </w:tc>
        <w:tc>
          <w:tcPr>
            <w:tcW w:w="5274" w:type="dxa"/>
            <w:gridSpan w:val="3"/>
          </w:tcPr>
          <w:p w:rsidR="003A21A3" w:rsidRDefault="003A21A3" w:rsidP="00DA5352">
            <w:pPr>
              <w:pStyle w:val="TableBlock"/>
              <w:numPr>
                <w:ilvl w:val="0"/>
                <w:numId w:val="18"/>
              </w:numPr>
              <w:tabs>
                <w:tab w:val="left" w:pos="624"/>
              </w:tabs>
              <w:rPr>
                <w:rtl/>
              </w:rPr>
            </w:pPr>
            <w:r>
              <w:rPr>
                <w:rFonts w:hint="cs"/>
                <w:rtl/>
              </w:rPr>
              <w:t>אחרי "קופת ביטוח" יבוא "ושאינה קופת גמל לחיסכון".</w:t>
            </w:r>
          </w:p>
        </w:tc>
      </w:tr>
      <w:tr w:rsidR="00334766">
        <w:trPr>
          <w:cantSplit/>
          <w:trHeight w:val="60"/>
        </w:trPr>
        <w:tc>
          <w:tcPr>
            <w:tcW w:w="1871" w:type="dxa"/>
          </w:tcPr>
          <w:p w:rsidR="00334766" w:rsidRDefault="00334766">
            <w:pPr>
              <w:pStyle w:val="TableSideHeading"/>
            </w:pPr>
          </w:p>
        </w:tc>
        <w:tc>
          <w:tcPr>
            <w:tcW w:w="624" w:type="dxa"/>
          </w:tcPr>
          <w:p w:rsidR="00334766" w:rsidRDefault="00334766">
            <w:pPr>
              <w:pStyle w:val="TableText"/>
            </w:pPr>
          </w:p>
        </w:tc>
        <w:tc>
          <w:tcPr>
            <w:tcW w:w="624" w:type="dxa"/>
          </w:tcPr>
          <w:p w:rsidR="00334766" w:rsidRDefault="00334766">
            <w:pPr>
              <w:pStyle w:val="TableText"/>
            </w:pPr>
          </w:p>
        </w:tc>
        <w:tc>
          <w:tcPr>
            <w:tcW w:w="624" w:type="dxa"/>
          </w:tcPr>
          <w:p w:rsidR="00334766" w:rsidRDefault="00334766">
            <w:pPr>
              <w:pStyle w:val="TableText"/>
            </w:pPr>
          </w:p>
        </w:tc>
        <w:tc>
          <w:tcPr>
            <w:tcW w:w="5898" w:type="dxa"/>
            <w:gridSpan w:val="4"/>
          </w:tcPr>
          <w:p w:rsidR="00334766" w:rsidRDefault="00334766" w:rsidP="00DA5352">
            <w:pPr>
              <w:pStyle w:val="TableBlock"/>
              <w:numPr>
                <w:ilvl w:val="0"/>
                <w:numId w:val="13"/>
              </w:numPr>
              <w:tabs>
                <w:tab w:val="left" w:pos="624"/>
              </w:tabs>
            </w:pPr>
            <w:r>
              <w:rPr>
                <w:rFonts w:hint="cs"/>
                <w:rtl/>
              </w:rPr>
              <w:t>אחרי פסקה (8) יבוא:</w:t>
            </w:r>
          </w:p>
        </w:tc>
      </w:tr>
      <w:tr w:rsidR="00334766">
        <w:trPr>
          <w:cantSplit/>
          <w:trHeight w:val="60"/>
        </w:trPr>
        <w:tc>
          <w:tcPr>
            <w:tcW w:w="1871" w:type="dxa"/>
          </w:tcPr>
          <w:p w:rsidR="00334766" w:rsidRDefault="00334766">
            <w:pPr>
              <w:pStyle w:val="TableSideHeading"/>
            </w:pPr>
          </w:p>
        </w:tc>
        <w:tc>
          <w:tcPr>
            <w:tcW w:w="624" w:type="dxa"/>
          </w:tcPr>
          <w:p w:rsidR="00334766" w:rsidRDefault="00334766">
            <w:pPr>
              <w:pStyle w:val="TableText"/>
            </w:pPr>
          </w:p>
        </w:tc>
        <w:tc>
          <w:tcPr>
            <w:tcW w:w="624" w:type="dxa"/>
          </w:tcPr>
          <w:p w:rsidR="00334766" w:rsidRDefault="00334766">
            <w:pPr>
              <w:pStyle w:val="TableText"/>
            </w:pPr>
          </w:p>
        </w:tc>
        <w:tc>
          <w:tcPr>
            <w:tcW w:w="624" w:type="dxa"/>
          </w:tcPr>
          <w:p w:rsidR="00334766" w:rsidRDefault="00334766">
            <w:pPr>
              <w:pStyle w:val="TableText"/>
            </w:pPr>
          </w:p>
        </w:tc>
        <w:tc>
          <w:tcPr>
            <w:tcW w:w="624" w:type="dxa"/>
          </w:tcPr>
          <w:p w:rsidR="00334766" w:rsidRDefault="00334766">
            <w:pPr>
              <w:pStyle w:val="TableText"/>
            </w:pPr>
          </w:p>
        </w:tc>
        <w:tc>
          <w:tcPr>
            <w:tcW w:w="5274" w:type="dxa"/>
            <w:gridSpan w:val="3"/>
          </w:tcPr>
          <w:p w:rsidR="00334766" w:rsidRDefault="00334766">
            <w:pPr>
              <w:pStyle w:val="TableBlock"/>
            </w:pPr>
            <w:r>
              <w:rPr>
                <w:rFonts w:hint="cs"/>
                <w:rtl/>
              </w:rPr>
              <w:t>"(9)</w:t>
            </w:r>
            <w:r w:rsidRPr="00684605">
              <w:rPr>
                <w:rFonts w:hint="cs"/>
                <w:rtl/>
              </w:rPr>
              <w:tab/>
            </w:r>
            <w:r>
              <w:rPr>
                <w:rFonts w:hint="cs"/>
                <w:rtl/>
              </w:rPr>
              <w:t>עמלת ניהול חיצוני;</w:t>
            </w:r>
          </w:p>
        </w:tc>
      </w:tr>
      <w:tr w:rsidR="00334766">
        <w:trPr>
          <w:cantSplit/>
          <w:trHeight w:val="60"/>
        </w:trPr>
        <w:tc>
          <w:tcPr>
            <w:tcW w:w="1871" w:type="dxa"/>
          </w:tcPr>
          <w:p w:rsidR="00334766" w:rsidRDefault="00334766" w:rsidP="00334766">
            <w:pPr>
              <w:pStyle w:val="TableSideHeading"/>
            </w:pPr>
          </w:p>
        </w:tc>
        <w:tc>
          <w:tcPr>
            <w:tcW w:w="624" w:type="dxa"/>
          </w:tcPr>
          <w:p w:rsidR="00334766" w:rsidRDefault="00334766" w:rsidP="00334766">
            <w:pPr>
              <w:pStyle w:val="TableText"/>
            </w:pPr>
          </w:p>
        </w:tc>
        <w:tc>
          <w:tcPr>
            <w:tcW w:w="624" w:type="dxa"/>
          </w:tcPr>
          <w:p w:rsidR="00334766" w:rsidRDefault="00334766" w:rsidP="00334766">
            <w:pPr>
              <w:pStyle w:val="TableText"/>
            </w:pPr>
          </w:p>
        </w:tc>
        <w:tc>
          <w:tcPr>
            <w:tcW w:w="624" w:type="dxa"/>
          </w:tcPr>
          <w:p w:rsidR="00334766" w:rsidRDefault="00334766" w:rsidP="00334766">
            <w:pPr>
              <w:pStyle w:val="TableText"/>
            </w:pPr>
          </w:p>
        </w:tc>
        <w:tc>
          <w:tcPr>
            <w:tcW w:w="624" w:type="dxa"/>
          </w:tcPr>
          <w:p w:rsidR="00334766" w:rsidRDefault="00334766" w:rsidP="00334766">
            <w:pPr>
              <w:pStyle w:val="TableText"/>
            </w:pPr>
          </w:p>
        </w:tc>
        <w:tc>
          <w:tcPr>
            <w:tcW w:w="5274" w:type="dxa"/>
            <w:gridSpan w:val="3"/>
          </w:tcPr>
          <w:p w:rsidR="00334766" w:rsidRDefault="00334766" w:rsidP="005D44A8">
            <w:pPr>
              <w:pStyle w:val="TableBlock"/>
              <w:rPr>
                <w:rtl/>
              </w:rPr>
            </w:pPr>
            <w:r>
              <w:rPr>
                <w:rFonts w:hint="cs"/>
                <w:rtl/>
              </w:rPr>
              <w:t>(10)</w:t>
            </w:r>
            <w:r w:rsidRPr="00684605">
              <w:rPr>
                <w:rFonts w:hint="cs"/>
                <w:rtl/>
              </w:rPr>
              <w:t xml:space="preserve"> </w:t>
            </w:r>
            <w:r w:rsidRPr="00684605">
              <w:rPr>
                <w:rFonts w:hint="cs"/>
                <w:rtl/>
              </w:rPr>
              <w:tab/>
            </w:r>
            <w:r>
              <w:rPr>
                <w:rFonts w:hint="cs"/>
                <w:rtl/>
              </w:rPr>
              <w:t>הוצאה הנובעת ממתן משכנתה לפי מגבלות שעליהן יורה הממונה</w:t>
            </w:r>
            <w:r w:rsidR="005D44A8">
              <w:rPr>
                <w:rFonts w:hint="cs"/>
                <w:rtl/>
              </w:rPr>
              <w:t>.".</w:t>
            </w:r>
          </w:p>
        </w:tc>
      </w:tr>
      <w:tr w:rsidR="00334766">
        <w:trPr>
          <w:cantSplit/>
          <w:trHeight w:val="60"/>
        </w:trPr>
        <w:tc>
          <w:tcPr>
            <w:tcW w:w="1871" w:type="dxa"/>
          </w:tcPr>
          <w:p w:rsidR="00334766" w:rsidRDefault="00334766">
            <w:pPr>
              <w:pStyle w:val="TableSideHeading"/>
            </w:pPr>
          </w:p>
        </w:tc>
        <w:tc>
          <w:tcPr>
            <w:tcW w:w="624" w:type="dxa"/>
          </w:tcPr>
          <w:p w:rsidR="00334766" w:rsidRDefault="00334766">
            <w:pPr>
              <w:pStyle w:val="TableText"/>
            </w:pPr>
          </w:p>
        </w:tc>
        <w:tc>
          <w:tcPr>
            <w:tcW w:w="624" w:type="dxa"/>
          </w:tcPr>
          <w:p w:rsidR="00334766" w:rsidRDefault="00334766">
            <w:pPr>
              <w:pStyle w:val="TableText"/>
            </w:pPr>
          </w:p>
        </w:tc>
        <w:tc>
          <w:tcPr>
            <w:tcW w:w="6522" w:type="dxa"/>
            <w:gridSpan w:val="5"/>
          </w:tcPr>
          <w:p w:rsidR="00334766" w:rsidRDefault="00334766" w:rsidP="00DA5352">
            <w:pPr>
              <w:pStyle w:val="TableBlock"/>
              <w:numPr>
                <w:ilvl w:val="0"/>
                <w:numId w:val="12"/>
              </w:numPr>
              <w:tabs>
                <w:tab w:val="left" w:pos="624"/>
              </w:tabs>
            </w:pPr>
            <w:r>
              <w:rPr>
                <w:rFonts w:hint="cs"/>
                <w:rtl/>
              </w:rPr>
              <w:t>אחרי תקנת משנה (א) יבוא:</w:t>
            </w:r>
          </w:p>
        </w:tc>
      </w:tr>
      <w:tr w:rsidR="004A31DB">
        <w:trPr>
          <w:cantSplit/>
          <w:trHeight w:val="60"/>
        </w:trPr>
        <w:tc>
          <w:tcPr>
            <w:tcW w:w="1871" w:type="dxa"/>
          </w:tcPr>
          <w:p w:rsidR="004A31DB" w:rsidRDefault="004A31DB">
            <w:pPr>
              <w:pStyle w:val="TableSideHeading"/>
            </w:pPr>
          </w:p>
        </w:tc>
        <w:tc>
          <w:tcPr>
            <w:tcW w:w="624" w:type="dxa"/>
          </w:tcPr>
          <w:p w:rsidR="004A31DB" w:rsidRDefault="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5898" w:type="dxa"/>
            <w:gridSpan w:val="4"/>
          </w:tcPr>
          <w:p w:rsidR="004A31DB" w:rsidRDefault="004A31DB" w:rsidP="00600BA1">
            <w:pPr>
              <w:pStyle w:val="TableBlock"/>
            </w:pPr>
            <w:r w:rsidRPr="00CC7483">
              <w:rPr>
                <w:rFonts w:hint="cs"/>
                <w:rtl/>
              </w:rPr>
              <w:t>"(ב)</w:t>
            </w:r>
            <w:r w:rsidRPr="00CC7483">
              <w:rPr>
                <w:rFonts w:hint="cs"/>
                <w:rtl/>
              </w:rPr>
              <w:tab/>
              <w:t>על אף האמור בתקנת משנה (א), הוצאות ישירות בשל ביצוע עסקאות בנכסי משקיע מוסדי עבור מסלולי ההשקעה שלהלן, יהיו כמפורט לצידן:</w:t>
            </w:r>
          </w:p>
        </w:tc>
      </w:tr>
      <w:tr w:rsidR="004A31DB">
        <w:trPr>
          <w:cantSplit/>
          <w:trHeight w:val="60"/>
        </w:trPr>
        <w:tc>
          <w:tcPr>
            <w:tcW w:w="1871" w:type="dxa"/>
          </w:tcPr>
          <w:p w:rsidR="004A31DB" w:rsidRDefault="004A31DB">
            <w:pPr>
              <w:pStyle w:val="TableSideHeading"/>
            </w:pPr>
          </w:p>
        </w:tc>
        <w:tc>
          <w:tcPr>
            <w:tcW w:w="624" w:type="dxa"/>
          </w:tcPr>
          <w:p w:rsidR="004A31DB" w:rsidRDefault="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5274" w:type="dxa"/>
            <w:gridSpan w:val="3"/>
          </w:tcPr>
          <w:p w:rsidR="004A31DB" w:rsidRDefault="004A31DB" w:rsidP="00DA5352">
            <w:pPr>
              <w:pStyle w:val="TableBlock"/>
              <w:numPr>
                <w:ilvl w:val="0"/>
                <w:numId w:val="15"/>
              </w:numPr>
              <w:tabs>
                <w:tab w:val="left" w:pos="624"/>
              </w:tabs>
            </w:pPr>
            <w:r w:rsidRPr="00CC7483">
              <w:rPr>
                <w:rFonts w:hint="cs"/>
                <w:rtl/>
              </w:rPr>
              <w:t xml:space="preserve">עבור נכסים המושקעים במסלול </w:t>
            </w:r>
            <w:r w:rsidR="000F6587">
              <w:rPr>
                <w:rFonts w:hint="cs"/>
                <w:rtl/>
              </w:rPr>
              <w:t xml:space="preserve">השקעה מתמחה, כהגדרתו בתקנות ההשקעה, אשר בתקנונו נקבע כי עיקר השקעותיו הן השקעות בנכסים סחירים, ואשר הוקם לאחר יום 1 בינואר 2023 (בתקנה זו </w:t>
            </w:r>
            <w:r w:rsidR="000F6587">
              <w:rPr>
                <w:rtl/>
              </w:rPr>
              <w:t>–</w:t>
            </w:r>
            <w:r w:rsidR="000F6587">
              <w:rPr>
                <w:rFonts w:hint="cs"/>
                <w:rtl/>
              </w:rPr>
              <w:t xml:space="preserve"> המועד הקובע)</w:t>
            </w:r>
            <w:r w:rsidR="00937B4D">
              <w:rPr>
                <w:rFonts w:hint="cs"/>
                <w:rtl/>
              </w:rPr>
              <w:t xml:space="preserve"> </w:t>
            </w:r>
            <w:r w:rsidR="00937B4D">
              <w:rPr>
                <w:rtl/>
              </w:rPr>
              <w:t>–</w:t>
            </w:r>
            <w:r w:rsidR="00937B4D">
              <w:rPr>
                <w:rFonts w:hint="cs"/>
                <w:rtl/>
              </w:rPr>
              <w:t xml:space="preserve"> </w:t>
            </w:r>
            <w:r w:rsidRPr="00CC7483">
              <w:rPr>
                <w:rFonts w:hint="cs"/>
                <w:rtl/>
              </w:rPr>
              <w:t>הוצאות ישירות כמפורט בפסקאות (1), (2), (6) ו-(8), שבתקנת משנה (א).</w:t>
            </w:r>
          </w:p>
        </w:tc>
      </w:tr>
      <w:tr w:rsidR="004A31DB">
        <w:trPr>
          <w:cantSplit/>
          <w:trHeight w:val="60"/>
        </w:trPr>
        <w:tc>
          <w:tcPr>
            <w:tcW w:w="1871" w:type="dxa"/>
          </w:tcPr>
          <w:p w:rsidR="004A31DB" w:rsidRDefault="004A31DB">
            <w:pPr>
              <w:pStyle w:val="TableSideHeading"/>
            </w:pPr>
          </w:p>
        </w:tc>
        <w:tc>
          <w:tcPr>
            <w:tcW w:w="624" w:type="dxa"/>
          </w:tcPr>
          <w:p w:rsidR="004A31DB" w:rsidRDefault="004A31DB" w:rsidP="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5274" w:type="dxa"/>
            <w:gridSpan w:val="3"/>
          </w:tcPr>
          <w:p w:rsidR="004A31DB" w:rsidRPr="00CC7483" w:rsidRDefault="00937B4D" w:rsidP="00DA5352">
            <w:pPr>
              <w:pStyle w:val="TableBlock"/>
              <w:numPr>
                <w:ilvl w:val="0"/>
                <w:numId w:val="15"/>
              </w:numPr>
              <w:tabs>
                <w:tab w:val="left" w:pos="624"/>
              </w:tabs>
              <w:rPr>
                <w:rtl/>
              </w:rPr>
            </w:pPr>
            <w:r>
              <w:rPr>
                <w:rFonts w:hint="cs"/>
                <w:rtl/>
              </w:rPr>
              <w:t xml:space="preserve">עבור נכסים המושקעים במסלול השקעה מתמחה כהגדרתו בתקנות ההשקעה, אשר בתקנונו נקבע כי עיקר השקעותיו הן השקעות במכשירים עוקבי מדד, ואשר הוקם לאחר המועד הקובע </w:t>
            </w:r>
            <w:r>
              <w:rPr>
                <w:rtl/>
              </w:rPr>
              <w:t>–</w:t>
            </w:r>
            <w:r>
              <w:rPr>
                <w:rFonts w:hint="cs"/>
                <w:rtl/>
              </w:rPr>
              <w:t xml:space="preserve"> </w:t>
            </w:r>
            <w:r w:rsidR="004A31DB" w:rsidRPr="00CC7483">
              <w:rPr>
                <w:rFonts w:hint="cs"/>
                <w:rtl/>
              </w:rPr>
              <w:t xml:space="preserve">הוצאות ישירות כמפורט בפסקאות (1), (2), (6), (8) ו-(9), שבתקנת משנה (א). על אף האמור, הוצאות ישירות כמפורט בפסקה (9), יהיו </w:t>
            </w:r>
            <w:r>
              <w:rPr>
                <w:rFonts w:hint="cs"/>
                <w:rtl/>
              </w:rPr>
              <w:t xml:space="preserve">רק הוצאות </w:t>
            </w:r>
            <w:r w:rsidR="004A31DB" w:rsidRPr="00CC7483">
              <w:rPr>
                <w:rFonts w:hint="cs"/>
                <w:rtl/>
              </w:rPr>
              <w:t>כמפורט בפסקאות (4) ו-(5) להגדרה "עמלת ניהול חיצוני" שבתקנה 1, ובלבד שמדובר ב</w:t>
            </w:r>
            <w:r>
              <w:rPr>
                <w:rFonts w:hint="cs"/>
                <w:rtl/>
              </w:rPr>
              <w:t>הוצאה הנובעת מ</w:t>
            </w:r>
            <w:r w:rsidR="004A31DB" w:rsidRPr="00CC7483">
              <w:rPr>
                <w:rFonts w:hint="cs"/>
                <w:rtl/>
              </w:rPr>
              <w:t>השקעה בנייר ערך סחיר.</w:t>
            </w:r>
          </w:p>
        </w:tc>
      </w:tr>
      <w:tr w:rsidR="004A31DB">
        <w:trPr>
          <w:cantSplit/>
          <w:trHeight w:val="60"/>
        </w:trPr>
        <w:tc>
          <w:tcPr>
            <w:tcW w:w="1871" w:type="dxa"/>
          </w:tcPr>
          <w:p w:rsidR="004A31DB" w:rsidRDefault="004A31DB">
            <w:pPr>
              <w:pStyle w:val="TableSideHeading"/>
            </w:pPr>
          </w:p>
        </w:tc>
        <w:tc>
          <w:tcPr>
            <w:tcW w:w="624" w:type="dxa"/>
          </w:tcPr>
          <w:p w:rsidR="004A31DB" w:rsidRDefault="004A31DB" w:rsidP="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624" w:type="dxa"/>
          </w:tcPr>
          <w:p w:rsidR="004A31DB" w:rsidRDefault="004A31DB">
            <w:pPr>
              <w:pStyle w:val="TableText"/>
            </w:pPr>
          </w:p>
        </w:tc>
        <w:tc>
          <w:tcPr>
            <w:tcW w:w="5274" w:type="dxa"/>
            <w:gridSpan w:val="3"/>
          </w:tcPr>
          <w:p w:rsidR="004A31DB" w:rsidRPr="00CC7483" w:rsidRDefault="004A31DB" w:rsidP="00DA5352">
            <w:pPr>
              <w:pStyle w:val="TableBlock"/>
              <w:numPr>
                <w:ilvl w:val="0"/>
                <w:numId w:val="15"/>
              </w:numPr>
              <w:tabs>
                <w:tab w:val="left" w:pos="624"/>
              </w:tabs>
              <w:rPr>
                <w:rtl/>
              </w:rPr>
            </w:pPr>
            <w:r w:rsidRPr="00CC7483">
              <w:rPr>
                <w:rFonts w:hint="cs"/>
                <w:rtl/>
              </w:rPr>
              <w:t xml:space="preserve">עבור נכסים המושקעים במסלול אשר המשקיע המוסדי גובה בגינו דמי ניהול </w:t>
            </w:r>
            <w:r w:rsidR="00A2766E">
              <w:rPr>
                <w:rFonts w:hint="cs"/>
                <w:rtl/>
              </w:rPr>
              <w:t>תלויי תשואה</w:t>
            </w:r>
            <w:r w:rsidR="007D069E">
              <w:rPr>
                <w:rFonts w:hint="cs"/>
                <w:rtl/>
              </w:rPr>
              <w:t>,</w:t>
            </w:r>
            <w:r w:rsidR="00A2766E">
              <w:rPr>
                <w:rFonts w:hint="cs"/>
                <w:rtl/>
              </w:rPr>
              <w:t xml:space="preserve"> </w:t>
            </w:r>
            <w:r w:rsidR="008A6D0F">
              <w:rPr>
                <w:rFonts w:hint="cs"/>
                <w:rtl/>
              </w:rPr>
              <w:t xml:space="preserve">ואשר הוקם לאחר </w:t>
            </w:r>
            <w:r w:rsidR="008A6D0F" w:rsidRPr="001F52D9">
              <w:rPr>
                <w:rFonts w:hint="cs"/>
                <w:rtl/>
              </w:rPr>
              <w:t xml:space="preserve">המועד הקובע </w:t>
            </w:r>
            <w:r w:rsidR="008A6D0F" w:rsidRPr="001F52D9">
              <w:rPr>
                <w:rtl/>
              </w:rPr>
              <w:t>–</w:t>
            </w:r>
            <w:r w:rsidR="008A6D0F" w:rsidRPr="001F52D9">
              <w:rPr>
                <w:rFonts w:hint="cs"/>
                <w:rtl/>
              </w:rPr>
              <w:t xml:space="preserve"> לא ייגבו הוצאות ישירות בשל ביצוע עסקאות. בפסקה זו, "דמי ניהול </w:t>
            </w:r>
            <w:r w:rsidR="00A2766E" w:rsidRPr="001F52D9">
              <w:rPr>
                <w:rFonts w:hint="cs"/>
                <w:rtl/>
              </w:rPr>
              <w:t>תלויי תשואה</w:t>
            </w:r>
            <w:r w:rsidR="008A6D0F" w:rsidRPr="001F52D9">
              <w:rPr>
                <w:rFonts w:hint="cs"/>
                <w:rtl/>
              </w:rPr>
              <w:t xml:space="preserve">" </w:t>
            </w:r>
            <w:r w:rsidR="008A6D0F" w:rsidRPr="001F52D9">
              <w:rPr>
                <w:rtl/>
              </w:rPr>
              <w:t>–</w:t>
            </w:r>
            <w:r w:rsidR="008A6D0F" w:rsidRPr="001F52D9">
              <w:rPr>
                <w:rFonts w:hint="cs"/>
                <w:rtl/>
              </w:rPr>
              <w:t xml:space="preserve"> דמי ניהול </w:t>
            </w:r>
            <w:r w:rsidR="00A2766E" w:rsidRPr="001F52D9">
              <w:rPr>
                <w:rFonts w:hint="eastAsia"/>
                <w:rtl/>
              </w:rPr>
              <w:t>הנגבים</w:t>
            </w:r>
            <w:r w:rsidR="00A2766E" w:rsidRPr="001F52D9">
              <w:rPr>
                <w:rtl/>
              </w:rPr>
              <w:t xml:space="preserve"> </w:t>
            </w:r>
            <w:r w:rsidR="00646D33" w:rsidRPr="003F6FCA">
              <w:rPr>
                <w:rFonts w:hint="eastAsia"/>
                <w:rtl/>
              </w:rPr>
              <w:t>במישרין</w:t>
            </w:r>
            <w:r w:rsidR="00646D33" w:rsidRPr="003F6FCA">
              <w:rPr>
                <w:rtl/>
              </w:rPr>
              <w:t xml:space="preserve"> </w:t>
            </w:r>
            <w:r w:rsidR="00A2766E" w:rsidRPr="001F52D9">
              <w:rPr>
                <w:rFonts w:hint="eastAsia"/>
                <w:rtl/>
              </w:rPr>
              <w:t>מהעמית</w:t>
            </w:r>
            <w:r w:rsidR="00E92889" w:rsidRPr="001F52D9">
              <w:rPr>
                <w:rFonts w:hint="cs"/>
                <w:rtl/>
              </w:rPr>
              <w:t xml:space="preserve"> או מהמבוטח, לפי העניין,</w:t>
            </w:r>
            <w:r w:rsidR="00A2766E" w:rsidRPr="001F52D9">
              <w:rPr>
                <w:rFonts w:hint="cs"/>
                <w:rtl/>
              </w:rPr>
              <w:t xml:space="preserve"> </w:t>
            </w:r>
            <w:r w:rsidR="008A6D0F" w:rsidRPr="001F52D9">
              <w:rPr>
                <w:rFonts w:hint="cs"/>
                <w:rtl/>
              </w:rPr>
              <w:t>ששיעורם נגזר באופן ישיר מרווחי ההשקעה של המס</w:t>
            </w:r>
            <w:r w:rsidR="008A6D0F">
              <w:rPr>
                <w:rFonts w:hint="cs"/>
                <w:rtl/>
              </w:rPr>
              <w:t>לול שבגינו הם נגבים</w:t>
            </w:r>
            <w:r w:rsidR="00646D33">
              <w:rPr>
                <w:rFonts w:hint="cs"/>
                <w:rtl/>
              </w:rPr>
              <w:t>, ככל שאלה מותרים בגביה בהתאם להוראות הדין</w:t>
            </w:r>
            <w:r w:rsidR="008A6D0F">
              <w:rPr>
                <w:rFonts w:hint="cs"/>
                <w:rtl/>
              </w:rPr>
              <w:t>.</w:t>
            </w:r>
          </w:p>
        </w:tc>
      </w:tr>
      <w:tr w:rsidR="005534AA">
        <w:trPr>
          <w:cantSplit/>
          <w:trHeight w:val="60"/>
        </w:trPr>
        <w:tc>
          <w:tcPr>
            <w:tcW w:w="1871" w:type="dxa"/>
          </w:tcPr>
          <w:p w:rsidR="005534AA" w:rsidRDefault="005534AA">
            <w:pPr>
              <w:pStyle w:val="TableSideHeading"/>
            </w:pPr>
          </w:p>
        </w:tc>
        <w:tc>
          <w:tcPr>
            <w:tcW w:w="624" w:type="dxa"/>
          </w:tcPr>
          <w:p w:rsidR="005534AA" w:rsidRDefault="005534AA">
            <w:pPr>
              <w:pStyle w:val="TableText"/>
            </w:pPr>
          </w:p>
        </w:tc>
        <w:tc>
          <w:tcPr>
            <w:tcW w:w="624" w:type="dxa"/>
          </w:tcPr>
          <w:p w:rsidR="005534AA" w:rsidRDefault="005534AA">
            <w:pPr>
              <w:pStyle w:val="TableText"/>
            </w:pPr>
          </w:p>
        </w:tc>
        <w:tc>
          <w:tcPr>
            <w:tcW w:w="624" w:type="dxa"/>
          </w:tcPr>
          <w:p w:rsidR="005534AA" w:rsidRDefault="005534AA">
            <w:pPr>
              <w:pStyle w:val="TableText"/>
            </w:pPr>
          </w:p>
        </w:tc>
        <w:tc>
          <w:tcPr>
            <w:tcW w:w="5898" w:type="dxa"/>
            <w:gridSpan w:val="4"/>
          </w:tcPr>
          <w:p w:rsidR="005534AA" w:rsidRDefault="00B96DCF" w:rsidP="00DA5352">
            <w:pPr>
              <w:pStyle w:val="TableBlock"/>
              <w:numPr>
                <w:ilvl w:val="0"/>
                <w:numId w:val="11"/>
              </w:numPr>
            </w:pPr>
            <w:r w:rsidRPr="00185BBE">
              <w:rPr>
                <w:rFonts w:hint="cs"/>
                <w:rtl/>
              </w:rPr>
              <w:t xml:space="preserve">הוצאות ישירות הנגבות כנגד </w:t>
            </w:r>
            <w:r w:rsidR="0015731F">
              <w:rPr>
                <w:rFonts w:hint="cs"/>
                <w:rtl/>
              </w:rPr>
              <w:t>השקעה ב</w:t>
            </w:r>
            <w:r w:rsidRPr="00185BBE">
              <w:rPr>
                <w:rFonts w:hint="cs"/>
                <w:rtl/>
              </w:rPr>
              <w:t>נכס במסגרת אפיק מובטח תשואה</w:t>
            </w:r>
            <w:r w:rsidR="007D069E">
              <w:rPr>
                <w:rFonts w:hint="cs"/>
                <w:rtl/>
              </w:rPr>
              <w:t>,</w:t>
            </w:r>
            <w:r w:rsidRPr="00185BBE">
              <w:rPr>
                <w:rFonts w:hint="cs"/>
                <w:rtl/>
              </w:rPr>
              <w:t xml:space="preserve"> </w:t>
            </w:r>
            <w:r w:rsidR="0015731F">
              <w:rPr>
                <w:rFonts w:hint="cs"/>
                <w:rtl/>
              </w:rPr>
              <w:t>וכן במסגרת מסלול אחר, אחד או יותר</w:t>
            </w:r>
            <w:r w:rsidRPr="00185BBE">
              <w:rPr>
                <w:rFonts w:hint="cs"/>
                <w:rtl/>
              </w:rPr>
              <w:t xml:space="preserve">, ייגבו באופן יחסי בהתאם לחלק ההשקעה באותו נכס, המוקצה לטובת </w:t>
            </w:r>
            <w:r w:rsidR="0015731F">
              <w:rPr>
                <w:rFonts w:hint="cs"/>
                <w:rtl/>
              </w:rPr>
              <w:t xml:space="preserve">כל אחד מבין </w:t>
            </w:r>
            <w:r w:rsidRPr="00185BBE">
              <w:rPr>
                <w:rFonts w:hint="cs"/>
                <w:rtl/>
              </w:rPr>
              <w:t xml:space="preserve">האפיק מובטח </w:t>
            </w:r>
            <w:r w:rsidR="0069537D">
              <w:rPr>
                <w:rFonts w:hint="cs"/>
                <w:rtl/>
              </w:rPr>
              <w:t>ה</w:t>
            </w:r>
            <w:r w:rsidRPr="00185BBE">
              <w:rPr>
                <w:rFonts w:hint="cs"/>
                <w:rtl/>
              </w:rPr>
              <w:t>תשואה</w:t>
            </w:r>
            <w:r w:rsidR="0015731F">
              <w:rPr>
                <w:rFonts w:hint="cs"/>
                <w:rtl/>
              </w:rPr>
              <w:t xml:space="preserve"> והמסלול או המסלולים האחרים, לפי העניין</w:t>
            </w:r>
            <w:r w:rsidR="00516986">
              <w:rPr>
                <w:rFonts w:hint="cs"/>
                <w:rtl/>
              </w:rPr>
              <w:t xml:space="preserve">. הוראות אלה </w:t>
            </w:r>
            <w:r w:rsidR="00516986" w:rsidRPr="00516986">
              <w:rPr>
                <w:rtl/>
              </w:rPr>
              <w:t xml:space="preserve">יחולו גם על </w:t>
            </w:r>
            <w:r w:rsidR="00516986">
              <w:rPr>
                <w:rFonts w:hint="cs"/>
                <w:rtl/>
              </w:rPr>
              <w:t xml:space="preserve">הוצאות ישירות הנגבות כנגד השקעה במסגרת </w:t>
            </w:r>
            <w:r w:rsidR="00516986" w:rsidRPr="00516986">
              <w:rPr>
                <w:rtl/>
              </w:rPr>
              <w:t>קרן ותיקה שבהסדר</w:t>
            </w:r>
            <w:r w:rsidR="00516986">
              <w:rPr>
                <w:rFonts w:hint="cs"/>
                <w:rtl/>
              </w:rPr>
              <w:t>,</w:t>
            </w:r>
            <w:r w:rsidR="00516986" w:rsidRPr="00516986">
              <w:rPr>
                <w:rtl/>
              </w:rPr>
              <w:t xml:space="preserve"> וקרן ותיקה שאינה בהסדר </w:t>
            </w:r>
            <w:r w:rsidR="00516986" w:rsidRPr="00516986">
              <w:rPr>
                <w:rFonts w:hint="eastAsia"/>
                <w:rtl/>
              </w:rPr>
              <w:t>שאינה</w:t>
            </w:r>
            <w:r w:rsidR="00516986" w:rsidRPr="00516986">
              <w:rPr>
                <w:rtl/>
              </w:rPr>
              <w:t xml:space="preserve"> קרן ותיקה מסלולית, כהגדרתן בסעיף 34ב לחוק קופות גמל, </w:t>
            </w:r>
            <w:r w:rsidR="00516986" w:rsidRPr="00516986">
              <w:rPr>
                <w:rFonts w:hint="eastAsia"/>
                <w:rtl/>
              </w:rPr>
              <w:t>בשינויים</w:t>
            </w:r>
            <w:r w:rsidR="00516986" w:rsidRPr="00516986">
              <w:rPr>
                <w:rtl/>
              </w:rPr>
              <w:t xml:space="preserve"> </w:t>
            </w:r>
            <w:r w:rsidR="00516986" w:rsidRPr="00516986">
              <w:rPr>
                <w:rFonts w:hint="eastAsia"/>
                <w:rtl/>
              </w:rPr>
              <w:t>המחויבים</w:t>
            </w:r>
            <w:r w:rsidR="00516986" w:rsidRPr="00516986">
              <w:rPr>
                <w:rtl/>
              </w:rPr>
              <w:t>.</w:t>
            </w:r>
            <w:r>
              <w:rPr>
                <w:rFonts w:hint="cs"/>
                <w:rtl/>
              </w:rPr>
              <w:t xml:space="preserve"> </w:t>
            </w:r>
          </w:p>
        </w:tc>
      </w:tr>
      <w:tr w:rsidR="00516986">
        <w:trPr>
          <w:cantSplit/>
          <w:trHeight w:val="60"/>
        </w:trPr>
        <w:tc>
          <w:tcPr>
            <w:tcW w:w="1871" w:type="dxa"/>
          </w:tcPr>
          <w:p w:rsidR="00516986" w:rsidRDefault="00516986">
            <w:pPr>
              <w:pStyle w:val="TableSideHeading"/>
            </w:pPr>
          </w:p>
        </w:tc>
        <w:tc>
          <w:tcPr>
            <w:tcW w:w="624" w:type="dxa"/>
          </w:tcPr>
          <w:p w:rsidR="00516986" w:rsidRDefault="00516986" w:rsidP="00516986">
            <w:pPr>
              <w:pStyle w:val="TableText"/>
            </w:pPr>
          </w:p>
        </w:tc>
        <w:tc>
          <w:tcPr>
            <w:tcW w:w="624" w:type="dxa"/>
          </w:tcPr>
          <w:p w:rsidR="00516986" w:rsidRDefault="00516986">
            <w:pPr>
              <w:pStyle w:val="TableText"/>
            </w:pPr>
          </w:p>
        </w:tc>
        <w:tc>
          <w:tcPr>
            <w:tcW w:w="624" w:type="dxa"/>
          </w:tcPr>
          <w:p w:rsidR="00516986" w:rsidRDefault="00516986">
            <w:pPr>
              <w:pStyle w:val="TableText"/>
            </w:pPr>
          </w:p>
        </w:tc>
        <w:tc>
          <w:tcPr>
            <w:tcW w:w="5898" w:type="dxa"/>
            <w:gridSpan w:val="4"/>
          </w:tcPr>
          <w:p w:rsidR="00516986" w:rsidRPr="00185BBE" w:rsidRDefault="00516986" w:rsidP="00DA5352">
            <w:pPr>
              <w:pStyle w:val="TableBlock"/>
              <w:numPr>
                <w:ilvl w:val="0"/>
                <w:numId w:val="11"/>
              </w:numPr>
              <w:rPr>
                <w:rtl/>
              </w:rPr>
            </w:pPr>
            <w:r>
              <w:rPr>
                <w:rFonts w:hint="cs"/>
                <w:rtl/>
              </w:rPr>
              <w:t xml:space="preserve">על אף האמור בתקנת משנה (ב), </w:t>
            </w:r>
            <w:r w:rsidRPr="00185BBE">
              <w:rPr>
                <w:rFonts w:hint="cs"/>
                <w:rtl/>
              </w:rPr>
              <w:t>המגבלות המנויות בפסקאות (1) עד (3) לתקנת המשנה האמורה, לא יחולו על הוצאות ישירות המשולמות כנגד השקעות שמתבצעות במסגרת אפיק מובטח תשואה</w:t>
            </w:r>
            <w:r>
              <w:rPr>
                <w:rFonts w:hint="cs"/>
                <w:rtl/>
              </w:rPr>
              <w:t>, אם המסלול הקובע כהגדרתו בסעיף 34ג לחוק קופות גמל, אינו אחד מהמסלולים המנויים בפסקאות האמורות</w:t>
            </w:r>
            <w:r w:rsidRPr="00185BBE">
              <w:rPr>
                <w:rFonts w:hint="cs"/>
                <w:rtl/>
              </w:rPr>
              <w:t>.</w:t>
            </w:r>
          </w:p>
        </w:tc>
      </w:tr>
      <w:tr w:rsidR="00EC3DBB">
        <w:trPr>
          <w:cantSplit/>
          <w:trHeight w:val="60"/>
        </w:trPr>
        <w:tc>
          <w:tcPr>
            <w:tcW w:w="1871" w:type="dxa"/>
          </w:tcPr>
          <w:p w:rsidR="00EC3DBB" w:rsidRDefault="00EC3DBB" w:rsidP="001F591F">
            <w:pPr>
              <w:pStyle w:val="TableSideHeading"/>
              <w:keepLines w:val="0"/>
            </w:pPr>
            <w:bookmarkStart w:id="28" w:name="_Toc100499816"/>
            <w:bookmarkStart w:id="29" w:name="_Toc100500688"/>
            <w:r>
              <w:rPr>
                <w:rFonts w:hint="cs"/>
                <w:rtl/>
              </w:rPr>
              <w:t>הוספת תקנה 2א</w:t>
            </w:r>
            <w:bookmarkEnd w:id="28"/>
            <w:bookmarkEnd w:id="29"/>
          </w:p>
        </w:tc>
        <w:tc>
          <w:tcPr>
            <w:tcW w:w="624" w:type="dxa"/>
          </w:tcPr>
          <w:p w:rsidR="00EC3DBB" w:rsidRDefault="00EC3DBB" w:rsidP="00EC3DBB">
            <w:pPr>
              <w:pStyle w:val="TableText"/>
              <w:keepLines w:val="0"/>
              <w:numPr>
                <w:ilvl w:val="0"/>
                <w:numId w:val="3"/>
              </w:numPr>
            </w:pPr>
          </w:p>
        </w:tc>
        <w:tc>
          <w:tcPr>
            <w:tcW w:w="7146" w:type="dxa"/>
            <w:gridSpan w:val="6"/>
          </w:tcPr>
          <w:p w:rsidR="00EC3DBB" w:rsidRPr="00C34DE2" w:rsidRDefault="00EC3DBB" w:rsidP="001F591F">
            <w:pPr>
              <w:pStyle w:val="TableBlock"/>
              <w:keepLines w:val="0"/>
            </w:pPr>
            <w:r w:rsidRPr="00CC7483">
              <w:rPr>
                <w:rFonts w:hint="cs"/>
                <w:rtl/>
              </w:rPr>
              <w:t>אחרי תקנה 2 לתקנות העיקריות יבוא:</w:t>
            </w:r>
          </w:p>
        </w:tc>
      </w:tr>
      <w:tr w:rsidR="005D44A8">
        <w:trPr>
          <w:cantSplit/>
          <w:trHeight w:val="60"/>
        </w:trPr>
        <w:tc>
          <w:tcPr>
            <w:tcW w:w="1871" w:type="dxa"/>
          </w:tcPr>
          <w:p w:rsidR="005D44A8" w:rsidRDefault="005D44A8">
            <w:pPr>
              <w:pStyle w:val="TableSideHeading"/>
              <w:keepLines w:val="0"/>
            </w:pPr>
          </w:p>
        </w:tc>
        <w:tc>
          <w:tcPr>
            <w:tcW w:w="624" w:type="dxa"/>
          </w:tcPr>
          <w:p w:rsidR="005D44A8" w:rsidRDefault="005D44A8">
            <w:pPr>
              <w:pStyle w:val="TableText"/>
              <w:keepLines w:val="0"/>
            </w:pPr>
          </w:p>
        </w:tc>
        <w:tc>
          <w:tcPr>
            <w:tcW w:w="1872" w:type="dxa"/>
            <w:gridSpan w:val="3"/>
          </w:tcPr>
          <w:p w:rsidR="005D44A8" w:rsidRDefault="00801361">
            <w:pPr>
              <w:pStyle w:val="TableInnerSideHeading"/>
            </w:pPr>
            <w:r>
              <w:rPr>
                <w:rFonts w:hint="cs"/>
                <w:rtl/>
              </w:rPr>
              <w:t>"</w:t>
            </w:r>
            <w:r w:rsidR="005D44A8">
              <w:rPr>
                <w:rFonts w:hint="cs"/>
                <w:rtl/>
              </w:rPr>
              <w:t>מגבלת עמלת ניהול חיצוני</w:t>
            </w:r>
          </w:p>
        </w:tc>
        <w:tc>
          <w:tcPr>
            <w:tcW w:w="624" w:type="dxa"/>
          </w:tcPr>
          <w:p w:rsidR="005D44A8" w:rsidRDefault="005D44A8">
            <w:pPr>
              <w:pStyle w:val="TableText"/>
            </w:pPr>
            <w:r>
              <w:rPr>
                <w:rFonts w:hint="cs"/>
                <w:rtl/>
              </w:rPr>
              <w:t>2א.</w:t>
            </w:r>
          </w:p>
        </w:tc>
        <w:tc>
          <w:tcPr>
            <w:tcW w:w="4650" w:type="dxa"/>
            <w:gridSpan w:val="2"/>
          </w:tcPr>
          <w:p w:rsidR="005D44A8" w:rsidRDefault="00801361" w:rsidP="00DA5352">
            <w:pPr>
              <w:pStyle w:val="TableBlock"/>
              <w:numPr>
                <w:ilvl w:val="0"/>
                <w:numId w:val="16"/>
              </w:numPr>
              <w:tabs>
                <w:tab w:val="left" w:pos="624"/>
              </w:tabs>
            </w:pPr>
            <w:r w:rsidRPr="001F52D9">
              <w:rPr>
                <w:rFonts w:hint="eastAsia"/>
                <w:rtl/>
              </w:rPr>
              <w:t>משקיע</w:t>
            </w:r>
            <w:r w:rsidRPr="001F52D9">
              <w:rPr>
                <w:rtl/>
              </w:rPr>
              <w:t xml:space="preserve"> מוסדי </w:t>
            </w:r>
            <w:r w:rsidRPr="005B7491">
              <w:rPr>
                <w:rFonts w:hint="eastAsia"/>
                <w:rtl/>
              </w:rPr>
              <w:t>יקבע</w:t>
            </w:r>
            <w:r w:rsidRPr="005B7491">
              <w:rPr>
                <w:rtl/>
              </w:rPr>
              <w:t xml:space="preserve"> לגבי כל </w:t>
            </w:r>
            <w:r w:rsidRPr="001F52D9">
              <w:rPr>
                <w:rFonts w:hint="eastAsia"/>
                <w:rtl/>
              </w:rPr>
              <w:t>מסלול</w:t>
            </w:r>
            <w:r w:rsidRPr="001F52D9">
              <w:rPr>
                <w:rtl/>
              </w:rPr>
              <w:t xml:space="preserve"> </w:t>
            </w:r>
            <w:r w:rsidRPr="001F52D9">
              <w:rPr>
                <w:rFonts w:hint="eastAsia"/>
                <w:rtl/>
              </w:rPr>
              <w:t>השקעה</w:t>
            </w:r>
            <w:r w:rsidRPr="001F52D9">
              <w:rPr>
                <w:rtl/>
              </w:rPr>
              <w:t xml:space="preserve"> </w:t>
            </w:r>
            <w:r w:rsidRPr="001F52D9">
              <w:rPr>
                <w:rFonts w:hint="eastAsia"/>
                <w:rtl/>
              </w:rPr>
              <w:t>שבניהולו</w:t>
            </w:r>
            <w:r w:rsidRPr="001F52D9">
              <w:rPr>
                <w:rtl/>
              </w:rPr>
              <w:t xml:space="preserve">, </w:t>
            </w:r>
            <w:r w:rsidRPr="001F52D9">
              <w:rPr>
                <w:rFonts w:hint="eastAsia"/>
                <w:rtl/>
              </w:rPr>
              <w:t>את</w:t>
            </w:r>
            <w:r w:rsidRPr="001F52D9">
              <w:rPr>
                <w:rtl/>
              </w:rPr>
              <w:t xml:space="preserve"> השיעור המקסימלי של הוצאות ישירות מסוג עמלת</w:t>
            </w:r>
            <w:r w:rsidRPr="00801361">
              <w:rPr>
                <w:rFonts w:hint="cs"/>
                <w:rtl/>
              </w:rPr>
              <w:t xml:space="preserve"> ניהול חיצוני שבאפשרותו לגבות בכל שנה קלנדרית (בתקנה זו </w:t>
            </w:r>
            <w:r w:rsidRPr="00801361">
              <w:rPr>
                <w:rtl/>
              </w:rPr>
              <w:t>–</w:t>
            </w:r>
            <w:r w:rsidRPr="00801361">
              <w:rPr>
                <w:rFonts w:hint="cs"/>
                <w:rtl/>
              </w:rPr>
              <w:t xml:space="preserve"> מגבלת עמלת ניהול חיצוני). במגבלת עמלת ניהול חיצוני לא תיכלל הוצאה שהיא תשלום של דמי ניהול משתנים. בתקנת משנה זו, "דמי ניהול משתנים" </w:t>
            </w:r>
            <w:r w:rsidRPr="00801361">
              <w:rPr>
                <w:rtl/>
              </w:rPr>
              <w:t>–</w:t>
            </w:r>
            <w:r w:rsidRPr="00801361">
              <w:rPr>
                <w:rFonts w:hint="cs"/>
                <w:rtl/>
              </w:rPr>
              <w:t xml:space="preserve"> </w:t>
            </w:r>
            <w:r w:rsidR="00646D33">
              <w:rPr>
                <w:rFonts w:hint="cs"/>
                <w:rtl/>
              </w:rPr>
              <w:t>החלק מ</w:t>
            </w:r>
            <w:r w:rsidRPr="00801361">
              <w:rPr>
                <w:rFonts w:hint="cs"/>
                <w:rtl/>
              </w:rPr>
              <w:t xml:space="preserve">תשלום </w:t>
            </w:r>
            <w:r w:rsidR="003B3436">
              <w:rPr>
                <w:rFonts w:hint="cs"/>
                <w:rtl/>
              </w:rPr>
              <w:t xml:space="preserve">עמלת ניהול חיצוני </w:t>
            </w:r>
            <w:r w:rsidRPr="00801361">
              <w:rPr>
                <w:rFonts w:hint="cs"/>
                <w:rtl/>
              </w:rPr>
              <w:t>אשר</w:t>
            </w:r>
            <w:r w:rsidR="009F1D82">
              <w:rPr>
                <w:rFonts w:hint="cs"/>
                <w:rtl/>
              </w:rPr>
              <w:t xml:space="preserve"> נגבה מנכסי המשקיע המוסדי ואשר</w:t>
            </w:r>
            <w:r w:rsidRPr="00801361">
              <w:rPr>
                <w:rFonts w:hint="cs"/>
                <w:rtl/>
              </w:rPr>
              <w:t xml:space="preserve"> נגזר מתשואת ה</w:t>
            </w:r>
            <w:r w:rsidR="003B3436">
              <w:rPr>
                <w:rFonts w:hint="cs"/>
                <w:rtl/>
              </w:rPr>
              <w:t>נכסים שבגינם נגבית העמלה האמורה</w:t>
            </w:r>
            <w:r w:rsidRPr="00801361">
              <w:rPr>
                <w:rFonts w:hint="cs"/>
                <w:rtl/>
              </w:rPr>
              <w:t>.</w:t>
            </w:r>
          </w:p>
        </w:tc>
      </w:tr>
      <w:tr w:rsidR="005D44A8">
        <w:trPr>
          <w:cantSplit/>
          <w:trHeight w:val="60"/>
        </w:trPr>
        <w:tc>
          <w:tcPr>
            <w:tcW w:w="1871" w:type="dxa"/>
          </w:tcPr>
          <w:p w:rsidR="005D44A8" w:rsidRDefault="005D44A8">
            <w:pPr>
              <w:pStyle w:val="TableSideHeading"/>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4650" w:type="dxa"/>
            <w:gridSpan w:val="2"/>
          </w:tcPr>
          <w:p w:rsidR="005D44A8" w:rsidRDefault="00801361" w:rsidP="00DA5352">
            <w:pPr>
              <w:pStyle w:val="TableBlock"/>
              <w:numPr>
                <w:ilvl w:val="0"/>
                <w:numId w:val="16"/>
              </w:numPr>
              <w:tabs>
                <w:tab w:val="left" w:pos="624"/>
              </w:tabs>
            </w:pPr>
            <w:r w:rsidRPr="00801361">
              <w:rPr>
                <w:rFonts w:hint="cs"/>
                <w:rtl/>
              </w:rPr>
              <w:t xml:space="preserve">מגבלת עמלת ניהול חיצוני כאמור בתקנת משנה (א) תחושב מתוך שווי סך כל </w:t>
            </w:r>
            <w:r w:rsidR="007B76E5">
              <w:rPr>
                <w:rFonts w:hint="cs"/>
                <w:rtl/>
              </w:rPr>
              <w:t xml:space="preserve">נכסי </w:t>
            </w:r>
            <w:r w:rsidR="00836F33">
              <w:rPr>
                <w:rFonts w:hint="cs"/>
                <w:rtl/>
              </w:rPr>
              <w:t>מסלול</w:t>
            </w:r>
            <w:r w:rsidR="00156B9F">
              <w:rPr>
                <w:rFonts w:hint="cs"/>
                <w:rtl/>
              </w:rPr>
              <w:t xml:space="preserve"> </w:t>
            </w:r>
            <w:r w:rsidR="007B76E5">
              <w:rPr>
                <w:rFonts w:hint="cs"/>
                <w:rtl/>
              </w:rPr>
              <w:t>ה</w:t>
            </w:r>
            <w:r w:rsidR="00156B9F">
              <w:rPr>
                <w:rFonts w:hint="cs"/>
                <w:rtl/>
              </w:rPr>
              <w:t>השקעה</w:t>
            </w:r>
            <w:r w:rsidRPr="00801361">
              <w:rPr>
                <w:rFonts w:hint="cs"/>
                <w:rtl/>
              </w:rPr>
              <w:t>. במסגרת חישוב המגבלה כאמור לא יובאו בחשבון הוצאות ישירות מסוג עמלת ניהול חיצוני שיגבו לצורך השקעות הנכללות באפיק השקעה מובטח תשואה. הוראות תקנת משנה זו, יחולו גם על קרן ותיקה שבהסדר וקרן ותיקה שאינה בהסדר ושאינה קרן ותיקה מסלולית, בשינויים המחויבים לעניין זה.</w:t>
            </w:r>
          </w:p>
        </w:tc>
      </w:tr>
      <w:tr w:rsidR="005D44A8">
        <w:trPr>
          <w:cantSplit/>
          <w:trHeight w:val="60"/>
        </w:trPr>
        <w:tc>
          <w:tcPr>
            <w:tcW w:w="1871" w:type="dxa"/>
          </w:tcPr>
          <w:p w:rsidR="005D44A8" w:rsidRDefault="005D44A8">
            <w:pPr>
              <w:pStyle w:val="TableSideHeading"/>
            </w:pPr>
          </w:p>
        </w:tc>
        <w:tc>
          <w:tcPr>
            <w:tcW w:w="624" w:type="dxa"/>
          </w:tcPr>
          <w:p w:rsidR="005D44A8" w:rsidRDefault="005D44A8" w:rsidP="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4650" w:type="dxa"/>
            <w:gridSpan w:val="2"/>
          </w:tcPr>
          <w:p w:rsidR="005D44A8" w:rsidRDefault="00801361" w:rsidP="00DA5352">
            <w:pPr>
              <w:pStyle w:val="TableBlock"/>
              <w:numPr>
                <w:ilvl w:val="0"/>
                <w:numId w:val="16"/>
              </w:numPr>
              <w:tabs>
                <w:tab w:val="left" w:pos="624"/>
              </w:tabs>
            </w:pPr>
            <w:r w:rsidRPr="00801361">
              <w:rPr>
                <w:rFonts w:hint="cs"/>
                <w:rtl/>
              </w:rPr>
              <w:t>משקיע מוסדי יפרסם באתר האינטרנט שלו את מגבלת עמלת ניהול חיצוני שקבע עבור שנה קלנדרית מסוימת כאמור בתקנת משנה (א), לא יאוחר מיום 31 בדצמבר של השנה הקלנדרית שקדמה לשנה שבעבורה נקבעה המגבלה האמורה.</w:t>
            </w:r>
          </w:p>
        </w:tc>
      </w:tr>
      <w:tr w:rsidR="005D44A8">
        <w:trPr>
          <w:cantSplit/>
          <w:trHeight w:val="60"/>
        </w:trPr>
        <w:tc>
          <w:tcPr>
            <w:tcW w:w="1871" w:type="dxa"/>
          </w:tcPr>
          <w:p w:rsidR="005D44A8" w:rsidRDefault="005D44A8">
            <w:pPr>
              <w:pStyle w:val="TableSideHeading"/>
            </w:pPr>
          </w:p>
        </w:tc>
        <w:tc>
          <w:tcPr>
            <w:tcW w:w="624" w:type="dxa"/>
          </w:tcPr>
          <w:p w:rsidR="005D44A8" w:rsidRDefault="005D44A8" w:rsidP="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624" w:type="dxa"/>
          </w:tcPr>
          <w:p w:rsidR="005D44A8" w:rsidRDefault="005D44A8">
            <w:pPr>
              <w:pStyle w:val="TableText"/>
            </w:pPr>
          </w:p>
        </w:tc>
        <w:tc>
          <w:tcPr>
            <w:tcW w:w="4650" w:type="dxa"/>
            <w:gridSpan w:val="2"/>
          </w:tcPr>
          <w:p w:rsidR="005D44A8" w:rsidRDefault="00801361" w:rsidP="00DA5352">
            <w:pPr>
              <w:pStyle w:val="TableBlock"/>
              <w:numPr>
                <w:ilvl w:val="0"/>
                <w:numId w:val="16"/>
              </w:numPr>
              <w:tabs>
                <w:tab w:val="left" w:pos="624"/>
              </w:tabs>
            </w:pPr>
            <w:r w:rsidRPr="00801361">
              <w:rPr>
                <w:rFonts w:hint="cs"/>
                <w:rtl/>
              </w:rPr>
              <w:t xml:space="preserve">על אף האמור בתקנת משנה (ג) </w:t>
            </w:r>
            <w:r w:rsidR="002217D6" w:rsidRPr="00010BF9">
              <w:rPr>
                <w:rtl/>
              </w:rPr>
              <w:t>–</w:t>
            </w:r>
          </w:p>
        </w:tc>
      </w:tr>
      <w:tr w:rsidR="00801361">
        <w:trPr>
          <w:cantSplit/>
          <w:trHeight w:val="60"/>
        </w:trPr>
        <w:tc>
          <w:tcPr>
            <w:tcW w:w="1871" w:type="dxa"/>
          </w:tcPr>
          <w:p w:rsidR="00801361" w:rsidRDefault="00801361" w:rsidP="00801361">
            <w:pPr>
              <w:pStyle w:val="TableSideHeading"/>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4026" w:type="dxa"/>
          </w:tcPr>
          <w:p w:rsidR="00801361" w:rsidRDefault="00801361" w:rsidP="00DA5352">
            <w:pPr>
              <w:pStyle w:val="TableBlock"/>
              <w:numPr>
                <w:ilvl w:val="0"/>
                <w:numId w:val="17"/>
              </w:numPr>
              <w:tabs>
                <w:tab w:val="left" w:pos="624"/>
              </w:tabs>
            </w:pPr>
            <w:r>
              <w:rPr>
                <w:rFonts w:hint="cs"/>
                <w:rtl/>
              </w:rPr>
              <w:t>בעבור קופת גמל חדשה או מסלול השקעה שאושרו במהלך שנה קלנדרית מסוימת, יפרסם המשקיע המוסדי את מגבלת עמלת ניהול חיצוני עבור אותה שנה קלנדרית שבה אושרו, לא יאוחר מהמועד שבו עמיתים חדשים יהיו רשאים להצטרף לאותה קופה או לאותו מסלול ההשקעה, לפי העניין.</w:t>
            </w:r>
          </w:p>
        </w:tc>
      </w:tr>
      <w:tr w:rsidR="00801361">
        <w:trPr>
          <w:cantSplit/>
          <w:trHeight w:val="60"/>
        </w:trPr>
        <w:tc>
          <w:tcPr>
            <w:tcW w:w="1871" w:type="dxa"/>
          </w:tcPr>
          <w:p w:rsidR="00801361" w:rsidRDefault="00801361" w:rsidP="00801361">
            <w:pPr>
              <w:pStyle w:val="TableSideHeading"/>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624" w:type="dxa"/>
          </w:tcPr>
          <w:p w:rsidR="00801361" w:rsidRDefault="00801361" w:rsidP="00801361">
            <w:pPr>
              <w:pStyle w:val="TableText"/>
            </w:pPr>
          </w:p>
        </w:tc>
        <w:tc>
          <w:tcPr>
            <w:tcW w:w="4026" w:type="dxa"/>
          </w:tcPr>
          <w:p w:rsidR="00801361" w:rsidRDefault="00801361" w:rsidP="00DA5352">
            <w:pPr>
              <w:pStyle w:val="TableBlock"/>
              <w:numPr>
                <w:ilvl w:val="0"/>
                <w:numId w:val="17"/>
              </w:numPr>
              <w:tabs>
                <w:tab w:val="left" w:pos="624"/>
              </w:tabs>
            </w:pPr>
            <w:r>
              <w:rPr>
                <w:rFonts w:hint="cs"/>
                <w:rtl/>
              </w:rPr>
              <w:t>מוזגה קופת גמל אחת לתוך קופת גמל אחרת, או שמוזג מסלול השקעה לתוך מסלול השקעה אחר, יפרסם המשקיע המוסדי את מגבלת עמלת ניהול חיצוני עבור אותה שנה קלנדרית שבה התבצע המיזוג כאמור, לא יאוחר משלושים ימים מהמועד שנקבע על ידי הממונה למיזוג קופות הגמל, לפי הוראות סעיף 37(א) לחוק קופות גמל.</w:t>
            </w:r>
          </w:p>
        </w:tc>
      </w:tr>
      <w:tr w:rsidR="00801361">
        <w:trPr>
          <w:cantSplit/>
          <w:trHeight w:val="60"/>
        </w:trPr>
        <w:tc>
          <w:tcPr>
            <w:tcW w:w="1871" w:type="dxa"/>
          </w:tcPr>
          <w:p w:rsidR="00801361" w:rsidRDefault="00801361">
            <w:pPr>
              <w:pStyle w:val="TableSideHeading"/>
            </w:pPr>
          </w:p>
        </w:tc>
        <w:tc>
          <w:tcPr>
            <w:tcW w:w="624" w:type="dxa"/>
          </w:tcPr>
          <w:p w:rsidR="00801361" w:rsidRDefault="00801361">
            <w:pPr>
              <w:pStyle w:val="TableText"/>
            </w:pPr>
          </w:p>
        </w:tc>
        <w:tc>
          <w:tcPr>
            <w:tcW w:w="624" w:type="dxa"/>
          </w:tcPr>
          <w:p w:rsidR="00801361" w:rsidRDefault="00801361">
            <w:pPr>
              <w:pStyle w:val="TableText"/>
            </w:pPr>
          </w:p>
        </w:tc>
        <w:tc>
          <w:tcPr>
            <w:tcW w:w="624" w:type="dxa"/>
          </w:tcPr>
          <w:p w:rsidR="00801361" w:rsidRDefault="00801361">
            <w:pPr>
              <w:pStyle w:val="TableText"/>
            </w:pPr>
          </w:p>
        </w:tc>
        <w:tc>
          <w:tcPr>
            <w:tcW w:w="624" w:type="dxa"/>
          </w:tcPr>
          <w:p w:rsidR="00801361" w:rsidRDefault="00801361">
            <w:pPr>
              <w:pStyle w:val="TableText"/>
            </w:pPr>
          </w:p>
        </w:tc>
        <w:tc>
          <w:tcPr>
            <w:tcW w:w="624" w:type="dxa"/>
          </w:tcPr>
          <w:p w:rsidR="00801361" w:rsidRDefault="00801361">
            <w:pPr>
              <w:pStyle w:val="TableText"/>
            </w:pPr>
          </w:p>
        </w:tc>
        <w:tc>
          <w:tcPr>
            <w:tcW w:w="4650" w:type="dxa"/>
            <w:gridSpan w:val="2"/>
          </w:tcPr>
          <w:p w:rsidR="00801361" w:rsidRDefault="00801361" w:rsidP="00DA5352">
            <w:pPr>
              <w:pStyle w:val="TableBlock"/>
              <w:numPr>
                <w:ilvl w:val="0"/>
                <w:numId w:val="16"/>
              </w:numPr>
              <w:tabs>
                <w:tab w:val="left" w:pos="624"/>
              </w:tabs>
            </w:pPr>
            <w:r>
              <w:rPr>
                <w:rFonts w:hint="cs"/>
                <w:rtl/>
              </w:rPr>
              <w:t>משקיע מוסדי לא יגבה הוצאות ישירות מסוג עמלת ניהול חיצוני, מעבר למגבלת עמלת ניהול חיצוני ש</w:t>
            </w:r>
            <w:r w:rsidR="007D6D40">
              <w:rPr>
                <w:rFonts w:hint="cs"/>
                <w:rtl/>
              </w:rPr>
              <w:t>קבע לפי תקנת משנה (א), וש</w:t>
            </w:r>
            <w:r>
              <w:rPr>
                <w:rFonts w:hint="cs"/>
                <w:rtl/>
              </w:rPr>
              <w:t>פורסמה לפי תקנת משנה (ג) או (ד), לפי העניין.".</w:t>
            </w:r>
          </w:p>
        </w:tc>
      </w:tr>
      <w:tr w:rsidR="0099149E">
        <w:trPr>
          <w:cantSplit/>
          <w:trHeight w:val="60"/>
        </w:trPr>
        <w:tc>
          <w:tcPr>
            <w:tcW w:w="1871" w:type="dxa"/>
          </w:tcPr>
          <w:p w:rsidR="0099149E" w:rsidRDefault="0099149E" w:rsidP="001F591F">
            <w:pPr>
              <w:pStyle w:val="TableSideHeading"/>
              <w:keepLines w:val="0"/>
            </w:pPr>
            <w:bookmarkStart w:id="30" w:name="_Toc100499817"/>
            <w:bookmarkStart w:id="31" w:name="_Toc100500689"/>
            <w:r>
              <w:rPr>
                <w:rFonts w:hint="cs"/>
                <w:rtl/>
              </w:rPr>
              <w:t>תיקון תקנה 3א</w:t>
            </w:r>
            <w:bookmarkEnd w:id="30"/>
            <w:bookmarkEnd w:id="31"/>
          </w:p>
        </w:tc>
        <w:tc>
          <w:tcPr>
            <w:tcW w:w="624" w:type="dxa"/>
          </w:tcPr>
          <w:p w:rsidR="0099149E" w:rsidRDefault="0099149E" w:rsidP="0099149E">
            <w:pPr>
              <w:pStyle w:val="TableText"/>
              <w:keepLines w:val="0"/>
              <w:numPr>
                <w:ilvl w:val="0"/>
                <w:numId w:val="3"/>
              </w:numPr>
            </w:pPr>
          </w:p>
        </w:tc>
        <w:tc>
          <w:tcPr>
            <w:tcW w:w="7146" w:type="dxa"/>
            <w:gridSpan w:val="6"/>
          </w:tcPr>
          <w:p w:rsidR="0099149E" w:rsidRPr="00C34DE2" w:rsidRDefault="0099149E" w:rsidP="00801361">
            <w:pPr>
              <w:pStyle w:val="TableBlock"/>
              <w:keepLines w:val="0"/>
            </w:pPr>
            <w:r>
              <w:rPr>
                <w:rFonts w:hint="cs"/>
                <w:rtl/>
              </w:rPr>
              <w:t>בתקנה 3א לתקנות העיקריות, במקום "יום ה' בניסן התשפ"ב (6 באפריל 2022)" יבוא "יום ז' בטבת התשפ"</w:t>
            </w:r>
            <w:r w:rsidR="00801361">
              <w:rPr>
                <w:rFonts w:hint="cs"/>
                <w:rtl/>
              </w:rPr>
              <w:t>ג</w:t>
            </w:r>
            <w:r>
              <w:rPr>
                <w:rFonts w:hint="cs"/>
                <w:rtl/>
              </w:rPr>
              <w:t xml:space="preserve"> (31 בדצמבר 2022)".</w:t>
            </w:r>
          </w:p>
        </w:tc>
      </w:tr>
      <w:tr w:rsidR="00095571">
        <w:trPr>
          <w:cantSplit/>
          <w:trHeight w:val="60"/>
        </w:trPr>
        <w:tc>
          <w:tcPr>
            <w:tcW w:w="1871" w:type="dxa"/>
          </w:tcPr>
          <w:p w:rsidR="00095571" w:rsidRDefault="00095571" w:rsidP="001F591F">
            <w:pPr>
              <w:pStyle w:val="TableSideHeading"/>
              <w:keepLines w:val="0"/>
            </w:pPr>
            <w:bookmarkStart w:id="32" w:name="_Toc100499818"/>
            <w:bookmarkStart w:id="33" w:name="_Toc100500690"/>
            <w:r>
              <w:rPr>
                <w:rFonts w:hint="cs"/>
                <w:rtl/>
              </w:rPr>
              <w:t>תיקון תקנה 3ב</w:t>
            </w:r>
            <w:bookmarkEnd w:id="32"/>
            <w:bookmarkEnd w:id="33"/>
          </w:p>
        </w:tc>
        <w:tc>
          <w:tcPr>
            <w:tcW w:w="624" w:type="dxa"/>
          </w:tcPr>
          <w:p w:rsidR="00095571" w:rsidRDefault="00095571" w:rsidP="00095571">
            <w:pPr>
              <w:pStyle w:val="TableText"/>
              <w:keepLines w:val="0"/>
              <w:numPr>
                <w:ilvl w:val="0"/>
                <w:numId w:val="3"/>
              </w:numPr>
            </w:pPr>
          </w:p>
        </w:tc>
        <w:tc>
          <w:tcPr>
            <w:tcW w:w="7146" w:type="dxa"/>
            <w:gridSpan w:val="6"/>
          </w:tcPr>
          <w:p w:rsidR="00095571" w:rsidRPr="00C34DE2" w:rsidRDefault="00095571" w:rsidP="001F591F">
            <w:pPr>
              <w:pStyle w:val="TableBlock"/>
              <w:keepLines w:val="0"/>
            </w:pPr>
            <w:r>
              <w:rPr>
                <w:rFonts w:hint="cs"/>
                <w:rtl/>
              </w:rPr>
              <w:t>בתקנה 3ב לתקנות העיקריות, אחרי תקנת משנה (ב) יבוא:</w:t>
            </w:r>
          </w:p>
        </w:tc>
      </w:tr>
      <w:tr w:rsidR="00095571">
        <w:trPr>
          <w:cantSplit/>
          <w:trHeight w:val="60"/>
        </w:trPr>
        <w:tc>
          <w:tcPr>
            <w:tcW w:w="1871" w:type="dxa"/>
          </w:tcPr>
          <w:p w:rsidR="00095571" w:rsidRDefault="00095571">
            <w:pPr>
              <w:pStyle w:val="TableSideHeading"/>
            </w:pPr>
          </w:p>
        </w:tc>
        <w:tc>
          <w:tcPr>
            <w:tcW w:w="624" w:type="dxa"/>
          </w:tcPr>
          <w:p w:rsidR="00095571" w:rsidRDefault="00095571">
            <w:pPr>
              <w:pStyle w:val="TableText"/>
            </w:pPr>
          </w:p>
        </w:tc>
        <w:tc>
          <w:tcPr>
            <w:tcW w:w="624" w:type="dxa"/>
          </w:tcPr>
          <w:p w:rsidR="00095571" w:rsidRDefault="00095571">
            <w:pPr>
              <w:pStyle w:val="TableText"/>
            </w:pPr>
          </w:p>
        </w:tc>
        <w:tc>
          <w:tcPr>
            <w:tcW w:w="6522" w:type="dxa"/>
            <w:gridSpan w:val="5"/>
          </w:tcPr>
          <w:p w:rsidR="00095571" w:rsidRDefault="00095571" w:rsidP="00456A79">
            <w:pPr>
              <w:pStyle w:val="TableBlock"/>
              <w:rPr>
                <w:rtl/>
              </w:rPr>
            </w:pPr>
            <w:r>
              <w:rPr>
                <w:rFonts w:hint="cs"/>
                <w:rtl/>
              </w:rPr>
              <w:t>"(ג)</w:t>
            </w:r>
            <w:r w:rsidR="00456A79">
              <w:rPr>
                <w:rFonts w:hint="cs"/>
                <w:rtl/>
              </w:rPr>
              <w:t xml:space="preserve"> </w:t>
            </w:r>
            <w:r>
              <w:rPr>
                <w:rFonts w:hint="cs"/>
                <w:rtl/>
              </w:rPr>
              <w:t>הוצאות ישירות המשולמות כנגד השקעות הנכללות באפיק השקעה מובטח תשואה לא יכללו בדיווחים כאמור בתקנות משנה (א) ו-(ב).</w:t>
            </w:r>
            <w:r w:rsidR="00C521EF">
              <w:rPr>
                <w:rFonts w:hint="cs"/>
                <w:rtl/>
              </w:rPr>
              <w:t xml:space="preserve"> גוף מוסדי ידווח לממונה את שיעור ההוצאות הישירות כאמור, בתנאים ובאופן שיקבע הממונה</w:t>
            </w:r>
            <w:r w:rsidR="00A61C85">
              <w:rPr>
                <w:rFonts w:hint="cs"/>
                <w:rtl/>
              </w:rPr>
              <w:t>.</w:t>
            </w:r>
            <w:r>
              <w:rPr>
                <w:rFonts w:hint="cs"/>
                <w:rtl/>
              </w:rPr>
              <w:t xml:space="preserve"> הוראות תקנת משנה זו יחולו גם על קרן ותיקה שבהסדר וקרן ותיקה שאינה בהסדר שאינה קרן ותיקה מסלולית, כהגדרתן בסעיף 34ב לחוק קופות גמל, בשינויים המחויבים.</w:t>
            </w:r>
            <w:r w:rsidR="00665A5D">
              <w:rPr>
                <w:rFonts w:hint="cs"/>
                <w:rtl/>
              </w:rPr>
              <w:t>".</w:t>
            </w:r>
          </w:p>
        </w:tc>
      </w:tr>
      <w:tr w:rsidR="00334766">
        <w:trPr>
          <w:cantSplit/>
          <w:trHeight w:val="60"/>
        </w:trPr>
        <w:tc>
          <w:tcPr>
            <w:tcW w:w="1871" w:type="dxa"/>
          </w:tcPr>
          <w:p w:rsidR="00334766" w:rsidRDefault="00334766" w:rsidP="00334766">
            <w:pPr>
              <w:pStyle w:val="TableSideHeading"/>
            </w:pPr>
            <w:bookmarkStart w:id="34" w:name="_Toc100499819"/>
            <w:bookmarkStart w:id="35" w:name="_Toc100500691"/>
            <w:r>
              <w:rPr>
                <w:rFonts w:hint="cs"/>
                <w:rtl/>
              </w:rPr>
              <w:t>תחילה</w:t>
            </w:r>
            <w:bookmarkEnd w:id="34"/>
            <w:bookmarkEnd w:id="35"/>
          </w:p>
        </w:tc>
        <w:tc>
          <w:tcPr>
            <w:tcW w:w="624" w:type="dxa"/>
          </w:tcPr>
          <w:p w:rsidR="00334766" w:rsidRDefault="00334766" w:rsidP="00334766">
            <w:pPr>
              <w:pStyle w:val="TableText"/>
              <w:numPr>
                <w:ilvl w:val="0"/>
                <w:numId w:val="3"/>
              </w:numPr>
            </w:pPr>
          </w:p>
        </w:tc>
        <w:tc>
          <w:tcPr>
            <w:tcW w:w="7146" w:type="dxa"/>
            <w:gridSpan w:val="6"/>
          </w:tcPr>
          <w:p w:rsidR="00334766" w:rsidRPr="00705B8B" w:rsidRDefault="00334766" w:rsidP="00DA5352">
            <w:pPr>
              <w:pStyle w:val="TableBlock"/>
              <w:numPr>
                <w:ilvl w:val="0"/>
                <w:numId w:val="4"/>
              </w:numPr>
              <w:tabs>
                <w:tab w:val="left" w:pos="624"/>
              </w:tabs>
              <w:rPr>
                <w:rFonts w:ascii="David" w:hAnsi="David"/>
              </w:rPr>
            </w:pPr>
            <w:r w:rsidRPr="00705B8B">
              <w:rPr>
                <w:rStyle w:val="default"/>
                <w:rFonts w:ascii="David" w:hAnsi="David" w:cs="David"/>
                <w:rtl/>
              </w:rPr>
              <w:t xml:space="preserve">תחילתן של תקנות אלה </w:t>
            </w:r>
            <w:r>
              <w:rPr>
                <w:rStyle w:val="default"/>
                <w:rFonts w:ascii="David" w:hAnsi="David" w:cs="David" w:hint="cs"/>
                <w:rtl/>
              </w:rPr>
              <w:t>ביום ח' בטבת התשפ"ג (1 בינואר 2023).</w:t>
            </w:r>
          </w:p>
        </w:tc>
      </w:tr>
      <w:tr w:rsidR="00334766">
        <w:trPr>
          <w:cantSplit/>
          <w:trHeight w:val="60"/>
        </w:trPr>
        <w:tc>
          <w:tcPr>
            <w:tcW w:w="1871" w:type="dxa"/>
          </w:tcPr>
          <w:p w:rsidR="00334766" w:rsidRDefault="00334766" w:rsidP="00334766">
            <w:pPr>
              <w:pStyle w:val="TableSideHeading"/>
              <w:rPr>
                <w:rtl/>
              </w:rPr>
            </w:pPr>
          </w:p>
        </w:tc>
        <w:tc>
          <w:tcPr>
            <w:tcW w:w="624" w:type="dxa"/>
          </w:tcPr>
          <w:p w:rsidR="00334766" w:rsidRDefault="00334766" w:rsidP="00334766">
            <w:pPr>
              <w:pStyle w:val="TableText"/>
            </w:pPr>
          </w:p>
        </w:tc>
        <w:tc>
          <w:tcPr>
            <w:tcW w:w="7146" w:type="dxa"/>
            <w:gridSpan w:val="6"/>
          </w:tcPr>
          <w:p w:rsidR="00334766" w:rsidRPr="00570494" w:rsidRDefault="00334766" w:rsidP="00DA5352">
            <w:pPr>
              <w:pStyle w:val="TableBlock"/>
              <w:numPr>
                <w:ilvl w:val="0"/>
                <w:numId w:val="4"/>
              </w:numPr>
              <w:tabs>
                <w:tab w:val="left" w:pos="624"/>
              </w:tabs>
              <w:rPr>
                <w:rStyle w:val="default"/>
                <w:rFonts w:ascii="David" w:hAnsi="David" w:cs="David"/>
                <w:rtl/>
              </w:rPr>
            </w:pPr>
            <w:r>
              <w:rPr>
                <w:rStyle w:val="default"/>
                <w:rFonts w:ascii="David" w:hAnsi="David" w:cs="David" w:hint="cs"/>
                <w:rtl/>
              </w:rPr>
              <w:t xml:space="preserve">על אף האמור בתקנת משנה (א), תחילתה של </w:t>
            </w:r>
            <w:r w:rsidR="00921642">
              <w:rPr>
                <w:rStyle w:val="default"/>
                <w:rFonts w:ascii="David" w:hAnsi="David" w:cs="David" w:hint="cs"/>
                <w:rtl/>
              </w:rPr>
              <w:t>תקנה 3א לתקנות העיקריות, כנוסחה ב</w:t>
            </w:r>
            <w:r>
              <w:rPr>
                <w:rStyle w:val="default"/>
                <w:rFonts w:ascii="David" w:hAnsi="David" w:cs="David" w:hint="cs"/>
                <w:rtl/>
              </w:rPr>
              <w:t xml:space="preserve">תקנה </w:t>
            </w:r>
            <w:r w:rsidR="00921642">
              <w:rPr>
                <w:rStyle w:val="default"/>
                <w:rFonts w:ascii="David" w:hAnsi="David" w:cs="David" w:hint="cs"/>
                <w:rtl/>
              </w:rPr>
              <w:t>4</w:t>
            </w:r>
            <w:r>
              <w:rPr>
                <w:rStyle w:val="default"/>
                <w:rFonts w:ascii="David" w:hAnsi="David" w:cs="David" w:hint="cs"/>
                <w:rtl/>
              </w:rPr>
              <w:t>, ביום ו' בניסן התשפ"ב (7 באפריל 2022)".</w:t>
            </w:r>
          </w:p>
        </w:tc>
      </w:tr>
    </w:tbl>
    <w:p w:rsidR="00CC1274" w:rsidRDefault="00CC1274" w:rsidP="00035CBD">
      <w:pPr>
        <w:rPr>
          <w:rFonts w:eastAsia="Calibri"/>
          <w:sz w:val="26"/>
          <w:szCs w:val="26"/>
          <w:rtl/>
        </w:rPr>
      </w:pPr>
    </w:p>
    <w:p w:rsidR="00CB3361" w:rsidRPr="00CB3361" w:rsidRDefault="00CB3361" w:rsidP="00035CBD">
      <w:pPr>
        <w:rPr>
          <w:rFonts w:eastAsia="Calibri"/>
          <w:sz w:val="26"/>
          <w:szCs w:val="26"/>
          <w:rtl/>
        </w:rPr>
      </w:pPr>
      <w:r w:rsidRPr="00CB3361">
        <w:rPr>
          <w:rFonts w:eastAsia="Calibri"/>
          <w:sz w:val="26"/>
          <w:szCs w:val="26"/>
          <w:rtl/>
        </w:rPr>
        <w:t>___ ב________ התש</w:t>
      </w:r>
      <w:r>
        <w:rPr>
          <w:rFonts w:eastAsia="Calibri" w:hint="cs"/>
          <w:sz w:val="26"/>
          <w:szCs w:val="26"/>
          <w:rtl/>
        </w:rPr>
        <w:t>פ"ב</w:t>
      </w:r>
      <w:r w:rsidRPr="00CB3361">
        <w:rPr>
          <w:rFonts w:eastAsia="Calibri"/>
          <w:sz w:val="26"/>
          <w:szCs w:val="26"/>
          <w:rtl/>
        </w:rPr>
        <w:t xml:space="preserve"> (___ ב________ </w:t>
      </w:r>
      <w:r w:rsidR="008A7A89">
        <w:rPr>
          <w:rFonts w:eastAsia="Calibri" w:hint="cs"/>
          <w:sz w:val="26"/>
          <w:szCs w:val="26"/>
          <w:rtl/>
        </w:rPr>
        <w:t>2022</w:t>
      </w:r>
      <w:r w:rsidRPr="00CB3361">
        <w:rPr>
          <w:rFonts w:eastAsia="Calibri"/>
          <w:sz w:val="26"/>
          <w:szCs w:val="26"/>
          <w:rtl/>
        </w:rPr>
        <w:t>)</w:t>
      </w:r>
    </w:p>
    <w:p w:rsidR="00CB3361" w:rsidRPr="00CB3361" w:rsidRDefault="00CB3361" w:rsidP="00CB3361">
      <w:pPr>
        <w:rPr>
          <w:sz w:val="26"/>
          <w:szCs w:val="26"/>
          <w:rtl/>
        </w:rPr>
      </w:pPr>
      <w:r w:rsidRPr="00CB3361">
        <w:rPr>
          <w:sz w:val="26"/>
          <w:szCs w:val="26"/>
          <w:rtl/>
        </w:rPr>
        <w:t xml:space="preserve"> (חמ _____-3)</w:t>
      </w:r>
    </w:p>
    <w:p w:rsidR="00CB3361" w:rsidRPr="00CB3361" w:rsidRDefault="00CB3361" w:rsidP="00CB3361">
      <w:pPr>
        <w:ind w:left="5760"/>
        <w:jc w:val="center"/>
        <w:rPr>
          <w:sz w:val="26"/>
          <w:szCs w:val="26"/>
          <w:rtl/>
        </w:rPr>
      </w:pPr>
      <w:r w:rsidRPr="00CB3361">
        <w:rPr>
          <w:sz w:val="26"/>
          <w:szCs w:val="26"/>
          <w:rtl/>
        </w:rPr>
        <w:t>__________________</w:t>
      </w:r>
    </w:p>
    <w:p w:rsidR="00CB3361" w:rsidRPr="00CB3361" w:rsidRDefault="00CB3361" w:rsidP="00CB3361">
      <w:pPr>
        <w:ind w:left="5760"/>
        <w:jc w:val="center"/>
        <w:rPr>
          <w:sz w:val="26"/>
          <w:szCs w:val="26"/>
          <w:rtl/>
        </w:rPr>
      </w:pPr>
      <w:r>
        <w:rPr>
          <w:rFonts w:hint="cs"/>
          <w:sz w:val="26"/>
          <w:szCs w:val="26"/>
          <w:rtl/>
        </w:rPr>
        <w:t>אביגדור ליברמן</w:t>
      </w:r>
    </w:p>
    <w:p w:rsidR="00CB3361" w:rsidRDefault="00CB3361" w:rsidP="00CB3361">
      <w:pPr>
        <w:ind w:left="5760"/>
        <w:jc w:val="center"/>
        <w:rPr>
          <w:sz w:val="26"/>
          <w:szCs w:val="26"/>
          <w:rtl/>
        </w:rPr>
      </w:pPr>
      <w:r>
        <w:rPr>
          <w:rFonts w:hint="cs"/>
          <w:sz w:val="26"/>
          <w:szCs w:val="26"/>
          <w:rtl/>
        </w:rPr>
        <w:t>שר האוצר</w:t>
      </w:r>
    </w:p>
    <w:p w:rsidR="00CB3361" w:rsidRDefault="00CB3361" w:rsidP="00CB3361">
      <w:pPr>
        <w:rPr>
          <w:sz w:val="26"/>
          <w:szCs w:val="26"/>
          <w:rtl/>
        </w:rPr>
      </w:pPr>
    </w:p>
    <w:p w:rsidR="00785398" w:rsidRDefault="00785398" w:rsidP="00CB3361">
      <w:pPr>
        <w:rPr>
          <w:sz w:val="26"/>
          <w:szCs w:val="26"/>
          <w:rtl/>
        </w:rPr>
      </w:pPr>
    </w:p>
    <w:p w:rsidR="00785398" w:rsidRDefault="00785398" w:rsidP="00CB3361">
      <w:pPr>
        <w:rPr>
          <w:sz w:val="26"/>
          <w:szCs w:val="26"/>
          <w:rtl/>
        </w:rPr>
      </w:pPr>
    </w:p>
    <w:p w:rsidR="00785398" w:rsidRDefault="00785398"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Default="00690AEC" w:rsidP="00CB3361">
      <w:pPr>
        <w:rPr>
          <w:sz w:val="26"/>
          <w:szCs w:val="26"/>
          <w:rtl/>
        </w:rPr>
      </w:pPr>
    </w:p>
    <w:p w:rsidR="00690AEC" w:rsidRPr="00CA01A1" w:rsidRDefault="00690AEC" w:rsidP="00CA01A1">
      <w:pPr>
        <w:pStyle w:val="1"/>
        <w:keepNext w:val="0"/>
        <w:keepLines w:val="0"/>
        <w:rPr>
          <w:rtl/>
        </w:rPr>
      </w:pPr>
    </w:p>
    <w:p w:rsidR="00CB3361" w:rsidRDefault="00CB3361" w:rsidP="00CA01A1">
      <w:pPr>
        <w:pStyle w:val="1"/>
        <w:keepNext w:val="0"/>
        <w:keepLines w:val="0"/>
        <w:rPr>
          <w:rFonts w:eastAsia="Arial Unicode MS"/>
          <w:b/>
          <w:snapToGrid w:val="0"/>
          <w:spacing w:val="40"/>
          <w:sz w:val="28"/>
          <w:szCs w:val="28"/>
        </w:rPr>
      </w:pPr>
      <w:bookmarkStart w:id="36" w:name="_Toc100500692"/>
      <w:r w:rsidRPr="00CA01A1">
        <w:rPr>
          <w:rtl/>
        </w:rPr>
        <w:t>דברי הסבר</w:t>
      </w:r>
      <w:bookmarkEnd w:id="36"/>
    </w:p>
    <w:p w:rsidR="006F7218" w:rsidRPr="00AC7402" w:rsidRDefault="006F7218" w:rsidP="006F7218">
      <w:pPr>
        <w:overflowPunct w:val="0"/>
        <w:spacing w:before="120" w:after="120"/>
        <w:textAlignment w:val="baseline"/>
        <w:rPr>
          <w:b/>
          <w:bCs/>
          <w:u w:val="single"/>
        </w:rPr>
      </w:pPr>
      <w:r w:rsidRPr="00AC7402">
        <w:rPr>
          <w:b/>
          <w:bCs/>
          <w:u w:val="single"/>
          <w:rtl/>
        </w:rPr>
        <w:t>כללי</w:t>
      </w:r>
    </w:p>
    <w:p w:rsidR="006F7218" w:rsidRPr="00AC7402" w:rsidRDefault="006F7218" w:rsidP="006F7218">
      <w:pPr>
        <w:pStyle w:val="Hesber1st"/>
        <w:tabs>
          <w:tab w:val="clear" w:pos="680"/>
        </w:tabs>
        <w:rPr>
          <w:rtl/>
        </w:rPr>
      </w:pPr>
      <w:r w:rsidRPr="00AC7402">
        <w:rPr>
          <w:rtl/>
        </w:rPr>
        <w:t>בהתאם להוראות סעיף 32(א)(2) לחוק הפיקוח על שירותים פיננסיים (קופות גמל), התשס"ה-2005</w:t>
      </w:r>
      <w:r>
        <w:rPr>
          <w:rFonts w:hint="cs"/>
          <w:rtl/>
        </w:rPr>
        <w:t xml:space="preserve"> (להלן </w:t>
      </w:r>
      <w:r w:rsidR="00BB4CBC">
        <w:rPr>
          <w:rFonts w:hint="cs"/>
          <w:rtl/>
        </w:rPr>
        <w:t xml:space="preserve">- </w:t>
      </w:r>
      <w:r>
        <w:rPr>
          <w:rFonts w:hint="cs"/>
          <w:rtl/>
        </w:rPr>
        <w:t>חוק קופות גמל)</w:t>
      </w:r>
      <w:r w:rsidR="00905CD8">
        <w:rPr>
          <w:rFonts w:hint="cs"/>
          <w:rtl/>
        </w:rPr>
        <w:t>, כפי שהוחלו גם ב</w:t>
      </w:r>
      <w:r w:rsidRPr="00AC7402">
        <w:rPr>
          <w:rtl/>
        </w:rPr>
        <w:t xml:space="preserve">סעיף 36א לחוק הפיקוח על שירותים פיננסיים (ביטוח), התשמ"א-1981, גופים מוסדיים רשאים לגבות מנכסי קופת הגמל או מנכסים העומדים כנגד התחייבויות תלויות תשואה, הוצאות ישירות בשל ביצוע עסקאות בנכסים כאמור, כפי שקבע שר </w:t>
      </w:r>
      <w:r w:rsidRPr="006F7218">
        <w:rPr>
          <w:rtl/>
        </w:rPr>
        <w:t>האוצר</w:t>
      </w:r>
      <w:r w:rsidRPr="00AC7402">
        <w:rPr>
          <w:rtl/>
        </w:rPr>
        <w:t xml:space="preserve"> באישור ועדת הכספים של הכנסת (להלן – </w:t>
      </w:r>
      <w:r w:rsidRPr="003959CD">
        <w:rPr>
          <w:rtl/>
        </w:rPr>
        <w:t>הוצאות ישירות</w:t>
      </w:r>
      <w:r w:rsidRPr="00AC7402">
        <w:rPr>
          <w:rtl/>
        </w:rPr>
        <w:t xml:space="preserve">). בהתאם לסמכויות אלה הותקנו בשנת 2008 תקנות הפיקוח על שירותים פיננסיים (קופות גמל) (הוצאות ישירות בשל ביצוע עסקאות), התשס"ח-2008 (להלן – </w:t>
      </w:r>
      <w:r w:rsidRPr="003959CD">
        <w:rPr>
          <w:rtl/>
        </w:rPr>
        <w:t>תקנות הוצאות ישירות</w:t>
      </w:r>
      <w:r w:rsidRPr="00BB4CBC">
        <w:rPr>
          <w:rtl/>
        </w:rPr>
        <w:t xml:space="preserve"> או </w:t>
      </w:r>
      <w:r w:rsidRPr="003959CD">
        <w:rPr>
          <w:rtl/>
        </w:rPr>
        <w:t>התקנות</w:t>
      </w:r>
      <w:r w:rsidR="00607619">
        <w:rPr>
          <w:rtl/>
        </w:rPr>
        <w:t>), הקובעות א</w:t>
      </w:r>
      <w:r w:rsidRPr="00AC7402">
        <w:rPr>
          <w:rtl/>
        </w:rPr>
        <w:t xml:space="preserve">לו הוצאות ישירות ניתן לגבות בשל ביצוע עסקאות בנכסי המשקיע המוסדי. בשנת 2014 נקבעה לראשונה בתקנות הוצאות ישירות, תקרה להיקף הוצאות מסוימות שאותן ניתן לגבות כאמור, על מנת להגביל את שיעורן (להלן – </w:t>
      </w:r>
      <w:r w:rsidRPr="003959CD">
        <w:rPr>
          <w:rtl/>
        </w:rPr>
        <w:t>מגבלת</w:t>
      </w:r>
      <w:r w:rsidRPr="00BB4CBC">
        <w:rPr>
          <w:rtl/>
        </w:rPr>
        <w:t xml:space="preserve"> </w:t>
      </w:r>
      <w:r w:rsidRPr="003959CD">
        <w:rPr>
          <w:rtl/>
        </w:rPr>
        <w:t>ההוצאות</w:t>
      </w:r>
      <w:r w:rsidRPr="00AC7402">
        <w:rPr>
          <w:rtl/>
        </w:rPr>
        <w:t xml:space="preserve">). מגבלת ההוצאות נקבעה לגבי הוצאות הנובעות מהשקעה בקרנות השקעה, מנהלי תיקים, קרנות, קרנות מחקות, נכסים לא סחירים, לרבות מתן אשראי, ומתן משכנתא, בכפוף לתנאים שפורטו בתקנות. התקרה שנקבעה היא בשיעור של 0.25 אחוזים מסך כל השווי המשוערך של נכסי המשקיע המוסדי במועד הקבוע בתקנה 2(ב) לתקנות, והיא נקבעה כהוראת שעה, אשר הוארכה מעת לעת (להלן – </w:t>
      </w:r>
      <w:r w:rsidRPr="003959CD">
        <w:rPr>
          <w:rtl/>
        </w:rPr>
        <w:t>הוראת השעה</w:t>
      </w:r>
      <w:r w:rsidRPr="00AC7402">
        <w:rPr>
          <w:rtl/>
        </w:rPr>
        <w:t xml:space="preserve">). </w:t>
      </w:r>
    </w:p>
    <w:p w:rsidR="006F7218" w:rsidRPr="006F7218" w:rsidRDefault="006F7218" w:rsidP="006F7218">
      <w:pPr>
        <w:pStyle w:val="Hesber"/>
      </w:pPr>
      <w:r w:rsidRPr="006F7218">
        <w:rPr>
          <w:rtl/>
        </w:rPr>
        <w:t xml:space="preserve">מאז שנת 2014, נבחן על ידי רשות שוק ההון ביטוח וחיסכון (להלן – </w:t>
      </w:r>
      <w:r w:rsidRPr="003959CD">
        <w:rPr>
          <w:rtl/>
        </w:rPr>
        <w:t>הרשות</w:t>
      </w:r>
      <w:r w:rsidRPr="00BB4CBC">
        <w:rPr>
          <w:rtl/>
        </w:rPr>
        <w:t>)</w:t>
      </w:r>
      <w:r w:rsidRPr="006F7218">
        <w:rPr>
          <w:rtl/>
        </w:rPr>
        <w:t xml:space="preserve"> יישומה של מגבלת ההוצאות בקרב המשקיעים המוסדיים. בחינת היישום מעלה כי מחד, יש חשיבות לכך שהוגבלו סוגים מסוימים של הוצאות ישירות. מאידך, קיים חשש כי הטלת מגבלה שרירותית או לא מתאימה, מבחינת היקף וסוגי ההשקעות עליהן היא מוטלת, עלולה לפגוע בהרכב תיק הנכסים של העמיתים ובתשואה המושגת על כספי הפנסיה והחיסכון של הציבור. </w:t>
      </w:r>
    </w:p>
    <w:p w:rsidR="006F7218" w:rsidRPr="006F7218" w:rsidRDefault="006F7218" w:rsidP="006F7218">
      <w:pPr>
        <w:pStyle w:val="Hesber"/>
      </w:pPr>
      <w:r w:rsidRPr="006F7218">
        <w:rPr>
          <w:rtl/>
        </w:rPr>
        <w:t>על מנת לקבוע את האיזון הדרוש, ביקשה הרש</w:t>
      </w:r>
      <w:r w:rsidR="00DD7D59">
        <w:rPr>
          <w:rtl/>
        </w:rPr>
        <w:t xml:space="preserve">ות לבצע בחינה מקיפה ורוחבית של </w:t>
      </w:r>
      <w:r w:rsidRPr="006F7218">
        <w:rPr>
          <w:rtl/>
        </w:rPr>
        <w:t xml:space="preserve">סוגיית ההוצאות הישירות. לשם כך מינה הממונה על שוק ההון, ביטוח וחיסכון ועדה מייעצת בראשותו של פרופסור ישי יפה (להלן – </w:t>
      </w:r>
      <w:r w:rsidRPr="003959CD">
        <w:rPr>
          <w:rtl/>
        </w:rPr>
        <w:t>הוועדה</w:t>
      </w:r>
      <w:r w:rsidRPr="006F7218">
        <w:rPr>
          <w:rtl/>
        </w:rPr>
        <w:t xml:space="preserve">) לבחינת הוצאות ישירות שרשאי גוף מוסדי לנכות מנכסי החוסכים שבניהולו, בשל ביצוע עסקאות בנכסי המשקיע המוסדי. מטרת הוועדה הייתה לבחון את כל סוגיית ההוצאות הישירות, לרבות: בחינת סוגי ההוצאות שניתן לגבות כהוצאות ישירות, מגבלת ההוצאות שנקבעה במסגרת התקנות לחלק מסוגי ההוצאות, תרומת ההשקעה באפיקים ובמכשירי ההשקעה שבהם ניתן לגבות הוצאות ישירות לתשואת החוסכים, הגילוי אודות הוצאות ישירות המושתות על החוסכים וסיווגן וכן בחינת ההשלכות של מגמות צופות פני עתיד דוגמת שיעור ההשקעה בחו"ל. </w:t>
      </w:r>
    </w:p>
    <w:p w:rsidR="006F7218" w:rsidRPr="006F7218" w:rsidRDefault="006F7218" w:rsidP="00456A79">
      <w:pPr>
        <w:pStyle w:val="Hesber"/>
        <w:rPr>
          <w:rtl/>
        </w:rPr>
      </w:pPr>
      <w:r w:rsidRPr="006F7218">
        <w:rPr>
          <w:rtl/>
        </w:rPr>
        <w:t xml:space="preserve">הוועדה החלה </w:t>
      </w:r>
      <w:r w:rsidR="00905CD8">
        <w:rPr>
          <w:rFonts w:hint="cs"/>
          <w:rtl/>
        </w:rPr>
        <w:t xml:space="preserve">את </w:t>
      </w:r>
      <w:r w:rsidRPr="006F7218">
        <w:rPr>
          <w:rtl/>
        </w:rPr>
        <w:t>עבודתה ביום 12 במרץ 2020</w:t>
      </w:r>
      <w:r w:rsidR="00905CD8">
        <w:rPr>
          <w:rFonts w:hint="cs"/>
          <w:rtl/>
        </w:rPr>
        <w:t>,</w:t>
      </w:r>
      <w:r w:rsidR="00456A79">
        <w:rPr>
          <w:rFonts w:hint="cs"/>
          <w:rtl/>
        </w:rPr>
        <w:t xml:space="preserve"> </w:t>
      </w:r>
      <w:r w:rsidRPr="006F7218">
        <w:rPr>
          <w:rtl/>
        </w:rPr>
        <w:t xml:space="preserve">קיימה דיונים מקיפים עם נציגים מהציבור וערכה בשיתוף הרשות מחקר אמפירי מקיף המתבסס על מאגר נתונים שנאספו לצרוך אמידת התשואות במספר אפיקי השקעה שהותר לגבות בגינם הוצאות ישירות. </w:t>
      </w:r>
    </w:p>
    <w:p w:rsidR="006F7218" w:rsidRPr="006F7218" w:rsidRDefault="006F7218" w:rsidP="00CC1274">
      <w:pPr>
        <w:pStyle w:val="Hesber"/>
        <w:rPr>
          <w:rtl/>
        </w:rPr>
      </w:pPr>
      <w:r w:rsidRPr="006F7218">
        <w:rPr>
          <w:rtl/>
        </w:rPr>
        <w:t>על מנת לאפשר לוועדה להשלים את עבודתה ולהגיש לממונה את המלצותיה וכן לאפשר בחינת ההמלצות על ידי הממונה, לצורך גיבוש בסיס לנוסח מוצע של תקנות שיובאו בפני שר האוצר ובפני ועדת הכספים של הכנסת</w:t>
      </w:r>
      <w:r w:rsidR="005E5F5E">
        <w:rPr>
          <w:rtl/>
        </w:rPr>
        <w:t>,</w:t>
      </w:r>
      <w:r w:rsidR="00DD7D59">
        <w:rPr>
          <w:rtl/>
        </w:rPr>
        <w:t xml:space="preserve"> </w:t>
      </w:r>
      <w:r w:rsidR="00905CD8">
        <w:rPr>
          <w:rtl/>
        </w:rPr>
        <w:t>הוארכ</w:t>
      </w:r>
      <w:r w:rsidR="00905CD8">
        <w:rPr>
          <w:rFonts w:hint="cs"/>
          <w:rtl/>
        </w:rPr>
        <w:t>ה</w:t>
      </w:r>
      <w:r w:rsidR="00905CD8">
        <w:rPr>
          <w:rtl/>
        </w:rPr>
        <w:t xml:space="preserve"> </w:t>
      </w:r>
      <w:r w:rsidR="00DD7D59">
        <w:rPr>
          <w:rtl/>
        </w:rPr>
        <w:t>הוראת השעה</w:t>
      </w:r>
      <w:r w:rsidRPr="006F7218">
        <w:rPr>
          <w:rtl/>
        </w:rPr>
        <w:t xml:space="preserve"> עד ליום 6 באפריל 2022.</w:t>
      </w:r>
      <w:r w:rsidR="00CC1274">
        <w:rPr>
          <w:rFonts w:hint="cs"/>
          <w:rtl/>
        </w:rPr>
        <w:t xml:space="preserve"> </w:t>
      </w:r>
      <w:r w:rsidRPr="006F7218">
        <w:rPr>
          <w:rtl/>
        </w:rPr>
        <w:t>עם סיום עבודתה הגישה הוועדה לממונה בחודש אוקטובר 2022 את דוח המלצותיה.</w:t>
      </w:r>
    </w:p>
    <w:p w:rsidR="006F7218" w:rsidRPr="006F7218" w:rsidRDefault="006F7218" w:rsidP="002B7C30">
      <w:pPr>
        <w:pStyle w:val="Hesber"/>
        <w:rPr>
          <w:rtl/>
        </w:rPr>
      </w:pPr>
      <w:r w:rsidRPr="006F7218">
        <w:rPr>
          <w:rtl/>
        </w:rPr>
        <w:lastRenderedPageBreak/>
        <w:t xml:space="preserve">בדוח, המליצה הוועדה לנקוט בשורה של צעדים, אשר </w:t>
      </w:r>
      <w:r w:rsidR="00905CD8">
        <w:rPr>
          <w:rFonts w:hint="cs"/>
          <w:rtl/>
        </w:rPr>
        <w:t>ייאמר כבר מיד ש</w:t>
      </w:r>
      <w:r w:rsidRPr="006F7218">
        <w:rPr>
          <w:rtl/>
        </w:rPr>
        <w:t xml:space="preserve">אסדרת חלקם הארי </w:t>
      </w:r>
      <w:r w:rsidR="00C14A1C">
        <w:rPr>
          <w:rFonts w:hint="cs"/>
          <w:rtl/>
        </w:rPr>
        <w:t xml:space="preserve">דווקא </w:t>
      </w:r>
      <w:r w:rsidRPr="006F7218">
        <w:rPr>
          <w:rtl/>
        </w:rPr>
        <w:t>אינה</w:t>
      </w:r>
      <w:r w:rsidR="002B7C30">
        <w:rPr>
          <w:rFonts w:hint="cs"/>
          <w:rtl/>
        </w:rPr>
        <w:t xml:space="preserve"> מיושמת</w:t>
      </w:r>
      <w:r w:rsidRPr="006F7218">
        <w:rPr>
          <w:rtl/>
        </w:rPr>
        <w:t xml:space="preserve"> </w:t>
      </w:r>
      <w:r w:rsidR="00905CD8" w:rsidRPr="006F7218">
        <w:rPr>
          <w:rtl/>
        </w:rPr>
        <w:t>ב</w:t>
      </w:r>
      <w:r w:rsidR="00905CD8">
        <w:rPr>
          <w:rFonts w:hint="cs"/>
          <w:rtl/>
        </w:rPr>
        <w:t>מסגר</w:t>
      </w:r>
      <w:r w:rsidR="00905CD8" w:rsidRPr="006F7218">
        <w:rPr>
          <w:rtl/>
        </w:rPr>
        <w:t xml:space="preserve">ת </w:t>
      </w:r>
      <w:r w:rsidRPr="006F7218">
        <w:rPr>
          <w:rtl/>
        </w:rPr>
        <w:t>תקנות</w:t>
      </w:r>
      <w:r w:rsidR="00905CD8">
        <w:rPr>
          <w:rFonts w:hint="cs"/>
          <w:rtl/>
        </w:rPr>
        <w:t xml:space="preserve"> הוצאות ישירות</w:t>
      </w:r>
      <w:r w:rsidRPr="006F7218">
        <w:rPr>
          <w:rtl/>
        </w:rPr>
        <w:t xml:space="preserve">. הוועדה המליצה על עריכת רפורמה במבנה דמי הניהול במערכת הפנסיונית בישראל. </w:t>
      </w:r>
      <w:r w:rsidR="00462CA0">
        <w:rPr>
          <w:rFonts w:hint="cs"/>
          <w:rtl/>
        </w:rPr>
        <w:t xml:space="preserve">כאשר, </w:t>
      </w:r>
      <w:r w:rsidRPr="006F7218">
        <w:rPr>
          <w:rtl/>
        </w:rPr>
        <w:t xml:space="preserve">בין המלצותיה, שינוי מבנה דמי הניהול באמצעות מעבר למחיר ידוע מראש, המחושב כשיעור מסך יתרת הנכסים הצבורה של החוסך, וכולל את דמי הניהול מצבירה ומהפקדה וגם סוגי הוצאות ישירות שונות ("דמי ניהול כוללים"); בנוסף, הציעה הוועדה ביחס לחוסכים קיימים לבטל את מגבלת ההוצאות כפי שנקבעה בהוראת השעה, ולקבוע עבורם "מחיר ידוע מראש הצגתי" (הרחבה לעניין זה בהמשך). בנוסף, הציעה הוועדה שיוקמו מסלולי השקעה עוקבי מדדים, בעלות נמוכה, שכל אחד מהם יעקוב אחרי מספר מדדי מניות ומדדי איגרות חוב מרכזיים בעולם ושתינתן האפשרות לגופים המוסדיים להציע מסלולי השקעה בעלי דמי ניהול מבוססי ביצועים; בנוסף הוועדה </w:t>
      </w:r>
      <w:r w:rsidR="00462CA0">
        <w:rPr>
          <w:rFonts w:hint="cs"/>
          <w:rtl/>
        </w:rPr>
        <w:t>המליצה להגביר את שקיפות</w:t>
      </w:r>
      <w:r w:rsidRPr="006F7218">
        <w:rPr>
          <w:rtl/>
        </w:rPr>
        <w:t xml:space="preserve"> המידע המוצג לרשות שוק ההון ולחוסכים, הן בדיווחים התקופתיים והן באתרי האינטרנט הרשמיים, בפרט בכל הנוגע לתשואות קרנות ההשקעה הלא סחירות.</w:t>
      </w:r>
    </w:p>
    <w:p w:rsidR="006F7218" w:rsidRPr="006F7218" w:rsidRDefault="006F7218" w:rsidP="00462CA0">
      <w:pPr>
        <w:pStyle w:val="Hesber"/>
        <w:rPr>
          <w:rtl/>
        </w:rPr>
      </w:pPr>
      <w:r w:rsidRPr="006F7218">
        <w:rPr>
          <w:rtl/>
        </w:rPr>
        <w:t xml:space="preserve"> המלצות הוועדה נבחנו על ידי הממונה </w:t>
      </w:r>
      <w:r w:rsidR="00462CA0">
        <w:rPr>
          <w:rFonts w:hint="cs"/>
          <w:rtl/>
        </w:rPr>
        <w:t>ו</w:t>
      </w:r>
      <w:r w:rsidRPr="006F7218">
        <w:rPr>
          <w:rtl/>
        </w:rPr>
        <w:t xml:space="preserve">היוו בסיס לנוסח המוצע של טיוטת התקנות שמציע הסדר קבוע כפי שמובא להלן, זאת לצד שורת צעדים אסדרתיים ופיקוחיים </w:t>
      </w:r>
      <w:r w:rsidR="00C14A1C">
        <w:rPr>
          <w:rFonts w:hint="cs"/>
          <w:rtl/>
        </w:rPr>
        <w:t xml:space="preserve">מקבילים </w:t>
      </w:r>
      <w:r w:rsidRPr="006F7218">
        <w:rPr>
          <w:rtl/>
        </w:rPr>
        <w:t>אשר מקודמים לצד טיוטת התקנות, בנושאים אשר אינם בתחולת התקנות.</w:t>
      </w:r>
    </w:p>
    <w:p w:rsidR="006F7218" w:rsidRPr="006F7218" w:rsidRDefault="006F7218" w:rsidP="006F7218">
      <w:pPr>
        <w:pStyle w:val="Hesber"/>
        <w:rPr>
          <w:rtl/>
        </w:rPr>
      </w:pPr>
      <w:r w:rsidRPr="006F7218">
        <w:rPr>
          <w:rtl/>
        </w:rPr>
        <w:t>באשר להמלצת הוועדה למעבר לדמי ניהול כוללים, הוועדה ציינה כי על רקע קשיים ביישום המעבר למחיר כולל וידוע מראש, מוצע לשקול פתרון-ביניים, מוגבל בזמן, ומצומצם למקרים שבהם קיימים קשיים משפטיים-חוזיים בהסכמים הנוגעים לחוסכים קיימים</w:t>
      </w:r>
      <w:r w:rsidR="00D176B6">
        <w:rPr>
          <w:rFonts w:hint="cs"/>
          <w:rtl/>
        </w:rPr>
        <w:t>.</w:t>
      </w:r>
      <w:r w:rsidRPr="006F7218">
        <w:rPr>
          <w:rtl/>
        </w:rPr>
        <w:t xml:space="preserve"> לפי המלצת הוועדה, בתקופת המעבר לדמי הניהול הכוללים, ניתן להציג "מחיר יחיד הצגתי", שמביא בחשבון את דמי הניהול וההוצאות הישירות כפי שנקבעים בהתאם להוראות הדין הקיימות, תוך תרגומם והצגתם, כעלות כוללת במונחי אחוזים מהצבירה, כל זה כאמור למשך תקופה קצובה בזמן. </w:t>
      </w:r>
    </w:p>
    <w:p w:rsidR="006F7218" w:rsidRPr="006F7218" w:rsidRDefault="006F7218" w:rsidP="00F54238">
      <w:pPr>
        <w:pStyle w:val="Hesber"/>
        <w:rPr>
          <w:rtl/>
        </w:rPr>
      </w:pPr>
      <w:r w:rsidRPr="006F7218">
        <w:rPr>
          <w:rtl/>
        </w:rPr>
        <w:t xml:space="preserve">לצד האמור, וכפי שהוצג </w:t>
      </w:r>
      <w:r w:rsidRPr="001D4EFE">
        <w:rPr>
          <w:rtl/>
        </w:rPr>
        <w:t xml:space="preserve">בהרחבה </w:t>
      </w:r>
      <w:r w:rsidRPr="003E2B96">
        <w:rPr>
          <w:rtl/>
        </w:rPr>
        <w:t xml:space="preserve">בעמדת היועץ המשפטי </w:t>
      </w:r>
      <w:r w:rsidR="001D4EFE" w:rsidRPr="003E2B96">
        <w:rPr>
          <w:rFonts w:hint="eastAsia"/>
          <w:rtl/>
        </w:rPr>
        <w:t>לממשלה</w:t>
      </w:r>
      <w:r w:rsidR="001D4EFE" w:rsidRPr="003E2B96">
        <w:rPr>
          <w:rtl/>
        </w:rPr>
        <w:t xml:space="preserve"> </w:t>
      </w:r>
      <w:r w:rsidRPr="003E2B96">
        <w:rPr>
          <w:rtl/>
        </w:rPr>
        <w:t>מיום</w:t>
      </w:r>
      <w:r w:rsidR="00C14A1C">
        <w:rPr>
          <w:rFonts w:hint="cs"/>
          <w:rtl/>
        </w:rPr>
        <w:t xml:space="preserve"> </w:t>
      </w:r>
      <w:r w:rsidR="001D4EFE" w:rsidRPr="003E2B96">
        <w:rPr>
          <w:rtl/>
        </w:rPr>
        <w:t>13.8.2020</w:t>
      </w:r>
      <w:r w:rsidR="00C14A1C">
        <w:rPr>
          <w:rFonts w:hint="cs"/>
          <w:rtl/>
        </w:rPr>
        <w:t xml:space="preserve"> במסגרת רע"א </w:t>
      </w:r>
      <w:r w:rsidR="00C14A1C" w:rsidRPr="00C14A1C">
        <w:rPr>
          <w:rFonts w:hint="cs"/>
          <w:rtl/>
        </w:rPr>
        <w:t>6388/19 הפניקס נ' הופמן</w:t>
      </w:r>
      <w:r w:rsidR="006D61EC">
        <w:rPr>
          <w:rFonts w:hint="cs"/>
          <w:rtl/>
        </w:rPr>
        <w:t xml:space="preserve"> </w:t>
      </w:r>
      <w:r w:rsidR="00C36A52">
        <w:rPr>
          <w:rFonts w:hint="cs"/>
          <w:rtl/>
        </w:rPr>
        <w:t xml:space="preserve">(להלן </w:t>
      </w:r>
      <w:r w:rsidR="00C36A52">
        <w:rPr>
          <w:rtl/>
        </w:rPr>
        <w:t>–</w:t>
      </w:r>
      <w:r w:rsidR="00C36A52">
        <w:rPr>
          <w:rFonts w:hint="cs"/>
          <w:rtl/>
        </w:rPr>
        <w:t xml:space="preserve"> עניין הופמן)</w:t>
      </w:r>
      <w:r w:rsidR="001D4EFE" w:rsidRPr="003E2B96">
        <w:rPr>
          <w:rtl/>
        </w:rPr>
        <w:t>,</w:t>
      </w:r>
      <w:r w:rsidR="001D4EFE" w:rsidRPr="003E2B96">
        <w:rPr>
          <w:rStyle w:val="ad"/>
          <w:rtl/>
        </w:rPr>
        <w:footnoteReference w:id="4"/>
      </w:r>
      <w:r w:rsidR="003E2B96">
        <w:rPr>
          <w:rFonts w:hint="cs"/>
          <w:rtl/>
        </w:rPr>
        <w:t xml:space="preserve"> </w:t>
      </w:r>
      <w:r w:rsidRPr="001D4EFE">
        <w:rPr>
          <w:rtl/>
        </w:rPr>
        <w:t xml:space="preserve">אימוץ </w:t>
      </w:r>
      <w:r w:rsidRPr="00465DD0">
        <w:rPr>
          <w:rtl/>
        </w:rPr>
        <w:t>מנגנון של דמי ניהול כוללים עלול להוביל</w:t>
      </w:r>
      <w:r w:rsidRPr="006F7218">
        <w:rPr>
          <w:rtl/>
        </w:rPr>
        <w:t xml:space="preserve"> את הגוף המוסדי לניגוד עניינים מובנה. </w:t>
      </w:r>
      <w:r w:rsidR="00B703C8" w:rsidRPr="006F7218">
        <w:rPr>
          <w:rtl/>
        </w:rPr>
        <w:t>בהינתן איסור השתת הוצאות ישירות, עלול הגוף המוסדי להימנע מביצוע השקעות מסוימות, בעיקר בתחומים בהם אין לו מומחיות מספקת, זאת לנוכח הרצון להימנע מספיגת ההוצאות הכרוכות עם ביצוע השקעות אלו. הימנעות מהשקעות מסוימות עלולה לפגוע בתוחלת התשואה מתואמת</w:t>
      </w:r>
      <w:r w:rsidR="00D3069A">
        <w:rPr>
          <w:rFonts w:hint="cs"/>
          <w:rtl/>
        </w:rPr>
        <w:t xml:space="preserve"> הסיכון.</w:t>
      </w:r>
      <w:r w:rsidR="00B703C8" w:rsidRPr="006F7218">
        <w:rPr>
          <w:rtl/>
        </w:rPr>
        <w:t xml:space="preserve"> </w:t>
      </w:r>
      <w:r w:rsidRPr="006F7218">
        <w:rPr>
          <w:rtl/>
        </w:rPr>
        <w:t>ככלל, מתן האפשרות לגבות הוצאות ישירות מנכסי החוסכים מביא לכך שהחוסכים צפויים לזכות לתוחלת תשואה מתואמת סיכון גבוהה יותר (כלומר</w:t>
      </w:r>
      <w:r w:rsidR="00B703C8">
        <w:rPr>
          <w:rFonts w:hint="cs"/>
          <w:rtl/>
        </w:rPr>
        <w:t>,</w:t>
      </w:r>
      <w:r w:rsidR="00B703C8" w:rsidRPr="006F7218">
        <w:rPr>
          <w:rtl/>
        </w:rPr>
        <w:t xml:space="preserve"> </w:t>
      </w:r>
      <w:r w:rsidRPr="006F7218">
        <w:rPr>
          <w:rtl/>
        </w:rPr>
        <w:t xml:space="preserve">תוחלת התשואה לאחר הבאה בחשבון של מאפייני הסיכון לרבות מאפיין פיזור ההשקעות), בעוד שתשלום אותן הוצאות ישירות על ידי הגוף המוסדי בעצמו עלול להביא למצב דברים </w:t>
      </w:r>
      <w:r w:rsidR="00F54238">
        <w:rPr>
          <w:rFonts w:hint="cs"/>
          <w:rtl/>
        </w:rPr>
        <w:t xml:space="preserve">בו </w:t>
      </w:r>
      <w:r w:rsidR="00F54238" w:rsidRPr="006F7218">
        <w:rPr>
          <w:rtl/>
        </w:rPr>
        <w:t xml:space="preserve">החוסכים </w:t>
      </w:r>
      <w:r w:rsidRPr="006F7218">
        <w:rPr>
          <w:rtl/>
        </w:rPr>
        <w:t xml:space="preserve">יקבלו תוחלת תשואה מתואמת סיכון נמוכה יותר. </w:t>
      </w:r>
    </w:p>
    <w:p w:rsidR="00F54238" w:rsidRDefault="004237FB" w:rsidP="00CC1274">
      <w:pPr>
        <w:pStyle w:val="Hesber"/>
        <w:rPr>
          <w:rtl/>
        </w:rPr>
      </w:pPr>
      <w:r>
        <w:rPr>
          <w:rFonts w:hint="cs"/>
          <w:rtl/>
        </w:rPr>
        <w:t>מילים אחרות</w:t>
      </w:r>
      <w:r w:rsidR="00CC1274">
        <w:rPr>
          <w:rFonts w:hint="cs"/>
          <w:rtl/>
        </w:rPr>
        <w:t>,</w:t>
      </w:r>
      <w:r>
        <w:rPr>
          <w:rFonts w:hint="cs"/>
          <w:rtl/>
        </w:rPr>
        <w:t xml:space="preserve"> </w:t>
      </w:r>
      <w:r w:rsidR="006F7218" w:rsidRPr="00C755AD">
        <w:rPr>
          <w:rtl/>
        </w:rPr>
        <w:t>לו הגופים המוסדיים היו נדרשים לממן את אותם סוגים מסוימים של הוצאות ישירות מתוך דמי הניהול, הרי שכל הוצאה שהגוף המוסדי היה מוציא לצורך ייצור תשואה לחוסכים, הייתה מתקזזת מהרווח שלו מדמי הניהול. מצב זה</w:t>
      </w:r>
      <w:r w:rsidR="00E6100E">
        <w:rPr>
          <w:rFonts w:hint="cs"/>
          <w:rtl/>
        </w:rPr>
        <w:t xml:space="preserve"> היה</w:t>
      </w:r>
      <w:r w:rsidR="006F7218" w:rsidRPr="00C755AD">
        <w:rPr>
          <w:rtl/>
        </w:rPr>
        <w:t xml:space="preserve"> עלול להציב את הגוף המוסדי בניגוד עניינים מובנה בין רצונו להרוויח מדמי הניהול </w:t>
      </w:r>
      <w:r w:rsidR="00E6100E">
        <w:rPr>
          <w:rFonts w:hint="cs"/>
          <w:rtl/>
        </w:rPr>
        <w:t>מחד</w:t>
      </w:r>
      <w:r w:rsidR="00F54238">
        <w:rPr>
          <w:rFonts w:hint="cs"/>
          <w:rtl/>
        </w:rPr>
        <w:t>,</w:t>
      </w:r>
      <w:r w:rsidR="00E6100E">
        <w:rPr>
          <w:rFonts w:hint="cs"/>
          <w:rtl/>
        </w:rPr>
        <w:t xml:space="preserve"> </w:t>
      </w:r>
      <w:r w:rsidR="006F7218" w:rsidRPr="00C755AD">
        <w:rPr>
          <w:rtl/>
        </w:rPr>
        <w:t>לבין רצונו להשיא תשואה ולייצר פיזור הולם של השקעותיו וחובתו על פי דין לנהל את הכספים בנאמנות</w:t>
      </w:r>
      <w:r w:rsidR="00E6100E">
        <w:rPr>
          <w:rFonts w:hint="cs"/>
          <w:rtl/>
        </w:rPr>
        <w:t xml:space="preserve"> מאידך</w:t>
      </w:r>
      <w:r w:rsidR="006F7218" w:rsidRPr="00C755AD">
        <w:rPr>
          <w:rtl/>
        </w:rPr>
        <w:t xml:space="preserve">. לעומת זאת, ההפרדה בין הוצאות המשולמות על ידי הגוף המוסדי לבין ההוצאות </w:t>
      </w:r>
      <w:r w:rsidR="006F7218" w:rsidRPr="00465DD0">
        <w:rPr>
          <w:rtl/>
        </w:rPr>
        <w:t>המשולמות מנכסי החוסכים, בעיקר במקרים בהם קיים</w:t>
      </w:r>
      <w:r w:rsidR="00E6100E">
        <w:rPr>
          <w:rFonts w:hint="cs"/>
          <w:rtl/>
        </w:rPr>
        <w:t xml:space="preserve"> בקרב הגוף המוסדי</w:t>
      </w:r>
      <w:r w:rsidR="006F7218" w:rsidRPr="00465DD0">
        <w:rPr>
          <w:rtl/>
        </w:rPr>
        <w:t xml:space="preserve"> חוסר במומחיות מספקת, מאפשרת השאת תשואה עבורם, תוך הפחתה של התמריצים המנוגדים אצל הגוף </w:t>
      </w:r>
      <w:r w:rsidR="006F7218" w:rsidRPr="00465DD0">
        <w:rPr>
          <w:rtl/>
        </w:rPr>
        <w:lastRenderedPageBreak/>
        <w:t>המוסדי.</w:t>
      </w:r>
      <w:r w:rsidR="006F7218" w:rsidRPr="00465DD0">
        <w:rPr>
          <w:szCs w:val="20"/>
          <w:rtl/>
        </w:rPr>
        <w:footnoteReference w:id="5"/>
      </w:r>
      <w:r w:rsidR="002C7A9E" w:rsidRPr="002C7A9E">
        <w:rPr>
          <w:rFonts w:ascii="David" w:eastAsia="MS Mincho" w:hAnsi="David"/>
          <w:snapToGrid/>
          <w:spacing w:val="1"/>
          <w:sz w:val="17"/>
          <w:szCs w:val="17"/>
          <w:rtl/>
        </w:rPr>
        <w:t xml:space="preserve"> </w:t>
      </w:r>
    </w:p>
    <w:p w:rsidR="006F7218" w:rsidRPr="00C755AD" w:rsidRDefault="002C7A9E" w:rsidP="00CC1274">
      <w:pPr>
        <w:pStyle w:val="Hesber"/>
        <w:rPr>
          <w:rtl/>
        </w:rPr>
      </w:pPr>
      <w:r w:rsidRPr="002C7A9E">
        <w:rPr>
          <w:rtl/>
        </w:rPr>
        <w:t>עוד</w:t>
      </w:r>
      <w:r w:rsidRPr="002C7A9E">
        <w:rPr>
          <w:rFonts w:hint="cs"/>
          <w:rtl/>
        </w:rPr>
        <w:t xml:space="preserve"> חשוב להבהיר</w:t>
      </w:r>
      <w:r w:rsidR="00C36A52">
        <w:rPr>
          <w:rFonts w:hint="cs"/>
          <w:rtl/>
        </w:rPr>
        <w:t xml:space="preserve">, </w:t>
      </w:r>
      <w:r w:rsidRPr="002C7A9E">
        <w:rPr>
          <w:rFonts w:hint="cs"/>
          <w:rtl/>
        </w:rPr>
        <w:t xml:space="preserve">כפי שהובא </w:t>
      </w:r>
      <w:r w:rsidR="00C36A52">
        <w:rPr>
          <w:rFonts w:hint="cs"/>
          <w:rtl/>
        </w:rPr>
        <w:t>אף</w:t>
      </w:r>
      <w:r w:rsidRPr="002C7A9E">
        <w:rPr>
          <w:rFonts w:hint="cs"/>
          <w:rtl/>
        </w:rPr>
        <w:t xml:space="preserve"> </w:t>
      </w:r>
      <w:r w:rsidR="00C36A52">
        <w:rPr>
          <w:rFonts w:hint="cs"/>
          <w:rtl/>
        </w:rPr>
        <w:t>במסגרת עמדת היועץ המשפטי לממשלה בעניין הופמן,</w:t>
      </w:r>
      <w:r w:rsidRPr="002C7A9E">
        <w:rPr>
          <w:rFonts w:hint="cs"/>
          <w:rtl/>
        </w:rPr>
        <w:t xml:space="preserve"> כי אין לגוף המוסדי תמריץ להגדיל את רכיב ההוצאות הישירות מקום שבו הדבר אינו משרת את השאת התשואה (בניכוי ההוצאות הישירות) עבור החוסכים, שהרי התשואה (בניכוי ההוצאות הישירות) מהווה מדד מרכזי עליו הגופים מתחרים. </w:t>
      </w:r>
      <w:r w:rsidRPr="002C7A9E">
        <w:rPr>
          <w:rtl/>
        </w:rPr>
        <w:t>השקעות מסוימות, ובפרט השקעות מסוימות בחו"ל, מצריכות התמחות ומומחיות ייחודיות, אשר אינן קיימות בחלק ניכר ממערכי ההשקעות של הגופים המוסדיים</w:t>
      </w:r>
      <w:r w:rsidRPr="002C7A9E">
        <w:rPr>
          <w:rFonts w:hint="cs"/>
          <w:rtl/>
        </w:rPr>
        <w:t xml:space="preserve">. על כן, </w:t>
      </w:r>
      <w:r w:rsidRPr="002C7A9E">
        <w:rPr>
          <w:rFonts w:hint="eastAsia"/>
          <w:rtl/>
        </w:rPr>
        <w:t>ניתן</w:t>
      </w:r>
      <w:r w:rsidRPr="002C7A9E">
        <w:rPr>
          <w:rtl/>
        </w:rPr>
        <w:t xml:space="preserve"> </w:t>
      </w:r>
      <w:r w:rsidRPr="002C7A9E">
        <w:rPr>
          <w:rFonts w:hint="eastAsia"/>
          <w:rtl/>
        </w:rPr>
        <w:t>להניח</w:t>
      </w:r>
      <w:r w:rsidRPr="002C7A9E">
        <w:rPr>
          <w:rtl/>
        </w:rPr>
        <w:t xml:space="preserve"> </w:t>
      </w:r>
      <w:r w:rsidRPr="002C7A9E">
        <w:rPr>
          <w:rFonts w:hint="eastAsia"/>
          <w:rtl/>
        </w:rPr>
        <w:t>שללא</w:t>
      </w:r>
      <w:r w:rsidRPr="002C7A9E">
        <w:rPr>
          <w:rtl/>
        </w:rPr>
        <w:t xml:space="preserve"> </w:t>
      </w:r>
      <w:r w:rsidRPr="002C7A9E">
        <w:rPr>
          <w:rFonts w:hint="eastAsia"/>
          <w:rtl/>
        </w:rPr>
        <w:t>גביית</w:t>
      </w:r>
      <w:r w:rsidRPr="002C7A9E">
        <w:rPr>
          <w:rtl/>
        </w:rPr>
        <w:t xml:space="preserve"> </w:t>
      </w:r>
      <w:r w:rsidRPr="002C7A9E">
        <w:rPr>
          <w:rFonts w:hint="eastAsia"/>
          <w:rtl/>
        </w:rPr>
        <w:t>ההוצאות</w:t>
      </w:r>
      <w:r w:rsidRPr="002C7A9E">
        <w:rPr>
          <w:rtl/>
        </w:rPr>
        <w:t xml:space="preserve"> </w:t>
      </w:r>
      <w:r w:rsidRPr="002C7A9E">
        <w:rPr>
          <w:rFonts w:hint="eastAsia"/>
          <w:rtl/>
        </w:rPr>
        <w:t>הישירות</w:t>
      </w:r>
      <w:r w:rsidRPr="002C7A9E">
        <w:rPr>
          <w:rtl/>
        </w:rPr>
        <w:t xml:space="preserve"> </w:t>
      </w:r>
      <w:r w:rsidRPr="002C7A9E">
        <w:rPr>
          <w:rFonts w:hint="eastAsia"/>
          <w:rtl/>
        </w:rPr>
        <w:t>מנכסי</w:t>
      </w:r>
      <w:r w:rsidRPr="002C7A9E">
        <w:rPr>
          <w:rtl/>
        </w:rPr>
        <w:t xml:space="preserve"> </w:t>
      </w:r>
      <w:r w:rsidRPr="002C7A9E">
        <w:rPr>
          <w:rFonts w:hint="eastAsia"/>
          <w:rtl/>
        </w:rPr>
        <w:t>החוסכים</w:t>
      </w:r>
      <w:r w:rsidRPr="002C7A9E">
        <w:rPr>
          <w:rtl/>
        </w:rPr>
        <w:t xml:space="preserve">, </w:t>
      </w:r>
      <w:r w:rsidRPr="002C7A9E">
        <w:rPr>
          <w:rFonts w:hint="eastAsia"/>
          <w:rtl/>
        </w:rPr>
        <w:t>השקעות</w:t>
      </w:r>
      <w:r w:rsidRPr="002C7A9E">
        <w:rPr>
          <w:rtl/>
        </w:rPr>
        <w:t xml:space="preserve"> </w:t>
      </w:r>
      <w:r w:rsidRPr="002C7A9E">
        <w:rPr>
          <w:rFonts w:hint="eastAsia"/>
          <w:rtl/>
        </w:rPr>
        <w:t>אלה</w:t>
      </w:r>
      <w:r w:rsidRPr="002C7A9E">
        <w:rPr>
          <w:rtl/>
        </w:rPr>
        <w:t xml:space="preserve"> </w:t>
      </w:r>
      <w:r w:rsidRPr="002C7A9E">
        <w:rPr>
          <w:rFonts w:hint="eastAsia"/>
          <w:rtl/>
        </w:rPr>
        <w:t>לא</w:t>
      </w:r>
      <w:r w:rsidRPr="002C7A9E">
        <w:rPr>
          <w:rtl/>
        </w:rPr>
        <w:t xml:space="preserve"> </w:t>
      </w:r>
      <w:r w:rsidRPr="002C7A9E">
        <w:rPr>
          <w:rFonts w:hint="eastAsia"/>
          <w:rtl/>
        </w:rPr>
        <w:t>היו</w:t>
      </w:r>
      <w:r w:rsidRPr="002C7A9E">
        <w:rPr>
          <w:rtl/>
        </w:rPr>
        <w:t xml:space="preserve"> </w:t>
      </w:r>
      <w:r w:rsidRPr="002C7A9E">
        <w:rPr>
          <w:rFonts w:hint="eastAsia"/>
          <w:rtl/>
        </w:rPr>
        <w:t>מבוצעות</w:t>
      </w:r>
      <w:r w:rsidRPr="002C7A9E">
        <w:rPr>
          <w:rtl/>
        </w:rPr>
        <w:t xml:space="preserve">, </w:t>
      </w:r>
      <w:r w:rsidRPr="002C7A9E">
        <w:rPr>
          <w:rFonts w:hint="eastAsia"/>
          <w:rtl/>
        </w:rPr>
        <w:t>באותו</w:t>
      </w:r>
      <w:r w:rsidRPr="002C7A9E">
        <w:rPr>
          <w:rtl/>
        </w:rPr>
        <w:t xml:space="preserve"> </w:t>
      </w:r>
      <w:r w:rsidRPr="002C7A9E">
        <w:rPr>
          <w:rFonts w:hint="eastAsia"/>
          <w:rtl/>
        </w:rPr>
        <w:t>אופן</w:t>
      </w:r>
      <w:r w:rsidRPr="002C7A9E">
        <w:rPr>
          <w:rFonts w:hint="cs"/>
          <w:rtl/>
        </w:rPr>
        <w:t xml:space="preserve">, השקעות החוסכים היו פחות מבוזרות ובסופו של יום הדבר היה מביא לכך </w:t>
      </w:r>
      <w:r w:rsidRPr="002C7A9E">
        <w:rPr>
          <w:rFonts w:hint="eastAsia"/>
          <w:rtl/>
        </w:rPr>
        <w:t>שהחוסכים</w:t>
      </w:r>
      <w:r w:rsidRPr="002C7A9E">
        <w:rPr>
          <w:rtl/>
        </w:rPr>
        <w:t xml:space="preserve"> </w:t>
      </w:r>
      <w:r w:rsidRPr="002C7A9E">
        <w:rPr>
          <w:rFonts w:hint="eastAsia"/>
          <w:rtl/>
        </w:rPr>
        <w:t>היו</w:t>
      </w:r>
      <w:r w:rsidRPr="002C7A9E">
        <w:rPr>
          <w:rtl/>
        </w:rPr>
        <w:t xml:space="preserve"> </w:t>
      </w:r>
      <w:r w:rsidRPr="002C7A9E">
        <w:rPr>
          <w:rFonts w:hint="eastAsia"/>
          <w:rtl/>
        </w:rPr>
        <w:t>מקבלים</w:t>
      </w:r>
      <w:r w:rsidRPr="002C7A9E">
        <w:rPr>
          <w:rtl/>
        </w:rPr>
        <w:t xml:space="preserve"> </w:t>
      </w:r>
      <w:r w:rsidRPr="002C7A9E">
        <w:rPr>
          <w:rFonts w:hint="eastAsia"/>
          <w:rtl/>
        </w:rPr>
        <w:t>לכיסם</w:t>
      </w:r>
      <w:r w:rsidRPr="002C7A9E">
        <w:rPr>
          <w:rtl/>
        </w:rPr>
        <w:t xml:space="preserve"> </w:t>
      </w:r>
      <w:r w:rsidRPr="002C7A9E">
        <w:rPr>
          <w:rFonts w:hint="eastAsia"/>
          <w:rtl/>
        </w:rPr>
        <w:t>סכומים</w:t>
      </w:r>
      <w:r w:rsidRPr="002C7A9E">
        <w:rPr>
          <w:rtl/>
        </w:rPr>
        <w:t xml:space="preserve"> </w:t>
      </w:r>
      <w:r w:rsidRPr="002C7A9E">
        <w:rPr>
          <w:rFonts w:hint="eastAsia"/>
          <w:rtl/>
        </w:rPr>
        <w:t>נמוכים</w:t>
      </w:r>
      <w:r w:rsidRPr="002C7A9E">
        <w:rPr>
          <w:rtl/>
        </w:rPr>
        <w:t xml:space="preserve"> </w:t>
      </w:r>
      <w:r w:rsidRPr="002C7A9E">
        <w:rPr>
          <w:rFonts w:hint="eastAsia"/>
          <w:rtl/>
        </w:rPr>
        <w:t>יותר</w:t>
      </w:r>
      <w:r w:rsidRPr="002C7A9E">
        <w:rPr>
          <w:rtl/>
        </w:rPr>
        <w:t xml:space="preserve"> </w:t>
      </w:r>
      <w:r w:rsidRPr="002C7A9E">
        <w:rPr>
          <w:rFonts w:hint="eastAsia"/>
          <w:rtl/>
        </w:rPr>
        <w:t>או</w:t>
      </w:r>
      <w:r w:rsidRPr="002C7A9E">
        <w:rPr>
          <w:rtl/>
        </w:rPr>
        <w:t xml:space="preserve"> </w:t>
      </w:r>
      <w:r w:rsidRPr="002C7A9E">
        <w:rPr>
          <w:rFonts w:hint="eastAsia"/>
          <w:rtl/>
        </w:rPr>
        <w:t>לחלופין</w:t>
      </w:r>
      <w:r w:rsidRPr="002C7A9E">
        <w:rPr>
          <w:rtl/>
        </w:rPr>
        <w:t xml:space="preserve"> </w:t>
      </w:r>
      <w:r w:rsidRPr="002C7A9E">
        <w:rPr>
          <w:rFonts w:hint="eastAsia"/>
          <w:rtl/>
        </w:rPr>
        <w:t>היו</w:t>
      </w:r>
      <w:r w:rsidRPr="002C7A9E">
        <w:rPr>
          <w:rtl/>
        </w:rPr>
        <w:t xml:space="preserve"> </w:t>
      </w:r>
      <w:r w:rsidRPr="002C7A9E">
        <w:rPr>
          <w:rFonts w:hint="eastAsia"/>
          <w:rtl/>
        </w:rPr>
        <w:t>נחשפים</w:t>
      </w:r>
      <w:r w:rsidRPr="002C7A9E">
        <w:rPr>
          <w:rtl/>
        </w:rPr>
        <w:t xml:space="preserve"> </w:t>
      </w:r>
      <w:r w:rsidRPr="002C7A9E">
        <w:rPr>
          <w:rFonts w:hint="eastAsia"/>
          <w:rtl/>
        </w:rPr>
        <w:t>לסיכון</w:t>
      </w:r>
      <w:r w:rsidRPr="002C7A9E">
        <w:rPr>
          <w:rtl/>
        </w:rPr>
        <w:t xml:space="preserve"> </w:t>
      </w:r>
      <w:r w:rsidRPr="002C7A9E">
        <w:rPr>
          <w:rFonts w:hint="eastAsia"/>
          <w:rtl/>
        </w:rPr>
        <w:t>גבוה</w:t>
      </w:r>
      <w:r w:rsidRPr="002C7A9E">
        <w:rPr>
          <w:rtl/>
        </w:rPr>
        <w:t xml:space="preserve"> </w:t>
      </w:r>
      <w:r w:rsidRPr="002C7A9E">
        <w:rPr>
          <w:rFonts w:hint="eastAsia"/>
          <w:rtl/>
        </w:rPr>
        <w:t>יותר</w:t>
      </w:r>
      <w:r w:rsidRPr="002C7A9E">
        <w:rPr>
          <w:rFonts w:hint="cs"/>
          <w:rtl/>
        </w:rPr>
        <w:t>.</w:t>
      </w:r>
    </w:p>
    <w:p w:rsidR="006F7218" w:rsidRPr="00C755AD" w:rsidRDefault="006F7218" w:rsidP="006E6FCB">
      <w:pPr>
        <w:pStyle w:val="Hesber"/>
        <w:rPr>
          <w:rtl/>
        </w:rPr>
      </w:pPr>
      <w:r w:rsidRPr="00C755AD">
        <w:rPr>
          <w:rtl/>
        </w:rPr>
        <w:t xml:space="preserve">לצד הקשיים המשפטיים וסוגיית ניגוד העניינים כאמור לעיל, עולה חשש נוסף כי מעבר למנגנון "דמי ניהול כוללים" עשוי להביא לעליית שיעור דמי הניהול בגובה תוחלת ההוצאות הישירות שהיו צפויות להיות מושתות בהיעדר מעבר למנגנון הנ"ל, </w:t>
      </w:r>
      <w:r w:rsidR="006E6FCB">
        <w:rPr>
          <w:rFonts w:hint="cs"/>
          <w:rtl/>
        </w:rPr>
        <w:t>זאת בשעה שההשקעות בפועל שבגינן היו מתהוות ההוצאות הישירות לא בהכרח היו מבוצעות ע"י הגוף המוסדי.</w:t>
      </w:r>
      <w:r w:rsidRPr="00C755AD">
        <w:rPr>
          <w:rtl/>
        </w:rPr>
        <w:t xml:space="preserve"> </w:t>
      </w:r>
      <w:r w:rsidR="006E6FCB">
        <w:rPr>
          <w:rFonts w:hint="cs"/>
          <w:rtl/>
        </w:rPr>
        <w:t xml:space="preserve">תרחיש כזה היה מביא לירידה בתוחלת התשואה של החוסכים לצד בלימת </w:t>
      </w:r>
      <w:r w:rsidRPr="00C755AD">
        <w:rPr>
          <w:rtl/>
        </w:rPr>
        <w:t xml:space="preserve">מגמת </w:t>
      </w:r>
      <w:r w:rsidR="006E6FCB">
        <w:rPr>
          <w:rFonts w:hint="cs"/>
          <w:rtl/>
        </w:rPr>
        <w:t>הירידה</w:t>
      </w:r>
      <w:r w:rsidRPr="00C755AD">
        <w:rPr>
          <w:rtl/>
        </w:rPr>
        <w:t xml:space="preserve"> </w:t>
      </w:r>
      <w:r w:rsidR="006E6FCB">
        <w:rPr>
          <w:rFonts w:hint="cs"/>
          <w:rtl/>
        </w:rPr>
        <w:t>ב</w:t>
      </w:r>
      <w:r w:rsidR="006E6FCB">
        <w:rPr>
          <w:rtl/>
        </w:rPr>
        <w:t xml:space="preserve">דמי הניהול </w:t>
      </w:r>
      <w:r w:rsidR="006E6FCB">
        <w:rPr>
          <w:rFonts w:hint="cs"/>
          <w:rtl/>
        </w:rPr>
        <w:t>ש</w:t>
      </w:r>
      <w:r w:rsidRPr="00C755AD">
        <w:rPr>
          <w:rtl/>
        </w:rPr>
        <w:t>ניכרת במהלך השנים האחרונות בשוק הפנסיוני.</w:t>
      </w:r>
      <w:r w:rsidR="007A42CD">
        <w:rPr>
          <w:rStyle w:val="ad"/>
          <w:rtl/>
        </w:rPr>
        <w:footnoteReference w:id="6"/>
      </w:r>
    </w:p>
    <w:p w:rsidR="00B20C9E" w:rsidRDefault="006F7218" w:rsidP="000C4792">
      <w:pPr>
        <w:pStyle w:val="Hesber"/>
        <w:rPr>
          <w:rtl/>
        </w:rPr>
      </w:pPr>
      <w:r w:rsidRPr="00C755AD">
        <w:rPr>
          <w:rtl/>
        </w:rPr>
        <w:t xml:space="preserve">לאור כל האמור, </w:t>
      </w:r>
      <w:r w:rsidR="00281217">
        <w:rPr>
          <w:rFonts w:hint="cs"/>
          <w:rtl/>
        </w:rPr>
        <w:t>מוצע לקבוע</w:t>
      </w:r>
      <w:r w:rsidRPr="00C755AD">
        <w:rPr>
          <w:rtl/>
        </w:rPr>
        <w:t xml:space="preserve"> מנגנון אחר שלפיו הגוף המוסדי יקבע עבור כל מסלול או קופת גמל</w:t>
      </w:r>
      <w:r w:rsidR="004237FB">
        <w:rPr>
          <w:rFonts w:hint="cs"/>
          <w:rtl/>
        </w:rPr>
        <w:t xml:space="preserve"> שבניהולו</w:t>
      </w:r>
      <w:r w:rsidRPr="00C755AD">
        <w:rPr>
          <w:rtl/>
        </w:rPr>
        <w:t xml:space="preserve">, לפי העניין, את תקרת עמלות הניהול החיצוני לשנה הקלנדרית הבאה, מבלי שתקבע בתקנות תקרה מספרית באחוזים (כפי שנקבעה החל משנת 2014 ועד היום). המלצה זו תואמת גם את הסתייגות הוועדה לפיה </w:t>
      </w:r>
      <w:r w:rsidR="00281217">
        <w:rPr>
          <w:rFonts w:hint="cs"/>
          <w:rtl/>
        </w:rPr>
        <w:t>מגבלת ההוצאות שהינה כאמור</w:t>
      </w:r>
      <w:r w:rsidRPr="00C755AD">
        <w:rPr>
          <w:rtl/>
        </w:rPr>
        <w:t xml:space="preserve"> בשיעור של 0.25%, כפי שנקבעה בהוראות שעה, היא שרירותית. שאר סוגי ההוצאות הישירות, בין אם נובעות מהשקעות ישירות סחירות, ובין אם נובעות מהשקעות ישירות שאינן סחירות (לדוגמא השקעה באג"ח לא סחירה), לא יהיו כפופים למגבלת עמלות הניהול החיצוני. האבחנה בין ההוצאות הישירות שכפופות למגבלת עמלות הניהול החיצוני, לבין שאר ההוצאות, נובעת בראש ובראשונה </w:t>
      </w:r>
      <w:r w:rsidRPr="00FF52C0">
        <w:rPr>
          <w:rtl/>
        </w:rPr>
        <w:t xml:space="preserve">מאופיין של עמלות הניהול החיצוני, אשר משולמות למנהלים חיצוניים, ומכאן מוצע </w:t>
      </w:r>
      <w:r w:rsidR="00AD6B59" w:rsidRPr="00FF52C0">
        <w:rPr>
          <w:rFonts w:hint="cs"/>
          <w:rtl/>
        </w:rPr>
        <w:t>לתחום אותן</w:t>
      </w:r>
      <w:r w:rsidRPr="00FF52C0">
        <w:rPr>
          <w:rtl/>
        </w:rPr>
        <w:t>, באופן דומה לתיחום דמי הניהול הנגבים ע"י</w:t>
      </w:r>
      <w:r w:rsidR="00DD7D59" w:rsidRPr="00FF52C0">
        <w:rPr>
          <w:rtl/>
        </w:rPr>
        <w:t xml:space="preserve"> הגוף המוסדי. קביעת שיעור התקרה</w:t>
      </w:r>
      <w:r w:rsidRPr="00FF52C0">
        <w:rPr>
          <w:rtl/>
        </w:rPr>
        <w:t xml:space="preserve"> ע"י הגוף המוסדי (ולא בהוראות הדין) תאפשר </w:t>
      </w:r>
      <w:r w:rsidR="007B7110" w:rsidRPr="00FF52C0">
        <w:rPr>
          <w:rFonts w:hint="cs"/>
          <w:rtl/>
        </w:rPr>
        <w:t>גמישות</w:t>
      </w:r>
      <w:r w:rsidRPr="00FF52C0">
        <w:rPr>
          <w:rtl/>
        </w:rPr>
        <w:t xml:space="preserve"> </w:t>
      </w:r>
      <w:r w:rsidR="00281217" w:rsidRPr="00FF52C0">
        <w:rPr>
          <w:rFonts w:hint="cs"/>
          <w:rtl/>
        </w:rPr>
        <w:t>כך ש</w:t>
      </w:r>
      <w:r w:rsidRPr="00FF52C0">
        <w:rPr>
          <w:rtl/>
        </w:rPr>
        <w:t xml:space="preserve">קביעת </w:t>
      </w:r>
      <w:r w:rsidR="00281217" w:rsidRPr="00FF52C0">
        <w:rPr>
          <w:rFonts w:hint="cs"/>
          <w:rtl/>
        </w:rPr>
        <w:t>ה</w:t>
      </w:r>
      <w:r w:rsidRPr="00FF52C0">
        <w:rPr>
          <w:rtl/>
        </w:rPr>
        <w:t xml:space="preserve">תקרה </w:t>
      </w:r>
      <w:r w:rsidR="007A42CD" w:rsidRPr="00FF52C0">
        <w:rPr>
          <w:rFonts w:hint="cs"/>
          <w:rtl/>
        </w:rPr>
        <w:t>תתאים</w:t>
      </w:r>
      <w:r w:rsidRPr="00FF52C0">
        <w:rPr>
          <w:rtl/>
        </w:rPr>
        <w:t xml:space="preserve"> למאפייני המסלול, ולשיעור הנכסים הצפויים להיות מנוהלים</w:t>
      </w:r>
      <w:r w:rsidR="007A42CD" w:rsidRPr="00FF52C0">
        <w:rPr>
          <w:rFonts w:hint="cs"/>
          <w:rtl/>
        </w:rPr>
        <w:t xml:space="preserve"> במסגרתו</w:t>
      </w:r>
      <w:r w:rsidRPr="00FF52C0">
        <w:rPr>
          <w:rtl/>
        </w:rPr>
        <w:t xml:space="preserve"> ע"י מנהלים חיצוניים. באשר להוצאות הישירות שאינן כפופות למגבלת עמלות ניהול חיצוני, בגין הוצאות אלו המשקיע המוסדי נדרש למידת גמישות גבוהה יותר, וזאת </w:t>
      </w:r>
      <w:r w:rsidR="000C4792">
        <w:rPr>
          <w:rFonts w:hint="cs"/>
          <w:rtl/>
        </w:rPr>
        <w:t>משום</w:t>
      </w:r>
      <w:r w:rsidRPr="00FF52C0">
        <w:rPr>
          <w:rtl/>
        </w:rPr>
        <w:t xml:space="preserve"> שהי</w:t>
      </w:r>
      <w:r w:rsidR="007A42CD" w:rsidRPr="00FF52C0">
        <w:rPr>
          <w:rtl/>
        </w:rPr>
        <w:t>קף הוצאות אלו נקבע במהלך השנה</w:t>
      </w:r>
      <w:r w:rsidR="000C4792">
        <w:rPr>
          <w:rFonts w:hint="cs"/>
          <w:rtl/>
        </w:rPr>
        <w:t xml:space="preserve"> ו</w:t>
      </w:r>
      <w:r w:rsidRPr="00FF52C0">
        <w:rPr>
          <w:rtl/>
        </w:rPr>
        <w:t>אינו ניתן</w:t>
      </w:r>
      <w:r w:rsidR="007A42CD" w:rsidRPr="00FF52C0">
        <w:rPr>
          <w:rtl/>
        </w:rPr>
        <w:t xml:space="preserve"> לחיזוי באופן מהימן בתחילת השנה</w:t>
      </w:r>
      <w:r w:rsidR="000C4792">
        <w:rPr>
          <w:rFonts w:hint="cs"/>
          <w:rtl/>
        </w:rPr>
        <w:t>.</w:t>
      </w:r>
      <w:r w:rsidR="007A42CD" w:rsidRPr="00FF52C0">
        <w:rPr>
          <w:rFonts w:hint="cs"/>
          <w:rtl/>
        </w:rPr>
        <w:t xml:space="preserve"> בפרט</w:t>
      </w:r>
      <w:r w:rsidR="000C4792">
        <w:rPr>
          <w:rFonts w:hint="cs"/>
          <w:rtl/>
        </w:rPr>
        <w:t>,</w:t>
      </w:r>
      <w:r w:rsidR="007A42CD" w:rsidRPr="00FF52C0">
        <w:rPr>
          <w:rFonts w:hint="cs"/>
          <w:rtl/>
        </w:rPr>
        <w:t xml:space="preserve"> בשונה מע</w:t>
      </w:r>
      <w:r w:rsidR="007A42CD">
        <w:rPr>
          <w:rFonts w:hint="cs"/>
          <w:rtl/>
        </w:rPr>
        <w:t xml:space="preserve">מלות ניהול חיצוני, חלקן הארי של ההוצאות מסוג זה </w:t>
      </w:r>
      <w:r w:rsidR="000C4792">
        <w:rPr>
          <w:rFonts w:hint="cs"/>
          <w:rtl/>
        </w:rPr>
        <w:t xml:space="preserve">אינו נגזר </w:t>
      </w:r>
      <w:r w:rsidR="007A42CD">
        <w:rPr>
          <w:rFonts w:hint="cs"/>
          <w:rtl/>
        </w:rPr>
        <w:t>מחוזים ארוכי טווח, מאפיין אשר מקל על חיזוי שיעורם השנתי.</w:t>
      </w:r>
    </w:p>
    <w:p w:rsidR="006F7218" w:rsidRPr="00C755AD" w:rsidRDefault="00B20C9E" w:rsidP="00E34EC2">
      <w:pPr>
        <w:pStyle w:val="Hesber"/>
      </w:pPr>
      <w:r>
        <w:rPr>
          <w:rFonts w:hint="cs"/>
          <w:rtl/>
        </w:rPr>
        <w:t xml:space="preserve">בהקשר זה, </w:t>
      </w:r>
      <w:r w:rsidRPr="00C755AD">
        <w:rPr>
          <w:rtl/>
        </w:rPr>
        <w:t xml:space="preserve">מוצע להחריג את דמי הניהול המשתנים אשר נגבים ע"י מנהלים חיצוניים </w:t>
      </w:r>
      <w:r w:rsidR="000C4792">
        <w:rPr>
          <w:rFonts w:hint="cs"/>
          <w:rtl/>
        </w:rPr>
        <w:t>[</w:t>
      </w:r>
      <w:r w:rsidRPr="00C755AD">
        <w:rPr>
          <w:rtl/>
        </w:rPr>
        <w:t xml:space="preserve">כדוגמת גביית דמי </w:t>
      </w:r>
      <w:r w:rsidR="00B560E2">
        <w:rPr>
          <w:rFonts w:hint="cs"/>
          <w:rtl/>
        </w:rPr>
        <w:t xml:space="preserve">ניהול משתנים (המכונים גם "דמי </w:t>
      </w:r>
      <w:r w:rsidRPr="00C755AD">
        <w:rPr>
          <w:rtl/>
        </w:rPr>
        <w:t>הצלחה</w:t>
      </w:r>
      <w:r w:rsidR="00B560E2">
        <w:rPr>
          <w:rFonts w:hint="cs"/>
          <w:rtl/>
        </w:rPr>
        <w:t>"),</w:t>
      </w:r>
      <w:r w:rsidRPr="00C755AD">
        <w:rPr>
          <w:rtl/>
        </w:rPr>
        <w:t xml:space="preserve"> על ידי מנהל קרן השקעה</w:t>
      </w:r>
      <w:r w:rsidR="000C4792">
        <w:rPr>
          <w:rFonts w:hint="cs"/>
          <w:rtl/>
        </w:rPr>
        <w:t>]</w:t>
      </w:r>
      <w:r w:rsidR="000C4792" w:rsidRPr="00C755AD">
        <w:rPr>
          <w:rtl/>
        </w:rPr>
        <w:t xml:space="preserve">, </w:t>
      </w:r>
      <w:r w:rsidRPr="00C755AD">
        <w:rPr>
          <w:rtl/>
        </w:rPr>
        <w:t xml:space="preserve">כך שהם לא יהיו כפופים למגבלת עמלת ניהול חיצוני, זאת לאור חוסר יכולת להעריך מראש באופן מהימן את היקפן השנתי, וכדי למנוע התעוררות של ניגוד עניינים מובנה בדבר ההחלטה האם לממש השקעה, </w:t>
      </w:r>
      <w:r>
        <w:rPr>
          <w:rFonts w:hint="cs"/>
          <w:rtl/>
        </w:rPr>
        <w:t>במקרים בהם בוצעה</w:t>
      </w:r>
      <w:r>
        <w:rPr>
          <w:rtl/>
        </w:rPr>
        <w:t xml:space="preserve"> </w:t>
      </w:r>
      <w:r w:rsidRPr="00C755AD">
        <w:rPr>
          <w:rtl/>
        </w:rPr>
        <w:t>השקעה אשר ביצועיה עלו על תחזיות קודמות</w:t>
      </w:r>
      <w:r w:rsidR="00462BA5">
        <w:rPr>
          <w:rFonts w:hint="cs"/>
          <w:rtl/>
        </w:rPr>
        <w:t>,</w:t>
      </w:r>
      <w:r>
        <w:rPr>
          <w:rFonts w:hint="cs"/>
          <w:rtl/>
        </w:rPr>
        <w:t xml:space="preserve"> ולא ניתן להשית את ההוצאות הישירות בגין הביצועים </w:t>
      </w:r>
      <w:r>
        <w:rPr>
          <w:rFonts w:hint="cs"/>
          <w:rtl/>
        </w:rPr>
        <w:lastRenderedPageBreak/>
        <w:t>העודפים על החוסכים מפאת חריגה מתקרת עמלות הניהול החיצוני</w:t>
      </w:r>
      <w:r w:rsidR="00B560E2">
        <w:rPr>
          <w:rFonts w:hint="cs"/>
          <w:rtl/>
        </w:rPr>
        <w:t>.</w:t>
      </w:r>
    </w:p>
    <w:p w:rsidR="006F7218" w:rsidRPr="00C755AD" w:rsidRDefault="006F7218" w:rsidP="00B560E2">
      <w:pPr>
        <w:pStyle w:val="Hesber"/>
        <w:rPr>
          <w:rtl/>
        </w:rPr>
      </w:pPr>
      <w:r w:rsidRPr="00C755AD">
        <w:rPr>
          <w:rtl/>
        </w:rPr>
        <w:t xml:space="preserve">מוצע </w:t>
      </w:r>
      <w:r w:rsidR="00B560E2">
        <w:rPr>
          <w:rFonts w:hint="cs"/>
          <w:rtl/>
        </w:rPr>
        <w:t xml:space="preserve">לקבוע כי </w:t>
      </w:r>
      <w:r w:rsidRPr="00C755AD">
        <w:rPr>
          <w:rtl/>
        </w:rPr>
        <w:t>לגבי מסלולי השקעה חדשים שכוללים רכיב של דמי ניהול משתנים</w:t>
      </w:r>
      <w:r w:rsidR="00830358" w:rsidRPr="007B7110">
        <w:rPr>
          <w:szCs w:val="20"/>
          <w:rtl/>
        </w:rPr>
        <w:footnoteReference w:id="7"/>
      </w:r>
      <w:r w:rsidRPr="00C755AD">
        <w:rPr>
          <w:rtl/>
        </w:rPr>
        <w:t xml:space="preserve">, שהם מסלולים אשר בהם תגמול הגוף המוסדי נגזר גם מביצועי המסלול, ולפיכך קיימת זיקה הדוקה יותר בין החלטות ההשקעה של המשקיע המוסדי לבין תגמולו, לא </w:t>
      </w:r>
      <w:r w:rsidR="00B560E2">
        <w:rPr>
          <w:rFonts w:hint="cs"/>
          <w:rtl/>
        </w:rPr>
        <w:t>תת</w:t>
      </w:r>
      <w:r w:rsidR="00B560E2" w:rsidRPr="00C755AD">
        <w:rPr>
          <w:rtl/>
        </w:rPr>
        <w:t xml:space="preserve">אפשר </w:t>
      </w:r>
      <w:r w:rsidRPr="00C755AD">
        <w:rPr>
          <w:rtl/>
        </w:rPr>
        <w:t>כלל גביית הוצאות ישירות מכל סוג שהוא. עד לשנים האחרונות, דמי ניהול מבוססי ביצועים, הנפוצים בקרנות השקעה פרטיות ובגופים פרטיים אחרים המנהלים כספים, היו נדירים יחסית במדינות ה-</w:t>
      </w:r>
      <w:r w:rsidRPr="007B7110">
        <w:rPr>
          <w:rFonts w:asciiTheme="majorBidi" w:hAnsiTheme="majorBidi" w:cstheme="majorBidi"/>
        </w:rPr>
        <w:t>OECD</w:t>
      </w:r>
      <w:r w:rsidRPr="00C755AD">
        <w:rPr>
          <w:rtl/>
        </w:rPr>
        <w:t xml:space="preserve"> בקרב מנהלי כספים מפוקחים. עם זאת, בשנים האחרונות, קיימת מגמה בעולם, ובפרט במדינות ה-</w:t>
      </w:r>
      <w:r w:rsidRPr="007B7110">
        <w:rPr>
          <w:rFonts w:asciiTheme="majorBidi" w:hAnsiTheme="majorBidi" w:cstheme="majorBidi"/>
        </w:rPr>
        <w:t>OECD</w:t>
      </w:r>
      <w:r w:rsidRPr="00C755AD">
        <w:rPr>
          <w:rtl/>
        </w:rPr>
        <w:t>, של מעבר לדמי ניהול מבוססי ביצועים גם בניהול חיסכון פנסיוני. במסלולים בדמי ניהול משתנים, מנגנון ההשתתפות ברווחים צפוי להפיג את החששות שתוארו לעיל ביחס למנגנונים בדמי ניהול קבועים.</w:t>
      </w:r>
    </w:p>
    <w:p w:rsidR="006F7218" w:rsidRPr="00AC7402" w:rsidRDefault="006F7218" w:rsidP="006F7218">
      <w:pPr>
        <w:jc w:val="left"/>
        <w:rPr>
          <w:b/>
          <w:bCs/>
          <w:rtl/>
        </w:rPr>
      </w:pPr>
      <w:r w:rsidRPr="00AC7402">
        <w:rPr>
          <w:b/>
          <w:bCs/>
          <w:rtl/>
        </w:rPr>
        <w:t>לתקנה 1 –</w:t>
      </w:r>
      <w:r w:rsidR="00841F65">
        <w:rPr>
          <w:rFonts w:hint="cs"/>
          <w:b/>
          <w:bCs/>
          <w:rtl/>
        </w:rPr>
        <w:t xml:space="preserve"> </w:t>
      </w:r>
      <w:r w:rsidRPr="00AC7402">
        <w:rPr>
          <w:b/>
          <w:bCs/>
          <w:rtl/>
        </w:rPr>
        <w:t>הגדרות</w:t>
      </w:r>
    </w:p>
    <w:p w:rsidR="006F7218" w:rsidRPr="00C755AD" w:rsidRDefault="006F7218" w:rsidP="006E09CB">
      <w:pPr>
        <w:pStyle w:val="Hesber"/>
        <w:rPr>
          <w:rtl/>
        </w:rPr>
      </w:pPr>
      <w:r w:rsidRPr="00C755AD">
        <w:rPr>
          <w:rtl/>
        </w:rPr>
        <w:t>מוצע להוסיף את ההגדרות: "אפיק השקעה מובטח תשואה", "קרן ותיקה שבהסדר", "קרן ותיקה שאינה בהסדר" ו"קרן ותיקה מסלולית" היות ויש שימוש בהגדרות אלו בטיוטה המוצעת, זאת לאור התיקון לחוק הפיקוח על שירותים פיננסיים (קופות גמל), התשס"ה-2005 שנחקק בכנסת בתאריך ביום 4 בנובמבר 2021 שבמסגרתו נקבע שמנגנון הנפקת איגרות החוב מיועדות לקרנות פנסיה חדשות וותיקות יוחלף במנגנון חדש של הבטחה להשלמת תשואה.</w:t>
      </w:r>
      <w:r w:rsidR="00B560E2">
        <w:rPr>
          <w:rFonts w:hint="cs"/>
          <w:rtl/>
        </w:rPr>
        <w:t xml:space="preserve"> לאור תיקון החקיקה כאמור, והעובדה שבעקבותיו ינוהלו עד 30% מהנכסים המושקעים בקופת גמל או במסלול השקעה, במסגרת אפיק מוב</w:t>
      </w:r>
      <w:r w:rsidR="000E7C3E">
        <w:rPr>
          <w:rFonts w:hint="cs"/>
          <w:rtl/>
        </w:rPr>
        <w:t>טח תשואה, יש צורך להסדיר ב</w:t>
      </w:r>
      <w:r w:rsidR="00B560E2">
        <w:rPr>
          <w:rFonts w:hint="cs"/>
          <w:rtl/>
        </w:rPr>
        <w:t>תקנות אלה, גם את יכולת המשקיעים המוסדיים לגבו</w:t>
      </w:r>
      <w:r w:rsidR="000E7C3E">
        <w:rPr>
          <w:rFonts w:hint="cs"/>
          <w:rtl/>
        </w:rPr>
        <w:t>ת הוצאות ישירות במסגרת אפיק זה.</w:t>
      </w:r>
    </w:p>
    <w:p w:rsidR="006F7218" w:rsidRPr="00C755AD" w:rsidRDefault="006F7218" w:rsidP="009303BD">
      <w:pPr>
        <w:pStyle w:val="Hesber"/>
        <w:rPr>
          <w:rtl/>
        </w:rPr>
      </w:pPr>
      <w:r w:rsidRPr="00C755AD">
        <w:rPr>
          <w:rtl/>
        </w:rPr>
        <w:t xml:space="preserve">כמו כן </w:t>
      </w:r>
      <w:r w:rsidR="008E7FB7">
        <w:rPr>
          <w:rFonts w:hint="cs"/>
          <w:rtl/>
        </w:rPr>
        <w:t>מוצע להוסיף</w:t>
      </w:r>
      <w:r w:rsidR="008E7FB7" w:rsidRPr="00C755AD">
        <w:rPr>
          <w:rtl/>
        </w:rPr>
        <w:t xml:space="preserve"> </w:t>
      </w:r>
      <w:r w:rsidR="008E7FB7">
        <w:rPr>
          <w:rFonts w:hint="cs"/>
          <w:rtl/>
        </w:rPr>
        <w:t xml:space="preserve">את ההגדרה </w:t>
      </w:r>
      <w:r w:rsidRPr="00C755AD">
        <w:rPr>
          <w:rtl/>
        </w:rPr>
        <w:t>"משקיע מוסדי"</w:t>
      </w:r>
      <w:r w:rsidR="00B560E2">
        <w:rPr>
          <w:rFonts w:hint="cs"/>
          <w:rtl/>
        </w:rPr>
        <w:t xml:space="preserve"> ו</w:t>
      </w:r>
      <w:r w:rsidR="00D13ABF">
        <w:rPr>
          <w:rFonts w:hint="cs"/>
          <w:rtl/>
        </w:rPr>
        <w:t>ל</w:t>
      </w:r>
      <w:r w:rsidR="00B560E2">
        <w:rPr>
          <w:rFonts w:hint="cs"/>
          <w:rtl/>
        </w:rPr>
        <w:t xml:space="preserve">התאימה להגדרה </w:t>
      </w:r>
      <w:r w:rsidR="00230188">
        <w:rPr>
          <w:rFonts w:hint="cs"/>
          <w:rtl/>
        </w:rPr>
        <w:t>ב</w:t>
      </w:r>
      <w:r w:rsidR="00B560E2" w:rsidRPr="00B560E2">
        <w:rPr>
          <w:rFonts w:hint="eastAsia"/>
          <w:rtl/>
        </w:rPr>
        <w:t>תקנות</w:t>
      </w:r>
      <w:r w:rsidR="00B560E2" w:rsidRPr="00B560E2">
        <w:rPr>
          <w:rtl/>
        </w:rPr>
        <w:t xml:space="preserve"> </w:t>
      </w:r>
      <w:r w:rsidR="00B560E2" w:rsidRPr="00B560E2">
        <w:rPr>
          <w:rFonts w:hint="eastAsia"/>
          <w:rtl/>
        </w:rPr>
        <w:t>הפיקוח</w:t>
      </w:r>
      <w:r w:rsidR="00B560E2" w:rsidRPr="00B560E2">
        <w:rPr>
          <w:rtl/>
        </w:rPr>
        <w:t xml:space="preserve"> </w:t>
      </w:r>
      <w:r w:rsidR="00B560E2" w:rsidRPr="00B560E2">
        <w:rPr>
          <w:rFonts w:hint="eastAsia"/>
          <w:rtl/>
        </w:rPr>
        <w:t>על</w:t>
      </w:r>
      <w:r w:rsidR="00B560E2" w:rsidRPr="00B560E2">
        <w:rPr>
          <w:rtl/>
        </w:rPr>
        <w:t xml:space="preserve"> </w:t>
      </w:r>
      <w:r w:rsidR="00B560E2" w:rsidRPr="00B560E2">
        <w:rPr>
          <w:rFonts w:hint="eastAsia"/>
          <w:rtl/>
        </w:rPr>
        <w:t>שירותים</w:t>
      </w:r>
      <w:r w:rsidR="00B560E2" w:rsidRPr="00B560E2">
        <w:rPr>
          <w:rtl/>
        </w:rPr>
        <w:t xml:space="preserve"> </w:t>
      </w:r>
      <w:r w:rsidR="00B560E2" w:rsidRPr="00B560E2">
        <w:rPr>
          <w:rFonts w:hint="eastAsia"/>
          <w:rtl/>
        </w:rPr>
        <w:t>פיננסיים</w:t>
      </w:r>
      <w:r w:rsidR="00B560E2" w:rsidRPr="00B560E2">
        <w:rPr>
          <w:rtl/>
        </w:rPr>
        <w:t xml:space="preserve"> (קופות </w:t>
      </w:r>
      <w:r w:rsidR="00B560E2" w:rsidRPr="00B560E2">
        <w:rPr>
          <w:rFonts w:hint="eastAsia"/>
          <w:rtl/>
        </w:rPr>
        <w:t>גמל</w:t>
      </w:r>
      <w:r w:rsidR="00B560E2" w:rsidRPr="00B560E2">
        <w:rPr>
          <w:rtl/>
        </w:rPr>
        <w:t xml:space="preserve">) (כללי </w:t>
      </w:r>
      <w:r w:rsidR="00B560E2" w:rsidRPr="00B560E2">
        <w:rPr>
          <w:rFonts w:hint="eastAsia"/>
          <w:rtl/>
        </w:rPr>
        <w:t>השקעה</w:t>
      </w:r>
      <w:r w:rsidR="00B560E2" w:rsidRPr="00B560E2">
        <w:rPr>
          <w:rtl/>
        </w:rPr>
        <w:t xml:space="preserve"> </w:t>
      </w:r>
      <w:r w:rsidR="00B560E2" w:rsidRPr="00B560E2">
        <w:rPr>
          <w:rFonts w:hint="eastAsia"/>
          <w:rtl/>
        </w:rPr>
        <w:t>החלים</w:t>
      </w:r>
      <w:r w:rsidR="00B560E2" w:rsidRPr="00B560E2">
        <w:rPr>
          <w:rtl/>
        </w:rPr>
        <w:t xml:space="preserve"> </w:t>
      </w:r>
      <w:r w:rsidR="00B560E2" w:rsidRPr="00B560E2">
        <w:rPr>
          <w:rFonts w:hint="eastAsia"/>
          <w:rtl/>
        </w:rPr>
        <w:t>על</w:t>
      </w:r>
      <w:r w:rsidR="00B560E2" w:rsidRPr="00B560E2">
        <w:rPr>
          <w:rtl/>
        </w:rPr>
        <w:t xml:space="preserve"> </w:t>
      </w:r>
      <w:r w:rsidR="00B560E2" w:rsidRPr="00B560E2">
        <w:rPr>
          <w:rFonts w:hint="eastAsia"/>
          <w:rtl/>
        </w:rPr>
        <w:t>גופים</w:t>
      </w:r>
      <w:r w:rsidR="00B560E2" w:rsidRPr="00B560E2">
        <w:rPr>
          <w:rtl/>
        </w:rPr>
        <w:t xml:space="preserve"> </w:t>
      </w:r>
      <w:r w:rsidR="00B560E2" w:rsidRPr="00B560E2">
        <w:rPr>
          <w:rFonts w:hint="eastAsia"/>
          <w:rtl/>
        </w:rPr>
        <w:t>מוסדיים</w:t>
      </w:r>
      <w:r w:rsidR="00B560E2" w:rsidRPr="00B560E2">
        <w:rPr>
          <w:rtl/>
        </w:rPr>
        <w:t xml:space="preserve">), </w:t>
      </w:r>
      <w:r w:rsidR="00B560E2" w:rsidRPr="00B560E2">
        <w:rPr>
          <w:rFonts w:hint="eastAsia"/>
          <w:rtl/>
        </w:rPr>
        <w:t>התשע</w:t>
      </w:r>
      <w:r w:rsidR="00B560E2">
        <w:rPr>
          <w:rtl/>
        </w:rPr>
        <w:t>"ב-2012</w:t>
      </w:r>
      <w:r w:rsidR="008E7FB7">
        <w:rPr>
          <w:rFonts w:hint="cs"/>
          <w:rtl/>
        </w:rPr>
        <w:t>,</w:t>
      </w:r>
      <w:r w:rsidRPr="00C755AD">
        <w:rPr>
          <w:rtl/>
        </w:rPr>
        <w:t xml:space="preserve"> היות ומוצע להשתמש בביטוי "משקיע מוסדי" חלף "קופת גמל" ולמחוק במקביל את תקנה 4 שקובעת שהתקנות יחולו גם על ביטוחים תלויי תשואה.</w:t>
      </w:r>
    </w:p>
    <w:p w:rsidR="006F7218" w:rsidRDefault="006F7218" w:rsidP="006D0850">
      <w:pPr>
        <w:pStyle w:val="Hesber"/>
        <w:rPr>
          <w:rtl/>
        </w:rPr>
      </w:pPr>
      <w:r w:rsidRPr="00C755AD">
        <w:rPr>
          <w:rtl/>
        </w:rPr>
        <w:t>בנוסף, לאור העובדה ש</w:t>
      </w:r>
      <w:r w:rsidR="00EA1ED5">
        <w:rPr>
          <w:rFonts w:hint="cs"/>
          <w:rtl/>
        </w:rPr>
        <w:t>ב</w:t>
      </w:r>
      <w:r w:rsidR="000E7C3E">
        <w:rPr>
          <w:rFonts w:hint="cs"/>
          <w:rtl/>
        </w:rPr>
        <w:t xml:space="preserve">תיקון זה </w:t>
      </w:r>
      <w:r w:rsidRPr="00C755AD">
        <w:rPr>
          <w:rtl/>
        </w:rPr>
        <w:t>מוצע לעבור להסדר קבע</w:t>
      </w:r>
      <w:r w:rsidR="00EA1ED5">
        <w:rPr>
          <w:rFonts w:hint="cs"/>
          <w:rtl/>
        </w:rPr>
        <w:t xml:space="preserve"> של התחום</w:t>
      </w:r>
      <w:r w:rsidRPr="00C755AD">
        <w:rPr>
          <w:rtl/>
        </w:rPr>
        <w:t xml:space="preserve">, מוצע לכלול את הגדרת </w:t>
      </w:r>
      <w:r w:rsidR="00841F65">
        <w:rPr>
          <w:rFonts w:hint="cs"/>
          <w:rtl/>
        </w:rPr>
        <w:t>"</w:t>
      </w:r>
      <w:r w:rsidRPr="00C755AD">
        <w:rPr>
          <w:rtl/>
        </w:rPr>
        <w:t>עמלת ניהול חיצוני</w:t>
      </w:r>
      <w:r w:rsidR="00841F65">
        <w:rPr>
          <w:rFonts w:hint="cs"/>
          <w:rtl/>
        </w:rPr>
        <w:t>"</w:t>
      </w:r>
      <w:r w:rsidRPr="00C755AD">
        <w:rPr>
          <w:rtl/>
        </w:rPr>
        <w:t xml:space="preserve"> כהגדרה קבועה חלף הכללתה במסגרת הוראת השעה</w:t>
      </w:r>
      <w:r w:rsidR="006D0850">
        <w:rPr>
          <w:rFonts w:hint="cs"/>
          <w:rtl/>
        </w:rPr>
        <w:t>, תוך ביצוע מספר שינויים והתאמות בהגדרה</w:t>
      </w:r>
      <w:r w:rsidRPr="00C755AD">
        <w:rPr>
          <w:rtl/>
        </w:rPr>
        <w:t xml:space="preserve">. </w:t>
      </w:r>
      <w:r w:rsidR="00841F65">
        <w:rPr>
          <w:rFonts w:hint="cs"/>
          <w:rtl/>
        </w:rPr>
        <w:t xml:space="preserve">בנוסף, </w:t>
      </w:r>
      <w:r w:rsidRPr="00C755AD">
        <w:rPr>
          <w:rtl/>
        </w:rPr>
        <w:t>מוצע למחוק את הגדרת "תעודת סל" היות ותיקון מס' 28 לחוק השקעות משותפות בנאמנות, התשנ"ד-1994, הסדיר את המרת תעודות הסל לקרנות סל.</w:t>
      </w:r>
    </w:p>
    <w:p w:rsidR="008605C9" w:rsidRPr="003959CD" w:rsidRDefault="00696699" w:rsidP="003959CD">
      <w:pPr>
        <w:jc w:val="left"/>
        <w:rPr>
          <w:b/>
          <w:bCs/>
          <w:rtl/>
        </w:rPr>
      </w:pPr>
      <w:r w:rsidRPr="00AC7402">
        <w:rPr>
          <w:b/>
          <w:bCs/>
          <w:rtl/>
        </w:rPr>
        <w:t xml:space="preserve">לתקנה </w:t>
      </w:r>
      <w:r>
        <w:rPr>
          <w:rFonts w:hint="cs"/>
          <w:b/>
          <w:bCs/>
          <w:rtl/>
        </w:rPr>
        <w:t>2</w:t>
      </w:r>
      <w:r w:rsidRPr="00AC7402">
        <w:rPr>
          <w:b/>
          <w:bCs/>
          <w:rtl/>
        </w:rPr>
        <w:t xml:space="preserve"> –</w:t>
      </w:r>
      <w:r>
        <w:rPr>
          <w:rFonts w:hint="cs"/>
          <w:b/>
          <w:bCs/>
          <w:rtl/>
        </w:rPr>
        <w:t xml:space="preserve"> </w:t>
      </w:r>
    </w:p>
    <w:p w:rsidR="00A1597C" w:rsidRDefault="0022309B" w:rsidP="00A1597C">
      <w:pPr>
        <w:pStyle w:val="Hesber"/>
        <w:rPr>
          <w:rtl/>
        </w:rPr>
      </w:pPr>
      <w:r>
        <w:rPr>
          <w:rFonts w:hint="cs"/>
          <w:u w:val="single"/>
          <w:rtl/>
        </w:rPr>
        <w:t>ל</w:t>
      </w:r>
      <w:r w:rsidR="006F7218" w:rsidRPr="003959CD">
        <w:rPr>
          <w:u w:val="single"/>
          <w:rtl/>
        </w:rPr>
        <w:t>תקנ</w:t>
      </w:r>
      <w:r w:rsidR="00D13ABF">
        <w:rPr>
          <w:rFonts w:hint="cs"/>
          <w:u w:val="single"/>
          <w:rtl/>
        </w:rPr>
        <w:t>ה</w:t>
      </w:r>
      <w:r w:rsidR="00C458AC" w:rsidRPr="003959CD">
        <w:rPr>
          <w:u w:val="single"/>
          <w:rtl/>
        </w:rPr>
        <w:t xml:space="preserve"> </w:t>
      </w:r>
      <w:r w:rsidR="006F7218" w:rsidRPr="003959CD">
        <w:rPr>
          <w:u w:val="single"/>
          <w:rtl/>
        </w:rPr>
        <w:t>2(א)</w:t>
      </w:r>
      <w:r w:rsidR="00D13ABF">
        <w:rPr>
          <w:rFonts w:hint="cs"/>
          <w:u w:val="single"/>
          <w:rtl/>
        </w:rPr>
        <w:t xml:space="preserve"> המוצעת</w:t>
      </w:r>
      <w:r w:rsidR="000C46DA" w:rsidRPr="003959CD">
        <w:rPr>
          <w:u w:val="single"/>
          <w:rtl/>
        </w:rPr>
        <w:t xml:space="preserve"> לתקנות הוצאות ישירות</w:t>
      </w:r>
      <w:r w:rsidR="000C46DA" w:rsidRPr="003959CD">
        <w:rPr>
          <w:rtl/>
        </w:rPr>
        <w:t xml:space="preserve"> </w:t>
      </w:r>
      <w:r w:rsidR="000C46DA">
        <w:rPr>
          <w:rtl/>
        </w:rPr>
        <w:t>–</w:t>
      </w:r>
      <w:r w:rsidR="00D13ABF">
        <w:rPr>
          <w:rFonts w:hint="cs"/>
          <w:rtl/>
        </w:rPr>
        <w:t xml:space="preserve"> בהתאם להצעה להוספת הגדרת "משקיע מוסדי</w:t>
      </w:r>
      <w:r w:rsidR="008267D6">
        <w:rPr>
          <w:rFonts w:hint="cs"/>
          <w:rtl/>
        </w:rPr>
        <w:t>"</w:t>
      </w:r>
      <w:r w:rsidR="00D13ABF">
        <w:rPr>
          <w:rFonts w:hint="cs"/>
          <w:rtl/>
        </w:rPr>
        <w:t>,</w:t>
      </w:r>
      <w:r w:rsidR="000C46DA" w:rsidRPr="003959CD">
        <w:rPr>
          <w:rtl/>
        </w:rPr>
        <w:t xml:space="preserve"> </w:t>
      </w:r>
      <w:r w:rsidR="000C46DA">
        <w:rPr>
          <w:rFonts w:hint="cs"/>
          <w:rtl/>
        </w:rPr>
        <w:t>ה</w:t>
      </w:r>
      <w:r w:rsidR="00D13ABF">
        <w:rPr>
          <w:rFonts w:hint="cs"/>
          <w:rtl/>
        </w:rPr>
        <w:t>תיקונים</w:t>
      </w:r>
      <w:r w:rsidR="000C46DA">
        <w:rPr>
          <w:rFonts w:hint="cs"/>
          <w:rtl/>
        </w:rPr>
        <w:t xml:space="preserve"> המוצעים</w:t>
      </w:r>
      <w:r w:rsidR="00D13ABF">
        <w:rPr>
          <w:rFonts w:hint="cs"/>
          <w:rtl/>
        </w:rPr>
        <w:t xml:space="preserve"> בתקנת משנה זו,</w:t>
      </w:r>
      <w:r w:rsidR="000C46DA">
        <w:rPr>
          <w:rFonts w:hint="cs"/>
          <w:rtl/>
        </w:rPr>
        <w:t xml:space="preserve"> נועדו להתאים את החלפת המושג "קופת ג</w:t>
      </w:r>
      <w:r w:rsidR="00C458AC">
        <w:rPr>
          <w:rFonts w:hint="cs"/>
          <w:rtl/>
        </w:rPr>
        <w:t>מל" במושג "</w:t>
      </w:r>
      <w:r w:rsidR="00C458AC" w:rsidRPr="006E09CB">
        <w:rPr>
          <w:rFonts w:hint="cs"/>
          <w:rtl/>
        </w:rPr>
        <w:t>משקיע</w:t>
      </w:r>
      <w:r w:rsidR="00C458AC">
        <w:rPr>
          <w:rFonts w:hint="cs"/>
          <w:rtl/>
        </w:rPr>
        <w:t xml:space="preserve"> מוסדי" במקרים המתאימים.  </w:t>
      </w:r>
    </w:p>
    <w:p w:rsidR="00100054" w:rsidRPr="00EF529C" w:rsidRDefault="008605C9" w:rsidP="00A1597C">
      <w:pPr>
        <w:pStyle w:val="Hesber"/>
        <w:rPr>
          <w:rtl/>
        </w:rPr>
      </w:pPr>
      <w:r>
        <w:rPr>
          <w:rFonts w:hint="cs"/>
          <w:rtl/>
        </w:rPr>
        <w:t xml:space="preserve">בפסקה (7) </w:t>
      </w:r>
      <w:r>
        <w:rPr>
          <w:rtl/>
        </w:rPr>
        <w:t>–</w:t>
      </w:r>
      <w:r>
        <w:rPr>
          <w:rFonts w:hint="cs"/>
          <w:rtl/>
        </w:rPr>
        <w:t xml:space="preserve"> מוצע לערוך</w:t>
      </w:r>
      <w:r w:rsidRPr="00EF529C">
        <w:rPr>
          <w:rtl/>
        </w:rPr>
        <w:t xml:space="preserve"> </w:t>
      </w:r>
      <w:r w:rsidR="00100054" w:rsidRPr="00EF529C">
        <w:rPr>
          <w:rtl/>
        </w:rPr>
        <w:t xml:space="preserve">תיקונים מבהירים לנוכח </w:t>
      </w:r>
      <w:r w:rsidR="006D111C">
        <w:rPr>
          <w:rFonts w:hint="cs"/>
          <w:rtl/>
        </w:rPr>
        <w:t>ה</w:t>
      </w:r>
      <w:r w:rsidR="00100054" w:rsidRPr="00EF529C">
        <w:rPr>
          <w:rtl/>
        </w:rPr>
        <w:t xml:space="preserve">שינוי </w:t>
      </w:r>
      <w:r w:rsidR="006D111C">
        <w:rPr>
          <w:rFonts w:hint="cs"/>
          <w:rtl/>
        </w:rPr>
        <w:t xml:space="preserve">שבוצע </w:t>
      </w:r>
      <w:r w:rsidR="00100054" w:rsidRPr="00EF529C">
        <w:rPr>
          <w:rtl/>
        </w:rPr>
        <w:t>בהגדר</w:t>
      </w:r>
      <w:r w:rsidR="00C458AC">
        <w:rPr>
          <w:rFonts w:hint="cs"/>
          <w:rtl/>
        </w:rPr>
        <w:t>ת המושג "קופת גמל משלמת לקצבה"</w:t>
      </w:r>
      <w:r w:rsidR="00100054" w:rsidRPr="00EF529C">
        <w:rPr>
          <w:rtl/>
        </w:rPr>
        <w:t xml:space="preserve"> בחוק קופות גמל.</w:t>
      </w:r>
    </w:p>
    <w:p w:rsidR="00241031" w:rsidRPr="002A2D96" w:rsidRDefault="00100054" w:rsidP="00734E88">
      <w:pPr>
        <w:pStyle w:val="Hesber"/>
        <w:rPr>
          <w:rtl/>
        </w:rPr>
      </w:pPr>
      <w:r w:rsidRPr="003959CD">
        <w:rPr>
          <w:rtl/>
        </w:rPr>
        <w:t xml:space="preserve">לפסקאות </w:t>
      </w:r>
      <w:r w:rsidR="006F7218" w:rsidRPr="003959CD">
        <w:rPr>
          <w:rtl/>
        </w:rPr>
        <w:t>(9) ו- (10)</w:t>
      </w:r>
      <w:r w:rsidR="00241031">
        <w:rPr>
          <w:rFonts w:ascii="David" w:hAnsi="David" w:hint="cs"/>
          <w:sz w:val="24"/>
          <w:szCs w:val="24"/>
          <w:rtl/>
        </w:rPr>
        <w:t xml:space="preserve"> - </w:t>
      </w:r>
      <w:r w:rsidR="006F7218" w:rsidRPr="002A2D96">
        <w:rPr>
          <w:rtl/>
        </w:rPr>
        <w:t>לאור הגיבוש של הסדר קבוע</w:t>
      </w:r>
      <w:r w:rsidR="00C458AC">
        <w:rPr>
          <w:rFonts w:hint="cs"/>
          <w:rtl/>
        </w:rPr>
        <w:t>,</w:t>
      </w:r>
      <w:r w:rsidR="006F7218" w:rsidRPr="002A2D96">
        <w:rPr>
          <w:rtl/>
        </w:rPr>
        <w:t xml:space="preserve"> מוצע </w:t>
      </w:r>
      <w:r w:rsidR="00241031">
        <w:rPr>
          <w:rFonts w:hint="cs"/>
          <w:rtl/>
        </w:rPr>
        <w:t xml:space="preserve">לכלול את </w:t>
      </w:r>
      <w:r w:rsidR="00081108">
        <w:rPr>
          <w:rFonts w:hint="cs"/>
          <w:rtl/>
        </w:rPr>
        <w:t>ה</w:t>
      </w:r>
      <w:r w:rsidR="00241031">
        <w:rPr>
          <w:rFonts w:hint="cs"/>
          <w:rtl/>
        </w:rPr>
        <w:t>הוצאות מסוג</w:t>
      </w:r>
      <w:r w:rsidR="00241031" w:rsidRPr="002A2D96">
        <w:rPr>
          <w:rtl/>
        </w:rPr>
        <w:t xml:space="preserve"> </w:t>
      </w:r>
      <w:r w:rsidR="00C458AC">
        <w:rPr>
          <w:rFonts w:hint="cs"/>
          <w:rtl/>
        </w:rPr>
        <w:t>"</w:t>
      </w:r>
      <w:r w:rsidR="006F7218" w:rsidRPr="002A2D96">
        <w:rPr>
          <w:rtl/>
        </w:rPr>
        <w:t>עמלת ניהול חיצוני</w:t>
      </w:r>
      <w:r w:rsidR="00C458AC">
        <w:rPr>
          <w:rFonts w:hint="cs"/>
          <w:rtl/>
        </w:rPr>
        <w:t>"</w:t>
      </w:r>
      <w:r w:rsidR="006F7218" w:rsidRPr="002A2D96">
        <w:rPr>
          <w:rtl/>
        </w:rPr>
        <w:t xml:space="preserve"> </w:t>
      </w:r>
      <w:r w:rsidR="00241031">
        <w:rPr>
          <w:rFonts w:hint="cs"/>
          <w:rtl/>
        </w:rPr>
        <w:t>ו-"</w:t>
      </w:r>
      <w:r w:rsidR="00241031" w:rsidRPr="00241031">
        <w:rPr>
          <w:rtl/>
        </w:rPr>
        <w:t>הוצאה הנובעת ממתן משכנתא לפי מגבלות שיורה עליהן הממונה</w:t>
      </w:r>
      <w:r w:rsidR="00241031">
        <w:rPr>
          <w:rFonts w:hint="cs"/>
          <w:rtl/>
        </w:rPr>
        <w:t>" כחלק מההוצאות הישירות המנויות בתקנה 2 לתקנות</w:t>
      </w:r>
      <w:r w:rsidR="006F7218" w:rsidRPr="002A2D96">
        <w:rPr>
          <w:rtl/>
        </w:rPr>
        <w:t xml:space="preserve">. עצם המעבר להסדר קבוע יגביר את מידת הוודאות של המשקיע המוסדי בדבר היכולת להשית עמלת ניהול חיצוני בתקופות עתידיות ובכך תגבר מידת גמישותו בהרכבת ובביזור תיק </w:t>
      </w:r>
      <w:r w:rsidR="006F7218" w:rsidRPr="002A2D96">
        <w:rPr>
          <w:rtl/>
        </w:rPr>
        <w:lastRenderedPageBreak/>
        <w:t xml:space="preserve">ההשקעות. </w:t>
      </w:r>
    </w:p>
    <w:p w:rsidR="000E2ED2" w:rsidRDefault="0022309B" w:rsidP="00734E88">
      <w:pPr>
        <w:pStyle w:val="Hesber"/>
        <w:rPr>
          <w:rtl/>
        </w:rPr>
      </w:pPr>
      <w:r w:rsidRPr="003959CD">
        <w:rPr>
          <w:rFonts w:ascii="David" w:hAnsi="David" w:hint="eastAsia"/>
          <w:sz w:val="24"/>
          <w:szCs w:val="24"/>
          <w:u w:val="single"/>
          <w:rtl/>
        </w:rPr>
        <w:t>ל</w:t>
      </w:r>
      <w:r w:rsidR="004821D6" w:rsidRPr="003959CD">
        <w:rPr>
          <w:rFonts w:hint="eastAsia"/>
          <w:u w:val="single"/>
          <w:rtl/>
        </w:rPr>
        <w:t>תקנת</w:t>
      </w:r>
      <w:r w:rsidR="004821D6" w:rsidRPr="003959CD">
        <w:rPr>
          <w:u w:val="single"/>
          <w:rtl/>
        </w:rPr>
        <w:t xml:space="preserve"> משנה </w:t>
      </w:r>
      <w:r w:rsidR="004821D6">
        <w:rPr>
          <w:rFonts w:hint="cs"/>
          <w:u w:val="single"/>
          <w:rtl/>
        </w:rPr>
        <w:t>2</w:t>
      </w:r>
      <w:r w:rsidR="004821D6" w:rsidRPr="003959CD">
        <w:rPr>
          <w:u w:val="single"/>
          <w:rtl/>
        </w:rPr>
        <w:t xml:space="preserve">(ב) </w:t>
      </w:r>
      <w:r w:rsidR="009C6012">
        <w:rPr>
          <w:rFonts w:hint="cs"/>
          <w:u w:val="single"/>
          <w:rtl/>
        </w:rPr>
        <w:t xml:space="preserve">המוצעת </w:t>
      </w:r>
      <w:r w:rsidR="004821D6" w:rsidRPr="003959CD">
        <w:rPr>
          <w:rFonts w:hint="eastAsia"/>
          <w:u w:val="single"/>
          <w:rtl/>
        </w:rPr>
        <w:t>לתקנות</w:t>
      </w:r>
      <w:r w:rsidR="004821D6" w:rsidRPr="003959CD">
        <w:rPr>
          <w:u w:val="single"/>
          <w:rtl/>
        </w:rPr>
        <w:t xml:space="preserve"> </w:t>
      </w:r>
      <w:r w:rsidR="004821D6" w:rsidRPr="003959CD">
        <w:rPr>
          <w:rFonts w:hint="eastAsia"/>
          <w:u w:val="single"/>
          <w:rtl/>
        </w:rPr>
        <w:t>הוצאות</w:t>
      </w:r>
      <w:r w:rsidR="004821D6" w:rsidRPr="003959CD">
        <w:rPr>
          <w:u w:val="single"/>
          <w:rtl/>
        </w:rPr>
        <w:t xml:space="preserve"> </w:t>
      </w:r>
      <w:r w:rsidR="004821D6" w:rsidRPr="003959CD">
        <w:rPr>
          <w:rFonts w:hint="eastAsia"/>
          <w:u w:val="single"/>
          <w:rtl/>
        </w:rPr>
        <w:t>ישירות</w:t>
      </w:r>
      <w:r w:rsidR="004821D6">
        <w:rPr>
          <w:rFonts w:hint="cs"/>
          <w:rtl/>
        </w:rPr>
        <w:t xml:space="preserve"> </w:t>
      </w:r>
      <w:r w:rsidR="004821D6">
        <w:rPr>
          <w:rtl/>
        </w:rPr>
        <w:t>–</w:t>
      </w:r>
      <w:r w:rsidR="004821D6" w:rsidRPr="00135FBC">
        <w:rPr>
          <w:rFonts w:hint="cs"/>
          <w:rtl/>
        </w:rPr>
        <w:t xml:space="preserve"> </w:t>
      </w:r>
      <w:r w:rsidR="006F7218" w:rsidRPr="002A2D96">
        <w:rPr>
          <w:rtl/>
        </w:rPr>
        <w:t xml:space="preserve">מוצע לקבוע שיהיו שני אשכולות מסלולים </w:t>
      </w:r>
      <w:r w:rsidR="000E2ED2">
        <w:rPr>
          <w:rFonts w:hint="cs"/>
          <w:rtl/>
        </w:rPr>
        <w:t>ש</w:t>
      </w:r>
      <w:r w:rsidR="000E2ED2" w:rsidRPr="002A2D96">
        <w:rPr>
          <w:rtl/>
        </w:rPr>
        <w:t xml:space="preserve">סוגי ההוצאות הישירות הניתנים לגבייה במסגרתם </w:t>
      </w:r>
      <w:r w:rsidR="006E09CB">
        <w:rPr>
          <w:rFonts w:hint="cs"/>
          <w:rtl/>
        </w:rPr>
        <w:t xml:space="preserve">יהיו </w:t>
      </w:r>
      <w:r w:rsidR="000E2ED2" w:rsidRPr="002A2D96">
        <w:rPr>
          <w:rtl/>
        </w:rPr>
        <w:t>מצומצמים יותר.</w:t>
      </w:r>
      <w:r w:rsidR="000E2ED2">
        <w:rPr>
          <w:rFonts w:hint="cs"/>
          <w:rtl/>
        </w:rPr>
        <w:t xml:space="preserve"> </w:t>
      </w:r>
      <w:r w:rsidR="006F7218" w:rsidRPr="002A2D96">
        <w:rPr>
          <w:rtl/>
        </w:rPr>
        <w:t>שיעור ההוצאות הישירות בכל אחד מהמסלולים המנויים בכל אשכול צפוי להיות נמוך באופן משמעותי לעומת מסלולי השקעה אחרים שקיימים בשוק</w:t>
      </w:r>
      <w:r w:rsidR="000F3390">
        <w:rPr>
          <w:rFonts w:hint="cs"/>
          <w:rtl/>
        </w:rPr>
        <w:t>.</w:t>
      </w:r>
      <w:r w:rsidR="00C36A52" w:rsidRPr="00C36A52">
        <w:rPr>
          <w:rFonts w:ascii="Hadasa Roso SL" w:eastAsia="MS Mincho" w:hAnsi="Hadasa Roso SL" w:cs="Hadasa Roso SL" w:hint="cs"/>
          <w:snapToGrid/>
          <w:spacing w:val="1"/>
          <w:sz w:val="17"/>
          <w:szCs w:val="17"/>
          <w:rtl/>
        </w:rPr>
        <w:t xml:space="preserve"> </w:t>
      </w:r>
      <w:r w:rsidR="00C36A52" w:rsidRPr="00C36A52">
        <w:rPr>
          <w:rFonts w:hint="cs"/>
          <w:rtl/>
        </w:rPr>
        <w:t>במקביל לפרסום טיוטת התקנות, שוקדת הרשות על פרסום תיקון ל</w:t>
      </w:r>
      <w:r w:rsidR="00C36A52" w:rsidRPr="00C36A52">
        <w:rPr>
          <w:rtl/>
        </w:rPr>
        <w:t>חוזר גופים מוסדיים</w:t>
      </w:r>
      <w:r w:rsidR="00C36A52">
        <w:rPr>
          <w:rFonts w:hint="cs"/>
          <w:rtl/>
        </w:rPr>
        <w:t>,</w:t>
      </w:r>
      <w:r w:rsidR="00C36A52" w:rsidRPr="00C36A52">
        <w:rPr>
          <w:rtl/>
        </w:rPr>
        <w:t xml:space="preserve"> שעניינו מסלולי השקעה בקופות גמל</w:t>
      </w:r>
      <w:r w:rsidR="00C36A52" w:rsidRPr="00C36A52">
        <w:rPr>
          <w:rFonts w:hint="cs"/>
          <w:rtl/>
        </w:rPr>
        <w:t xml:space="preserve">, ואשר </w:t>
      </w:r>
      <w:r w:rsidR="00C36A52" w:rsidRPr="00C36A52">
        <w:rPr>
          <w:rtl/>
        </w:rPr>
        <w:t>ק</w:t>
      </w:r>
      <w:r w:rsidR="00C36A52" w:rsidRPr="00C36A52">
        <w:rPr>
          <w:rFonts w:hint="cs"/>
          <w:rtl/>
        </w:rPr>
        <w:t>ו</w:t>
      </w:r>
      <w:r w:rsidR="00C36A52" w:rsidRPr="00C36A52">
        <w:rPr>
          <w:rtl/>
        </w:rPr>
        <w:t>בע כללים לעניין מסלולי ההשקעה שגוף מוסדי רשאי לנהל בקופות גמל ובפוליסות ביטוח חיים שאינן קופות ביטוח שבניהולו.</w:t>
      </w:r>
      <w:r w:rsidR="00C36A52" w:rsidRPr="00C36A52">
        <w:rPr>
          <w:rFonts w:hint="cs"/>
          <w:rtl/>
        </w:rPr>
        <w:t xml:space="preserve"> בכוונת הרשות לעגן במסגרת החוזר כללים בדבר הקמת המסלולים המתמחים משני האשכולות </w:t>
      </w:r>
      <w:r w:rsidR="00C36A52">
        <w:rPr>
          <w:rFonts w:hint="cs"/>
          <w:rtl/>
        </w:rPr>
        <w:t>האמורים</w:t>
      </w:r>
      <w:r w:rsidR="00C36A52" w:rsidRPr="00C36A52">
        <w:rPr>
          <w:rFonts w:hint="cs"/>
          <w:rtl/>
        </w:rPr>
        <w:t>.</w:t>
      </w:r>
    </w:p>
    <w:p w:rsidR="006F7218" w:rsidRPr="002A2D96" w:rsidRDefault="006F7218" w:rsidP="004821D6">
      <w:pPr>
        <w:pStyle w:val="Hesber"/>
        <w:rPr>
          <w:rtl/>
        </w:rPr>
      </w:pPr>
      <w:r w:rsidRPr="002A2D96">
        <w:rPr>
          <w:rtl/>
        </w:rPr>
        <w:t xml:space="preserve"> האשכול הראשון מיועד לחוסכים שמעוניינים שהשקעות המסלול יושקעו במישרין בנכסים סחירים (ולא בנכסים שאינם סחירים כדוגמת קרנות השקעה שאינן סחירות, שמשולמת להן עמלות ניהול חיצוני). השקעה בנכסים לא סחירים גוזרת לרוב הוצאות ישירות </w:t>
      </w:r>
      <w:r w:rsidR="0084253B">
        <w:rPr>
          <w:rFonts w:hint="cs"/>
          <w:rtl/>
        </w:rPr>
        <w:t>בשיעורים</w:t>
      </w:r>
      <w:r w:rsidRPr="002A2D96">
        <w:rPr>
          <w:rtl/>
        </w:rPr>
        <w:t xml:space="preserve"> גבוהים יותר. לכן בעד מסלול זה הותרו הוצאות ישירות רק מסוגים מסוימים</w:t>
      </w:r>
      <w:r w:rsidR="0084253B">
        <w:rPr>
          <w:rFonts w:hint="cs"/>
          <w:rtl/>
        </w:rPr>
        <w:t xml:space="preserve"> אשר אופייניים להשקעות סחירות</w:t>
      </w:r>
      <w:r w:rsidRPr="002A2D96">
        <w:rPr>
          <w:rtl/>
        </w:rPr>
        <w:t>.</w:t>
      </w:r>
    </w:p>
    <w:p w:rsidR="00081108" w:rsidRDefault="0084253B" w:rsidP="00081108">
      <w:pPr>
        <w:pStyle w:val="Hesber"/>
        <w:rPr>
          <w:rtl/>
        </w:rPr>
      </w:pPr>
      <w:r>
        <w:rPr>
          <w:rFonts w:hint="cs"/>
          <w:rtl/>
        </w:rPr>
        <w:t>ב</w:t>
      </w:r>
      <w:r w:rsidR="006F7218" w:rsidRPr="002A2D96">
        <w:rPr>
          <w:rFonts w:hint="cs"/>
          <w:rtl/>
        </w:rPr>
        <w:t xml:space="preserve">אשכול השני </w:t>
      </w:r>
      <w:r>
        <w:rPr>
          <w:rFonts w:hint="cs"/>
          <w:rtl/>
        </w:rPr>
        <w:t>מנויים מסלולים</w:t>
      </w:r>
      <w:r w:rsidR="006F7218" w:rsidRPr="002A2D96">
        <w:rPr>
          <w:rFonts w:hint="cs"/>
          <w:rtl/>
        </w:rPr>
        <w:t xml:space="preserve"> </w:t>
      </w:r>
      <w:r>
        <w:rPr>
          <w:rFonts w:hint="cs"/>
          <w:rtl/>
        </w:rPr>
        <w:t>ה</w:t>
      </w:r>
      <w:r w:rsidR="006F7218" w:rsidRPr="002A2D96">
        <w:rPr>
          <w:rtl/>
        </w:rPr>
        <w:t>מיועד</w:t>
      </w:r>
      <w:r>
        <w:rPr>
          <w:rFonts w:hint="cs"/>
          <w:rtl/>
        </w:rPr>
        <w:t>ים</w:t>
      </w:r>
      <w:r w:rsidR="006F7218" w:rsidRPr="002A2D96">
        <w:rPr>
          <w:rtl/>
        </w:rPr>
        <w:t xml:space="preserve"> לחוסכים שמעוניינים שהשקעות המסלול יחקו מדדים. היות ומדובר במדדים פומביים, הכוונה היא שהשקעות המסלול יושקעו במכשירים נפוצים ומוכרים לחיקוי מדדים ולכן גם </w:t>
      </w:r>
      <w:r>
        <w:rPr>
          <w:rFonts w:hint="cs"/>
          <w:rtl/>
        </w:rPr>
        <w:t>במקרה זה</w:t>
      </w:r>
      <w:r w:rsidR="006F7218" w:rsidRPr="002A2D96">
        <w:rPr>
          <w:rtl/>
        </w:rPr>
        <w:t xml:space="preserve"> הותרו הוצאות ישירות מסוגים מסוימים כשלגבי עמלות ניהול חיצוני יותרו תשלומים רק עבור השקעה בקרן מחקה, קרן או קרן חוץ ובלבד שקרן החוץ היא נייר ערך סחיר.</w:t>
      </w:r>
      <w:r w:rsidR="00081108">
        <w:rPr>
          <w:rFonts w:hint="cs"/>
          <w:rtl/>
        </w:rPr>
        <w:t xml:space="preserve"> </w:t>
      </w:r>
      <w:r w:rsidR="00931C0C">
        <w:rPr>
          <w:rFonts w:hint="cs"/>
          <w:rtl/>
        </w:rPr>
        <w:t xml:space="preserve">מסלולים אלה מאופיינים בהשקעות במכשירים עוקבים, וככאלו ההשקעה בהן מחוללת רק סוגים מסוימים של הוצאות ישירות. </w:t>
      </w:r>
      <w:r w:rsidR="00C36A52" w:rsidRPr="00C36A52">
        <w:rPr>
          <w:rFonts w:hint="cs"/>
          <w:rtl/>
        </w:rPr>
        <w:t>גביית הוצאות ישירות במסלולים אלו, בהתאם לסוגי ההוצאות הישירות שמוצע לאפשר את גבייתם, צפויה לשפר את תוחלת התשואה מתואמת הסיכון שתושג עבור החוסכים במסלולים אלו, ובפרט תאפשר התקשרויות במכשירים המחקים בהתאם לשיקולי התשואה בניכוי ההוצאות הישירות. זאת, ללא התעוררותו של ניגוד עניינים, כפי שעלול לחול במקרה בו לא ניתן להשית על החוסכים את ההוצאות הישירות הכרוכות בהתקשרות במכשירים כאמור.</w:t>
      </w:r>
    </w:p>
    <w:p w:rsidR="006F7218" w:rsidRDefault="00C36A52" w:rsidP="00081108">
      <w:pPr>
        <w:pStyle w:val="Hesber"/>
        <w:rPr>
          <w:rtl/>
        </w:rPr>
      </w:pPr>
      <w:r w:rsidRPr="00C36A52">
        <w:rPr>
          <w:rFonts w:hint="cs"/>
          <w:rtl/>
        </w:rPr>
        <w:t xml:space="preserve"> </w:t>
      </w:r>
      <w:r w:rsidR="000F3390">
        <w:rPr>
          <w:rFonts w:hint="cs"/>
          <w:rtl/>
        </w:rPr>
        <w:t>בנוסף</w:t>
      </w:r>
      <w:r w:rsidR="006F7218" w:rsidRPr="002A2D96">
        <w:rPr>
          <w:rtl/>
        </w:rPr>
        <w:t xml:space="preserve">, מוצע לקבוע כי במסלולים המאופיינים בגביית דמי ניהול משתנים, לא תתאפשר כלל גביית הוצאות ישירות מאף סוג שהוא. </w:t>
      </w:r>
      <w:r w:rsidR="000F3390">
        <w:rPr>
          <w:rFonts w:hint="cs"/>
          <w:rtl/>
        </w:rPr>
        <w:t xml:space="preserve">זאת, </w:t>
      </w:r>
      <w:r w:rsidR="006F7218" w:rsidRPr="002A2D96">
        <w:rPr>
          <w:rFonts w:hint="cs"/>
          <w:rtl/>
        </w:rPr>
        <w:t>היות ומדובר ב</w:t>
      </w:r>
      <w:r w:rsidR="006F7218" w:rsidRPr="002A2D96">
        <w:rPr>
          <w:rtl/>
        </w:rPr>
        <w:t>מסלולים אשר בהם תגמול הגוף המוסדי נגזר גם מביצועי המסלול, ולפיכך קיימת זיקה הדוקה יותר בין החלטות ההשקעה של המשקיע המוסדי לבין תגמולו</w:t>
      </w:r>
      <w:r w:rsidR="006F7218" w:rsidRPr="002A2D96">
        <w:rPr>
          <w:rFonts w:hint="cs"/>
          <w:rtl/>
        </w:rPr>
        <w:t>.</w:t>
      </w:r>
      <w:r w:rsidR="002F185E" w:rsidRPr="002F185E">
        <w:rPr>
          <w:rFonts w:hint="cs"/>
          <w:rtl/>
        </w:rPr>
        <w:t xml:space="preserve"> בעוד שבמסלולים אשר הגוף המוסדי גובה בגינם דמי ניהול קבועים, </w:t>
      </w:r>
      <w:r w:rsidR="002F185E" w:rsidRPr="002F185E">
        <w:rPr>
          <w:rtl/>
        </w:rPr>
        <w:t xml:space="preserve">איסור השתת הוצאות ישירות עלול </w:t>
      </w:r>
      <w:r w:rsidR="002F185E" w:rsidRPr="002F185E">
        <w:rPr>
          <w:rFonts w:hint="cs"/>
          <w:rtl/>
        </w:rPr>
        <w:t>להביא למניעת</w:t>
      </w:r>
      <w:r w:rsidR="002F185E" w:rsidRPr="002F185E">
        <w:rPr>
          <w:rtl/>
        </w:rPr>
        <w:t xml:space="preserve"> ביצוע השקעות מסוימות</w:t>
      </w:r>
      <w:r w:rsidR="002F185E" w:rsidRPr="002F185E">
        <w:rPr>
          <w:rFonts w:hint="cs"/>
          <w:rtl/>
        </w:rPr>
        <w:t xml:space="preserve"> </w:t>
      </w:r>
      <w:r w:rsidR="002F185E" w:rsidRPr="002F185E">
        <w:rPr>
          <w:rtl/>
        </w:rPr>
        <w:t>לנוכח הרצון להימנע מספיגת ההוצאות הכרוכות עם ביצוע השקעות אלו</w:t>
      </w:r>
      <w:r w:rsidR="002F185E" w:rsidRPr="002F185E">
        <w:rPr>
          <w:rFonts w:hint="cs"/>
          <w:rtl/>
        </w:rPr>
        <w:t>, במסלולים המאופיינים בגביית דמי ניהול משתנים</w:t>
      </w:r>
      <w:r w:rsidR="00081108">
        <w:rPr>
          <w:rFonts w:hint="cs"/>
          <w:rtl/>
        </w:rPr>
        <w:t>,</w:t>
      </w:r>
      <w:r w:rsidR="002F185E" w:rsidRPr="002F185E">
        <w:rPr>
          <w:rFonts w:hint="cs"/>
          <w:rtl/>
        </w:rPr>
        <w:t xml:space="preserve"> חשש כאמור מופג, שהרי הגוף המוסדי עשוי להרוויח מהשקעות כאמור לנוכח חשיפתו לדמי ניהול גבוהים יותר כנגזרת מביצועי תיק ההשקעות.</w:t>
      </w:r>
    </w:p>
    <w:p w:rsidR="0084253B" w:rsidRPr="002A2D96" w:rsidRDefault="00DD7D59" w:rsidP="0084253B">
      <w:pPr>
        <w:pStyle w:val="Hesber"/>
        <w:ind w:firstLine="0"/>
        <w:rPr>
          <w:rtl/>
        </w:rPr>
      </w:pPr>
      <w:r>
        <w:rPr>
          <w:rFonts w:hint="cs"/>
          <w:rtl/>
        </w:rPr>
        <w:t>מוצע כי הגבלת האפשרות לגבות</w:t>
      </w:r>
      <w:r w:rsidR="0084253B">
        <w:rPr>
          <w:rFonts w:hint="cs"/>
          <w:rtl/>
        </w:rPr>
        <w:t xml:space="preserve"> הוצאות ישירות רק לסוגי הוצאות ישירות מסוימים, תחול רק לגבי מסלולים שהוקמו לאחר המועד הקובע, זאת כדי למנוע מקרה בו לא תתאפשר השתת הוצאות ישירות בגין מלאי קיים במסלולים אשר הוקמו במועד מוקדם יותר</w:t>
      </w:r>
      <w:r w:rsidR="000D7F5A">
        <w:rPr>
          <w:rFonts w:hint="cs"/>
          <w:rtl/>
        </w:rPr>
        <w:t xml:space="preserve"> ואשר החוזים והפוליסות שבבסיסם כבר נחתמו וקיימת כנגדם מערכת יחסים משפטית מחייבת בין המשקיע המוסדי לבין </w:t>
      </w:r>
      <w:r w:rsidR="0052160B">
        <w:rPr>
          <w:rFonts w:hint="cs"/>
          <w:rtl/>
        </w:rPr>
        <w:t>הלקוח</w:t>
      </w:r>
      <w:r w:rsidR="0084253B">
        <w:rPr>
          <w:rFonts w:hint="cs"/>
          <w:rtl/>
        </w:rPr>
        <w:t>.</w:t>
      </w:r>
    </w:p>
    <w:p w:rsidR="0018786C" w:rsidRDefault="0022309B" w:rsidP="005C6A2C">
      <w:pPr>
        <w:pStyle w:val="Hesber"/>
        <w:rPr>
          <w:rtl/>
        </w:rPr>
      </w:pPr>
      <w:r>
        <w:rPr>
          <w:rFonts w:hint="cs"/>
          <w:u w:val="single"/>
          <w:rtl/>
        </w:rPr>
        <w:t>ל</w:t>
      </w:r>
      <w:r w:rsidR="000F3390" w:rsidRPr="003959CD">
        <w:rPr>
          <w:u w:val="single"/>
          <w:rtl/>
        </w:rPr>
        <w:t xml:space="preserve">תקנת משנה 2(ג) </w:t>
      </w:r>
      <w:r w:rsidR="009C6012">
        <w:rPr>
          <w:rFonts w:hint="cs"/>
          <w:u w:val="single"/>
          <w:rtl/>
        </w:rPr>
        <w:t xml:space="preserve">המוצעת </w:t>
      </w:r>
      <w:r w:rsidR="000F3390" w:rsidRPr="003959CD">
        <w:rPr>
          <w:u w:val="single"/>
          <w:rtl/>
        </w:rPr>
        <w:t>לתקנות הוצאות ישירות</w:t>
      </w:r>
      <w:r w:rsidR="000F3390">
        <w:rPr>
          <w:rFonts w:ascii="David" w:hAnsi="David" w:hint="cs"/>
          <w:b/>
          <w:bCs/>
          <w:sz w:val="24"/>
          <w:szCs w:val="24"/>
          <w:rtl/>
        </w:rPr>
        <w:t xml:space="preserve"> </w:t>
      </w:r>
      <w:r w:rsidR="000F3390">
        <w:rPr>
          <w:rtl/>
        </w:rPr>
        <w:t>–</w:t>
      </w:r>
      <w:r w:rsidR="000F3390" w:rsidRPr="00135FBC">
        <w:rPr>
          <w:rFonts w:hint="cs"/>
          <w:rtl/>
        </w:rPr>
        <w:t xml:space="preserve"> </w:t>
      </w:r>
      <w:r w:rsidR="006F7218" w:rsidRPr="002A2D96">
        <w:rPr>
          <w:rFonts w:hint="cs"/>
          <w:rtl/>
        </w:rPr>
        <w:t xml:space="preserve">בהוצאות הישירות המשולמות </w:t>
      </w:r>
      <w:r w:rsidR="001949A9">
        <w:rPr>
          <w:rFonts w:hint="cs"/>
          <w:rtl/>
        </w:rPr>
        <w:t>כנגד השקעות שמתבצעות במסגרת</w:t>
      </w:r>
      <w:r w:rsidR="006F7218" w:rsidRPr="002A2D96">
        <w:rPr>
          <w:rFonts w:hint="cs"/>
          <w:rtl/>
        </w:rPr>
        <w:t xml:space="preserve"> אפיק מובטח תשואה נושאת המדינה (במקרה בו </w:t>
      </w:r>
      <w:r w:rsidR="0084253B">
        <w:rPr>
          <w:rFonts w:hint="cs"/>
          <w:rtl/>
        </w:rPr>
        <w:t>תשואת האפיק תהיה</w:t>
      </w:r>
      <w:r w:rsidR="006F7218" w:rsidRPr="002A2D96">
        <w:rPr>
          <w:rFonts w:hint="cs"/>
          <w:rtl/>
        </w:rPr>
        <w:t xml:space="preserve"> נמוכה </w:t>
      </w:r>
      <w:r w:rsidR="000F3390" w:rsidRPr="002A2D96">
        <w:rPr>
          <w:rFonts w:hint="cs"/>
          <w:rtl/>
        </w:rPr>
        <w:t>מ</w:t>
      </w:r>
      <w:r w:rsidR="000F3390">
        <w:rPr>
          <w:rFonts w:hint="cs"/>
          <w:rtl/>
        </w:rPr>
        <w:t>-</w:t>
      </w:r>
      <w:r w:rsidR="006F7218" w:rsidRPr="002A2D96">
        <w:rPr>
          <w:rFonts w:hint="cs"/>
          <w:rtl/>
        </w:rPr>
        <w:t>5.15%)</w:t>
      </w:r>
      <w:r>
        <w:rPr>
          <w:rFonts w:hint="cs"/>
          <w:rtl/>
        </w:rPr>
        <w:t>.</w:t>
      </w:r>
      <w:r w:rsidR="006F7218" w:rsidRPr="002A2D96">
        <w:rPr>
          <w:rFonts w:hint="cs"/>
          <w:rtl/>
        </w:rPr>
        <w:t xml:space="preserve"> לכן</w:t>
      </w:r>
      <w:r>
        <w:rPr>
          <w:rFonts w:hint="cs"/>
          <w:rtl/>
        </w:rPr>
        <w:t>,</w:t>
      </w:r>
      <w:r w:rsidR="006F7218" w:rsidRPr="002A2D96">
        <w:rPr>
          <w:rFonts w:hint="cs"/>
          <w:rtl/>
        </w:rPr>
        <w:t xml:space="preserve"> על מנת למנוע פוטנציאל לניגוד עניינים שבמסגרתו עלולה להיות הסטה של הוצאות ישירות מהשקעות המבוצעות בחלק שאינו מובטח תשואה לאפיק מובטח תשואה</w:t>
      </w:r>
      <w:r>
        <w:rPr>
          <w:rFonts w:hint="cs"/>
          <w:rtl/>
        </w:rPr>
        <w:t>,</w:t>
      </w:r>
      <w:r w:rsidR="006F7218" w:rsidRPr="002A2D96">
        <w:rPr>
          <w:rFonts w:hint="cs"/>
          <w:rtl/>
        </w:rPr>
        <w:t xml:space="preserve"> מוצע לקבוע שהוצאות ישירות </w:t>
      </w:r>
      <w:r w:rsidR="006F7218" w:rsidRPr="002A2D96">
        <w:rPr>
          <w:rFonts w:hint="cs"/>
          <w:rtl/>
        </w:rPr>
        <w:lastRenderedPageBreak/>
        <w:t xml:space="preserve">בגין השקעות </w:t>
      </w:r>
      <w:r w:rsidR="0084253B">
        <w:rPr>
          <w:rFonts w:hint="cs"/>
          <w:rtl/>
        </w:rPr>
        <w:t>ב</w:t>
      </w:r>
      <w:r w:rsidR="006F7218" w:rsidRPr="002A2D96">
        <w:rPr>
          <w:rFonts w:hint="cs"/>
          <w:rtl/>
        </w:rPr>
        <w:t>אפיק מובטח תשואה ישולמו בהתאם</w:t>
      </w:r>
      <w:r w:rsidR="0052160B">
        <w:rPr>
          <w:rFonts w:hint="cs"/>
          <w:rtl/>
        </w:rPr>
        <w:t xml:space="preserve"> </w:t>
      </w:r>
      <w:r w:rsidR="006F7218" w:rsidRPr="002A2D96">
        <w:rPr>
          <w:rFonts w:hint="cs"/>
          <w:rtl/>
        </w:rPr>
        <w:t>לחלקו בהשקעה נשוא אותה הוצא</w:t>
      </w:r>
      <w:r w:rsidR="00B5469E">
        <w:rPr>
          <w:rFonts w:hint="cs"/>
          <w:rtl/>
        </w:rPr>
        <w:t xml:space="preserve">ה </w:t>
      </w:r>
      <w:r w:rsidR="006F7218" w:rsidRPr="002A2D96">
        <w:rPr>
          <w:rFonts w:hint="cs"/>
          <w:rtl/>
        </w:rPr>
        <w:t>ישירה.</w:t>
      </w:r>
      <w:r w:rsidR="005C6A2C">
        <w:rPr>
          <w:rFonts w:hint="cs"/>
          <w:rtl/>
        </w:rPr>
        <w:t xml:space="preserve"> </w:t>
      </w:r>
      <w:r w:rsidR="0018786C">
        <w:rPr>
          <w:rFonts w:hint="cs"/>
          <w:rtl/>
        </w:rPr>
        <w:t xml:space="preserve">כמו כן, </w:t>
      </w:r>
      <w:r w:rsidR="0018786C" w:rsidRPr="0018786C">
        <w:rPr>
          <w:rtl/>
        </w:rPr>
        <w:t>קרן ותיקה שבהסדר וקרן ותיקה שאינה בהסדר שאינה קרן ותיקה מסלולית, אינן מנהל</w:t>
      </w:r>
      <w:r w:rsidR="0018786C" w:rsidRPr="0018786C">
        <w:rPr>
          <w:rFonts w:hint="cs"/>
          <w:rtl/>
        </w:rPr>
        <w:t>ו</w:t>
      </w:r>
      <w:r w:rsidR="0018786C" w:rsidRPr="0018786C">
        <w:rPr>
          <w:rtl/>
        </w:rPr>
        <w:t>ת אפיק מובטח תשואה לפי חוק קופות גמל</w:t>
      </w:r>
      <w:r w:rsidR="0018786C" w:rsidRPr="0018786C">
        <w:rPr>
          <w:rFonts w:hint="cs"/>
          <w:rtl/>
        </w:rPr>
        <w:t xml:space="preserve"> היות ונקבע לגביהן מנגנון שונה לצורך הבטחת תשואה. בהתאם, יש צורך </w:t>
      </w:r>
      <w:r w:rsidR="0018786C">
        <w:rPr>
          <w:rFonts w:hint="cs"/>
          <w:rtl/>
        </w:rPr>
        <w:t>לחשב את היחס בין ההוצאות הישירות ה</w:t>
      </w:r>
      <w:r w:rsidR="00B5469E">
        <w:rPr>
          <w:rFonts w:hint="cs"/>
          <w:rtl/>
        </w:rPr>
        <w:t>מיוחסות לחלק המובטח תשואה ולחלק שאינו מובטח תשואה, בהתאם לחלק בהשקעה נשוא אותה הוצאה ישירה</w:t>
      </w:r>
      <w:r w:rsidR="0018786C" w:rsidRPr="0018786C">
        <w:rPr>
          <w:rFonts w:hint="cs"/>
          <w:rtl/>
        </w:rPr>
        <w:t>.</w:t>
      </w:r>
    </w:p>
    <w:p w:rsidR="005C6A2C" w:rsidRDefault="005C6A2C" w:rsidP="005C6A2C">
      <w:pPr>
        <w:pStyle w:val="Hesber"/>
        <w:rPr>
          <w:rtl/>
        </w:rPr>
      </w:pPr>
      <w:r>
        <w:rPr>
          <w:rFonts w:hint="cs"/>
          <w:rtl/>
        </w:rPr>
        <w:t>באופן דומה, הוצאות ישירות הנגבות כנגד השקעה בנכס במסגרת מסלול מסוים, ייגבו באופן יחסי בהתאם לחלק ההשקעה בנכס באותו מסלול.</w:t>
      </w:r>
    </w:p>
    <w:p w:rsidR="006F7218" w:rsidRPr="002A2D96" w:rsidRDefault="0018786C" w:rsidP="0018786C">
      <w:pPr>
        <w:pStyle w:val="Hesber"/>
        <w:rPr>
          <w:rtl/>
        </w:rPr>
      </w:pPr>
      <w:r w:rsidRPr="0018786C">
        <w:rPr>
          <w:rFonts w:hint="cs"/>
          <w:u w:val="single"/>
          <w:rtl/>
        </w:rPr>
        <w:t>ל</w:t>
      </w:r>
      <w:r w:rsidRPr="0018786C">
        <w:rPr>
          <w:u w:val="single"/>
          <w:rtl/>
        </w:rPr>
        <w:t>תקנת משנה 2(</w:t>
      </w:r>
      <w:r>
        <w:rPr>
          <w:rFonts w:hint="cs"/>
          <w:u w:val="single"/>
          <w:rtl/>
        </w:rPr>
        <w:t>ד</w:t>
      </w:r>
      <w:r w:rsidRPr="0018786C">
        <w:rPr>
          <w:u w:val="single"/>
          <w:rtl/>
        </w:rPr>
        <w:t xml:space="preserve">) </w:t>
      </w:r>
      <w:r w:rsidRPr="0018786C">
        <w:rPr>
          <w:rFonts w:hint="cs"/>
          <w:u w:val="single"/>
          <w:rtl/>
        </w:rPr>
        <w:t xml:space="preserve">המוצעת </w:t>
      </w:r>
      <w:r w:rsidRPr="0018786C">
        <w:rPr>
          <w:u w:val="single"/>
          <w:rtl/>
        </w:rPr>
        <w:t>לתקנות הוצאות ישירות</w:t>
      </w:r>
      <w:r w:rsidRPr="0018786C">
        <w:rPr>
          <w:rFonts w:hint="cs"/>
          <w:b/>
          <w:bCs/>
          <w:rtl/>
        </w:rPr>
        <w:t xml:space="preserve"> </w:t>
      </w:r>
      <w:r w:rsidRPr="0018786C">
        <w:rPr>
          <w:rtl/>
        </w:rPr>
        <w:t>–</w:t>
      </w:r>
      <w:r w:rsidRPr="0018786C">
        <w:rPr>
          <w:rFonts w:hint="cs"/>
          <w:rtl/>
        </w:rPr>
        <w:t xml:space="preserve"> </w:t>
      </w:r>
      <w:r w:rsidR="0052160B">
        <w:rPr>
          <w:rFonts w:hint="cs"/>
          <w:rtl/>
        </w:rPr>
        <w:t>עוד מוצע לקבוע שהמגבלות המנויות בתקנה 2(ב) המוצעת לגבי האשכולות המפורטים, לא יחולו על השקעות במסגרת אפיק מובטח תשואה, שכן בהתאם להוראות חוק קופות גמל השקעות אלה נגזרות מהמסלול הקובע כהגדרתו בחוק האמור, זאת אלא אם כן המסלול הקובע הוא מסלול הכלול באחד מהאשכולות האמורים.</w:t>
      </w:r>
      <w:r w:rsidR="00B96DCF" w:rsidRPr="003959CD">
        <w:rPr>
          <w:rFonts w:ascii="Hadasa Roso SL" w:eastAsia="MS Mincho" w:hAnsi="Hadasa Roso SL" w:cs="Hadasa Roso SL"/>
          <w:snapToGrid/>
          <w:color w:val="FF0000"/>
          <w:spacing w:val="1"/>
          <w:sz w:val="17"/>
          <w:szCs w:val="17"/>
          <w:rtl/>
        </w:rPr>
        <w:t xml:space="preserve"> </w:t>
      </w:r>
      <w:r w:rsidR="00B96DCF" w:rsidRPr="00B96DCF">
        <w:rPr>
          <w:rFonts w:hint="eastAsia"/>
          <w:rtl/>
        </w:rPr>
        <w:t>לדוגמא</w:t>
      </w:r>
      <w:r w:rsidR="00B96DCF" w:rsidRPr="00B96DCF">
        <w:rPr>
          <w:rtl/>
        </w:rPr>
        <w:t xml:space="preserve">, אם המסלול הקובע הוא המסלול עם דמי הניהול המשתנים שלגביו נקבע שלא ניתן יהיה </w:t>
      </w:r>
      <w:r w:rsidR="00B96DCF" w:rsidRPr="00B96DCF">
        <w:rPr>
          <w:rFonts w:hint="eastAsia"/>
          <w:rtl/>
        </w:rPr>
        <w:t>לגבות</w:t>
      </w:r>
      <w:r w:rsidR="00B96DCF" w:rsidRPr="00B96DCF">
        <w:rPr>
          <w:rtl/>
        </w:rPr>
        <w:t xml:space="preserve"> </w:t>
      </w:r>
      <w:r w:rsidR="00B96DCF" w:rsidRPr="00B96DCF">
        <w:rPr>
          <w:rFonts w:hint="eastAsia"/>
          <w:rtl/>
        </w:rPr>
        <w:t>אף</w:t>
      </w:r>
      <w:r w:rsidR="00B96DCF" w:rsidRPr="00B96DCF">
        <w:rPr>
          <w:rtl/>
        </w:rPr>
        <w:t xml:space="preserve"> </w:t>
      </w:r>
      <w:r w:rsidR="00B96DCF" w:rsidRPr="00B96DCF">
        <w:rPr>
          <w:rFonts w:hint="eastAsia"/>
          <w:rtl/>
        </w:rPr>
        <w:t>סוג</w:t>
      </w:r>
      <w:r w:rsidR="00B96DCF" w:rsidRPr="00B96DCF">
        <w:rPr>
          <w:rtl/>
        </w:rPr>
        <w:t xml:space="preserve"> </w:t>
      </w:r>
      <w:r w:rsidR="00B96DCF" w:rsidRPr="00B96DCF">
        <w:rPr>
          <w:rFonts w:hint="eastAsia"/>
          <w:rtl/>
        </w:rPr>
        <w:t>של</w:t>
      </w:r>
      <w:r w:rsidR="00B96DCF" w:rsidRPr="00B96DCF">
        <w:rPr>
          <w:rtl/>
        </w:rPr>
        <w:t xml:space="preserve"> </w:t>
      </w:r>
      <w:r w:rsidR="00B96DCF" w:rsidRPr="00B96DCF">
        <w:rPr>
          <w:rFonts w:hint="eastAsia"/>
          <w:rtl/>
        </w:rPr>
        <w:t>הוצאה</w:t>
      </w:r>
      <w:r w:rsidR="00B96DCF" w:rsidRPr="00B96DCF">
        <w:rPr>
          <w:rtl/>
        </w:rPr>
        <w:t xml:space="preserve"> </w:t>
      </w:r>
      <w:r w:rsidR="00B96DCF" w:rsidRPr="00B96DCF">
        <w:rPr>
          <w:rFonts w:hint="eastAsia"/>
          <w:rtl/>
        </w:rPr>
        <w:t>ישירה</w:t>
      </w:r>
      <w:r w:rsidR="00B96DCF" w:rsidRPr="00B96DCF">
        <w:rPr>
          <w:rtl/>
        </w:rPr>
        <w:t>, גם באפיק מובטח תשואה לא תותר אף הוצאה ישירה מכל סוג שהיא</w:t>
      </w:r>
      <w:r w:rsidR="00B96DCF">
        <w:rPr>
          <w:rFonts w:hint="cs"/>
          <w:rtl/>
        </w:rPr>
        <w:t>.</w:t>
      </w:r>
    </w:p>
    <w:p w:rsidR="006F7218" w:rsidRPr="00AC7402" w:rsidRDefault="006F7218" w:rsidP="006E09CB">
      <w:pPr>
        <w:rPr>
          <w:b/>
          <w:bCs/>
          <w:rtl/>
        </w:rPr>
      </w:pPr>
      <w:r w:rsidRPr="00AC7402">
        <w:rPr>
          <w:b/>
          <w:bCs/>
          <w:rtl/>
        </w:rPr>
        <w:t xml:space="preserve">לתקנה </w:t>
      </w:r>
      <w:r w:rsidR="0022309B">
        <w:rPr>
          <w:rFonts w:hint="cs"/>
          <w:b/>
          <w:bCs/>
          <w:rtl/>
        </w:rPr>
        <w:t>3</w:t>
      </w:r>
      <w:r w:rsidRPr="00AC7402">
        <w:rPr>
          <w:b/>
          <w:bCs/>
          <w:rtl/>
        </w:rPr>
        <w:t xml:space="preserve"> </w:t>
      </w:r>
      <w:r w:rsidR="0022309B" w:rsidRPr="00AC7402">
        <w:rPr>
          <w:b/>
          <w:bCs/>
          <w:rtl/>
        </w:rPr>
        <w:t>–</w:t>
      </w:r>
    </w:p>
    <w:p w:rsidR="0084253B" w:rsidRPr="002A2D96" w:rsidRDefault="0052160B" w:rsidP="00F57DC6">
      <w:pPr>
        <w:pStyle w:val="Hesber"/>
        <w:rPr>
          <w:rtl/>
        </w:rPr>
      </w:pPr>
      <w:r>
        <w:rPr>
          <w:rFonts w:hint="cs"/>
          <w:u w:val="single"/>
          <w:rtl/>
        </w:rPr>
        <w:t xml:space="preserve">מוצע להוסיף לתקנות הוצאות ישירות את תקנה 2א המוצעת. </w:t>
      </w:r>
      <w:r w:rsidR="00204D86">
        <w:rPr>
          <w:rFonts w:hint="cs"/>
          <w:u w:val="single"/>
          <w:rtl/>
        </w:rPr>
        <w:t>במסגרת תקנת משנה (א) לתקנה 2א המוצעת,</w:t>
      </w:r>
      <w:r w:rsidR="001949A9" w:rsidRPr="00135FBC">
        <w:rPr>
          <w:rFonts w:hint="cs"/>
          <w:rtl/>
        </w:rPr>
        <w:t xml:space="preserve"> </w:t>
      </w:r>
      <w:r w:rsidR="006F7218" w:rsidRPr="002A2D96">
        <w:rPr>
          <w:rtl/>
        </w:rPr>
        <w:t xml:space="preserve">מוצע לקבוע </w:t>
      </w:r>
      <w:r w:rsidR="003A3D10">
        <w:rPr>
          <w:rFonts w:hint="cs"/>
          <w:rtl/>
        </w:rPr>
        <w:t>שהשיעור המקסימלי של</w:t>
      </w:r>
      <w:r w:rsidR="003A3D10" w:rsidRPr="002A2D96">
        <w:rPr>
          <w:rtl/>
        </w:rPr>
        <w:t xml:space="preserve"> </w:t>
      </w:r>
      <w:r w:rsidR="003A3D10">
        <w:rPr>
          <w:rFonts w:hint="cs"/>
          <w:rtl/>
        </w:rPr>
        <w:t>הוצאות ישירות מסוג</w:t>
      </w:r>
      <w:r w:rsidR="003A3D10" w:rsidRPr="002A2D96">
        <w:rPr>
          <w:rtl/>
        </w:rPr>
        <w:t xml:space="preserve"> </w:t>
      </w:r>
      <w:r w:rsidR="006F7218" w:rsidRPr="002A2D96">
        <w:rPr>
          <w:rtl/>
        </w:rPr>
        <w:t xml:space="preserve">עמלת ניהול חיצוני </w:t>
      </w:r>
      <w:r w:rsidR="00DC4504">
        <w:rPr>
          <w:rFonts w:hint="cs"/>
          <w:rtl/>
        </w:rPr>
        <w:t>שיהיה משקיע מוסדי רשאי לגבות במהלך שנה קלנדרית,</w:t>
      </w:r>
      <w:r w:rsidR="003B3436">
        <w:rPr>
          <w:rFonts w:hint="cs"/>
          <w:rtl/>
        </w:rPr>
        <w:t xml:space="preserve"> </w:t>
      </w:r>
      <w:r w:rsidR="003A3D10">
        <w:rPr>
          <w:rFonts w:hint="cs"/>
          <w:rtl/>
        </w:rPr>
        <w:t>ייקבע</w:t>
      </w:r>
      <w:r w:rsidR="003A3D10" w:rsidRPr="002A2D96">
        <w:rPr>
          <w:rtl/>
        </w:rPr>
        <w:t xml:space="preserve"> </w:t>
      </w:r>
      <w:r w:rsidR="006F7218" w:rsidRPr="002A2D96">
        <w:rPr>
          <w:rtl/>
        </w:rPr>
        <w:t xml:space="preserve">מראש ע"י המשקיע המוסדי, לכל מסלול השקעה בנפרד. מתן גמישות בקביעת תקרת עמלת הניהול החיצוני צפוי לסייע לשיפור תוחלת התשואה של החוסכים במסלול. בפרט, יקטנו הסיכויים כי השקעות בעלות תוחלת תשואה גבוהה לא תבוצענה רק משיקולי גובה עמלות ניהול חיצוני הכרוכות עם ביצוע ההשקעה. </w:t>
      </w:r>
      <w:r w:rsidR="0084253B">
        <w:rPr>
          <w:rFonts w:hint="cs"/>
          <w:rtl/>
        </w:rPr>
        <w:t>קביעת מגבלת עמלת הניהול החיצוני ברמת המסלול נועדה להבטיח הבאה בחשבון של מאפייני מדיניות ההשקעה, תמהיל הנכסים, והרכ</w:t>
      </w:r>
      <w:r w:rsidR="00DD7D59">
        <w:rPr>
          <w:rFonts w:hint="cs"/>
          <w:rtl/>
        </w:rPr>
        <w:t>ישות הצפויות במהלך השנה הקרובה,</w:t>
      </w:r>
      <w:r w:rsidR="0084253B">
        <w:rPr>
          <w:rFonts w:hint="cs"/>
          <w:rtl/>
        </w:rPr>
        <w:t xml:space="preserve"> כאשר כל אלו נקבעים ברמת מסלול השקעה. </w:t>
      </w:r>
      <w:r w:rsidR="0082200D">
        <w:rPr>
          <w:rFonts w:hint="cs"/>
          <w:rtl/>
        </w:rPr>
        <w:t>כפי שעולה מתקנת משנה (ג) המוצעת, פרסום מגבלת עמלת ניהול חיצוני בידי משקיע מוסדי תיעשה</w:t>
      </w:r>
      <w:r w:rsidR="0088452E">
        <w:rPr>
          <w:rFonts w:hint="cs"/>
          <w:rtl/>
        </w:rPr>
        <w:t xml:space="preserve"> עד</w:t>
      </w:r>
      <w:r w:rsidR="0082200D">
        <w:rPr>
          <w:rFonts w:hint="cs"/>
          <w:rtl/>
        </w:rPr>
        <w:t xml:space="preserve"> </w:t>
      </w:r>
      <w:r w:rsidR="0088452E">
        <w:rPr>
          <w:rFonts w:hint="cs"/>
          <w:rtl/>
        </w:rPr>
        <w:t>ל</w:t>
      </w:r>
      <w:r w:rsidR="00741F9C">
        <w:rPr>
          <w:rFonts w:hint="cs"/>
          <w:rtl/>
        </w:rPr>
        <w:t>ערב תחילתה של השנה הקלנדרית, ולא ניתן יהיה לשנותה במהלך אותה שנה</w:t>
      </w:r>
      <w:r w:rsidR="00B560AA">
        <w:rPr>
          <w:rFonts w:hint="cs"/>
          <w:rtl/>
        </w:rPr>
        <w:t xml:space="preserve"> כפי שעולה מתקנת משנה (ה) המוצעת</w:t>
      </w:r>
      <w:r w:rsidR="00741F9C">
        <w:rPr>
          <w:rFonts w:hint="cs"/>
          <w:rtl/>
        </w:rPr>
        <w:t>.</w:t>
      </w:r>
    </w:p>
    <w:p w:rsidR="00F64311" w:rsidRDefault="0082200D" w:rsidP="00F57DC6">
      <w:pPr>
        <w:pStyle w:val="Hesber"/>
        <w:rPr>
          <w:rtl/>
        </w:rPr>
      </w:pPr>
      <w:r w:rsidRPr="003959CD">
        <w:rPr>
          <w:rFonts w:hint="eastAsia"/>
          <w:u w:val="single"/>
          <w:rtl/>
        </w:rPr>
        <w:t>ל</w:t>
      </w:r>
      <w:r w:rsidR="002849C5" w:rsidRPr="00135FBC">
        <w:rPr>
          <w:rFonts w:hint="cs"/>
          <w:u w:val="single"/>
          <w:rtl/>
        </w:rPr>
        <w:t xml:space="preserve">תקנת משנה </w:t>
      </w:r>
      <w:r w:rsidR="00DC4504">
        <w:rPr>
          <w:rFonts w:hint="cs"/>
          <w:u w:val="single"/>
          <w:rtl/>
        </w:rPr>
        <w:t xml:space="preserve">(ב) </w:t>
      </w:r>
      <w:r>
        <w:rPr>
          <w:rFonts w:hint="cs"/>
          <w:u w:val="single"/>
          <w:rtl/>
        </w:rPr>
        <w:t>ב</w:t>
      </w:r>
      <w:r w:rsidR="00DC4504">
        <w:rPr>
          <w:rFonts w:hint="cs"/>
          <w:u w:val="single"/>
          <w:rtl/>
        </w:rPr>
        <w:t xml:space="preserve">תקנה </w:t>
      </w:r>
      <w:r w:rsidR="002849C5" w:rsidRPr="00135FBC">
        <w:rPr>
          <w:rFonts w:hint="cs"/>
          <w:u w:val="single"/>
          <w:rtl/>
        </w:rPr>
        <w:t>2</w:t>
      </w:r>
      <w:r w:rsidR="00DC4504">
        <w:rPr>
          <w:rFonts w:hint="cs"/>
          <w:u w:val="single"/>
          <w:rtl/>
        </w:rPr>
        <w:t>א המוצעת</w:t>
      </w:r>
      <w:r w:rsidR="002849C5">
        <w:rPr>
          <w:rFonts w:ascii="David" w:hAnsi="David" w:hint="cs"/>
          <w:b/>
          <w:bCs/>
          <w:sz w:val="24"/>
          <w:szCs w:val="24"/>
          <w:rtl/>
        </w:rPr>
        <w:t xml:space="preserve"> </w:t>
      </w:r>
      <w:r w:rsidR="002849C5">
        <w:rPr>
          <w:rtl/>
        </w:rPr>
        <w:t>–</w:t>
      </w:r>
      <w:r w:rsidR="002849C5">
        <w:rPr>
          <w:rFonts w:ascii="David" w:hAnsi="David" w:hint="cs"/>
          <w:b/>
          <w:bCs/>
          <w:sz w:val="24"/>
          <w:szCs w:val="24"/>
          <w:rtl/>
        </w:rPr>
        <w:t xml:space="preserve"> </w:t>
      </w:r>
      <w:r w:rsidR="006F7218" w:rsidRPr="002A2D96">
        <w:rPr>
          <w:rtl/>
        </w:rPr>
        <w:t xml:space="preserve">מוצע לקבוע שחישוב מגבלת עמלת ניהול חיצוני </w:t>
      </w:r>
      <w:r w:rsidR="002849C5">
        <w:rPr>
          <w:rFonts w:hint="cs"/>
          <w:rtl/>
        </w:rPr>
        <w:t>יבוצע</w:t>
      </w:r>
      <w:r w:rsidR="002849C5" w:rsidRPr="002A2D96">
        <w:rPr>
          <w:rtl/>
        </w:rPr>
        <w:t xml:space="preserve"> </w:t>
      </w:r>
      <w:r w:rsidR="006F7218" w:rsidRPr="002A2D96">
        <w:rPr>
          <w:rtl/>
        </w:rPr>
        <w:t xml:space="preserve">מתוך סך כל נכסי </w:t>
      </w:r>
      <w:r w:rsidR="00F57DC6">
        <w:rPr>
          <w:rFonts w:hint="cs"/>
          <w:rtl/>
        </w:rPr>
        <w:t>מסלול ההשקעה</w:t>
      </w:r>
      <w:r w:rsidR="006F7218" w:rsidRPr="002A2D96">
        <w:rPr>
          <w:rtl/>
        </w:rPr>
        <w:t xml:space="preserve"> לרבות הנכסים הכלולים באפיק מובטח תשואה, אולם לצורך ניצול בפועל של ההוצאות הישירות, לא יובאו </w:t>
      </w:r>
      <w:r w:rsidR="005F70EC">
        <w:rPr>
          <w:rFonts w:hint="cs"/>
          <w:rtl/>
        </w:rPr>
        <w:t xml:space="preserve">בחשבון </w:t>
      </w:r>
      <w:r w:rsidR="006F7218" w:rsidRPr="002A2D96">
        <w:rPr>
          <w:rtl/>
        </w:rPr>
        <w:t xml:space="preserve">ההוצאות שיגבו לצורך השקעות </w:t>
      </w:r>
      <w:r w:rsidR="005F70EC">
        <w:rPr>
          <w:rFonts w:hint="cs"/>
          <w:rtl/>
        </w:rPr>
        <w:t>המוקצות ל</w:t>
      </w:r>
      <w:r w:rsidR="006F7218" w:rsidRPr="002A2D96">
        <w:rPr>
          <w:rtl/>
        </w:rPr>
        <w:t xml:space="preserve">אפיק מובטח תשואה. </w:t>
      </w:r>
    </w:p>
    <w:p w:rsidR="006F7218" w:rsidRPr="002A2D96" w:rsidRDefault="006F7218" w:rsidP="00AC2EC7">
      <w:pPr>
        <w:pStyle w:val="Hesber"/>
        <w:rPr>
          <w:rtl/>
        </w:rPr>
      </w:pPr>
      <w:r w:rsidRPr="002A2D96">
        <w:rPr>
          <w:rtl/>
        </w:rPr>
        <w:t>לדוגמא: סך הנכסים במסלול הוא 1,000,000 שקלים חדשים, כאשר 700,000 שקלים חדשים מהווים את החלק שאינו מושקע במסגרת האפיק מובטח התשואה</w:t>
      </w:r>
      <w:r w:rsidR="00191A34">
        <w:rPr>
          <w:rFonts w:hint="cs"/>
          <w:rtl/>
        </w:rPr>
        <w:t>.</w:t>
      </w:r>
      <w:r w:rsidRPr="002A2D96">
        <w:rPr>
          <w:rtl/>
        </w:rPr>
        <w:t xml:space="preserve"> היתרה, 300,000 שקלים חדשים, כוללת נכסים המושקעים במסגרת אפיק מובטח תשואה. המשקיע המוסדי קבע שיעור של 0.2% לגבי מגבלת עמלת ניהול חיצוני. כלומר ניתן לשלם עבור עמלות ניהול חיצוני </w:t>
      </w:r>
      <w:r w:rsidR="0082200D" w:rsidRPr="002A2D96">
        <w:rPr>
          <w:rtl/>
        </w:rPr>
        <w:t>ס</w:t>
      </w:r>
      <w:r w:rsidR="0082200D">
        <w:rPr>
          <w:rFonts w:hint="cs"/>
          <w:rtl/>
        </w:rPr>
        <w:t>ך</w:t>
      </w:r>
      <w:r w:rsidR="0082200D" w:rsidRPr="002A2D96">
        <w:rPr>
          <w:rtl/>
        </w:rPr>
        <w:t xml:space="preserve"> </w:t>
      </w:r>
      <w:r w:rsidRPr="002A2D96">
        <w:rPr>
          <w:rtl/>
        </w:rPr>
        <w:t xml:space="preserve">של 2,000 שקלים חדשים לכל היותר. המשקיע המוסדי רשאי לנצל את כל הסכום של 2,000 שקלים חדשים לצורך ביצוע עסקאות בחלק שאינו מושקע במסגרת האפיק מובטח התשואה (700,000 </w:t>
      </w:r>
      <w:r w:rsidR="00191A34">
        <w:rPr>
          <w:rFonts w:hint="cs"/>
          <w:rtl/>
        </w:rPr>
        <w:t>שקלים חדשים</w:t>
      </w:r>
      <w:r w:rsidRPr="002A2D96">
        <w:rPr>
          <w:rtl/>
        </w:rPr>
        <w:t>) כאשר ההוצאות הישירות שבוצעו בגין השקעות באפיק מובטח התשואה לא תובאנה בחשבון לקביעת שיעור הניצול בפועל</w:t>
      </w:r>
      <w:r w:rsidR="00DD7D59">
        <w:rPr>
          <w:rtl/>
        </w:rPr>
        <w:t xml:space="preserve"> של מגבלת עמלות הניהול החיצוני.</w:t>
      </w:r>
      <w:r w:rsidRPr="002A2D96">
        <w:rPr>
          <w:rtl/>
        </w:rPr>
        <w:t xml:space="preserve"> </w:t>
      </w:r>
      <w:r w:rsidR="00AC2EC7" w:rsidRPr="00AC2EC7">
        <w:rPr>
          <w:rtl/>
        </w:rPr>
        <w:t xml:space="preserve">שינוי מוצע זה משמר את </w:t>
      </w:r>
      <w:r w:rsidR="00AC2EC7" w:rsidRPr="00AC2EC7">
        <w:rPr>
          <w:rFonts w:hint="cs"/>
          <w:rtl/>
        </w:rPr>
        <w:t xml:space="preserve">מצבם </w:t>
      </w:r>
      <w:r w:rsidR="00AC2EC7" w:rsidRPr="00AC2EC7">
        <w:rPr>
          <w:rtl/>
        </w:rPr>
        <w:t>של החוסכים כפי שהיה לפני כניסת</w:t>
      </w:r>
      <w:r w:rsidR="00AC2EC7" w:rsidRPr="00AC2EC7">
        <w:rPr>
          <w:rFonts w:hint="cs"/>
          <w:rtl/>
        </w:rPr>
        <w:t>ו של</w:t>
      </w:r>
      <w:r w:rsidR="00AC2EC7" w:rsidRPr="00AC2EC7">
        <w:rPr>
          <w:rtl/>
        </w:rPr>
        <w:t xml:space="preserve"> חוק ההתייעלות הכלכלית (תיקוני חקיקה להשגת יעדי התקציב לשנות התקציב 2021 ו-2022), התשפ"ב-2021</w:t>
      </w:r>
      <w:r w:rsidR="00AC2EC7" w:rsidRPr="00AC2EC7">
        <w:rPr>
          <w:rFonts w:hint="cs"/>
          <w:rtl/>
        </w:rPr>
        <w:t xml:space="preserve"> (להלן </w:t>
      </w:r>
      <w:r w:rsidR="00AC2EC7" w:rsidRPr="00AC2EC7">
        <w:rPr>
          <w:rtl/>
        </w:rPr>
        <w:t>–</w:t>
      </w:r>
      <w:r w:rsidR="00AC2EC7" w:rsidRPr="00AC2EC7">
        <w:rPr>
          <w:rFonts w:hint="cs"/>
          <w:rtl/>
        </w:rPr>
        <w:t xml:space="preserve"> </w:t>
      </w:r>
      <w:r w:rsidR="00AC2EC7" w:rsidRPr="00AC2EC7">
        <w:rPr>
          <w:rtl/>
        </w:rPr>
        <w:t>חוק ההתייעלות הכלכלית</w:t>
      </w:r>
      <w:r w:rsidR="00AC2EC7" w:rsidRPr="00AC2EC7">
        <w:rPr>
          <w:rFonts w:hint="cs"/>
          <w:rtl/>
        </w:rPr>
        <w:t xml:space="preserve">). פרק ג' לחוק </w:t>
      </w:r>
      <w:r w:rsidR="00AC2EC7" w:rsidRPr="00AC2EC7">
        <w:rPr>
          <w:rFonts w:hint="eastAsia"/>
          <w:rtl/>
        </w:rPr>
        <w:t>ההתייעלות</w:t>
      </w:r>
      <w:r w:rsidR="00AC2EC7" w:rsidRPr="00AC2EC7">
        <w:rPr>
          <w:rtl/>
        </w:rPr>
        <w:t xml:space="preserve"> </w:t>
      </w:r>
      <w:r w:rsidR="00AC2EC7" w:rsidRPr="00AC2EC7">
        <w:rPr>
          <w:rFonts w:hint="eastAsia"/>
          <w:rtl/>
        </w:rPr>
        <w:t>הכלכלית</w:t>
      </w:r>
      <w:r w:rsidR="00AC2EC7" w:rsidRPr="00AC2EC7">
        <w:rPr>
          <w:rFonts w:hint="cs"/>
          <w:rtl/>
        </w:rPr>
        <w:t xml:space="preserve">, שעניינו </w:t>
      </w:r>
      <w:r w:rsidR="00AC2EC7" w:rsidRPr="00AC2EC7">
        <w:rPr>
          <w:rtl/>
        </w:rPr>
        <w:t>הבטחת היציבות בתשואות קרנות</w:t>
      </w:r>
      <w:r w:rsidR="00AC2EC7" w:rsidRPr="00AC2EC7">
        <w:rPr>
          <w:rFonts w:hint="cs"/>
          <w:rtl/>
        </w:rPr>
        <w:t xml:space="preserve"> </w:t>
      </w:r>
      <w:r w:rsidR="00AC2EC7" w:rsidRPr="00AC2EC7">
        <w:rPr>
          <w:rtl/>
        </w:rPr>
        <w:lastRenderedPageBreak/>
        <w:t>הפנסיה</w:t>
      </w:r>
      <w:r w:rsidR="00AC2EC7" w:rsidRPr="00AC2EC7">
        <w:rPr>
          <w:rFonts w:hint="cs"/>
          <w:rtl/>
        </w:rPr>
        <w:t xml:space="preserve">, מתקן את הוראות </w:t>
      </w:r>
      <w:r w:rsidR="00AC2EC7" w:rsidRPr="00AC2EC7">
        <w:rPr>
          <w:rtl/>
        </w:rPr>
        <w:t>חוק קופות גמל</w:t>
      </w:r>
      <w:r w:rsidR="00AC2EC7" w:rsidRPr="00AC2EC7">
        <w:rPr>
          <w:rFonts w:hint="cs"/>
          <w:rtl/>
        </w:rPr>
        <w:t xml:space="preserve">), וקובע כי </w:t>
      </w:r>
      <w:r w:rsidR="00AC2EC7" w:rsidRPr="00AC2EC7">
        <w:rPr>
          <w:rtl/>
        </w:rPr>
        <w:t xml:space="preserve">מנגנון איגרות החוב המיועדות </w:t>
      </w:r>
      <w:r w:rsidR="00AC2EC7" w:rsidRPr="00AC2EC7">
        <w:rPr>
          <w:rFonts w:hint="cs"/>
          <w:rtl/>
        </w:rPr>
        <w:t xml:space="preserve">לקרנות הפנסיה החדשות ולקרנות הפנסיה הוותיקות יוחלף </w:t>
      </w:r>
      <w:r w:rsidR="00AC2EC7" w:rsidRPr="00AC2EC7">
        <w:rPr>
          <w:rtl/>
        </w:rPr>
        <w:t>במנגנון חדש של הבטח</w:t>
      </w:r>
      <w:r w:rsidR="00AC2EC7" w:rsidRPr="00AC2EC7">
        <w:rPr>
          <w:rFonts w:hint="cs"/>
          <w:rtl/>
        </w:rPr>
        <w:t>ה להשלמת</w:t>
      </w:r>
      <w:r w:rsidR="00AC2EC7" w:rsidRPr="00AC2EC7">
        <w:rPr>
          <w:rtl/>
        </w:rPr>
        <w:t xml:space="preserve"> תשואה</w:t>
      </w:r>
      <w:r w:rsidR="00AC2EC7" w:rsidRPr="00AC2EC7">
        <w:rPr>
          <w:rFonts w:hint="cs"/>
          <w:rtl/>
        </w:rPr>
        <w:t xml:space="preserve">. מאחר ובראיית החוסכים ההשקעות המבוצעות באפיק מובטח תשואה אינן משפיעות, מראייתם, על תשואת המסלול השנתית, מוצע לא "להשקיף" את נכסי האפיק מובטח התשואה במסגרת חישוב מגבלת עמלות הניהול החיצוני. </w:t>
      </w:r>
      <w:r w:rsidR="00AC2EC7" w:rsidRPr="00AC2EC7">
        <w:rPr>
          <w:rtl/>
        </w:rPr>
        <w:t xml:space="preserve">הסדר זה דומה להסדר שעוגן במסגרת הוראת השעה שבמסגרתו חושבה מגבלה </w:t>
      </w:r>
      <w:r w:rsidR="00AC2EC7" w:rsidRPr="00AC2EC7">
        <w:rPr>
          <w:rFonts w:hint="cs"/>
          <w:rtl/>
        </w:rPr>
        <w:t>בשיעור של</w:t>
      </w:r>
      <w:r w:rsidR="00AC2EC7" w:rsidRPr="00AC2EC7">
        <w:rPr>
          <w:rtl/>
        </w:rPr>
        <w:t xml:space="preserve"> 0.25% לגבי כל נכסי המסלול (לרבות אג"ח מיועדות).</w:t>
      </w:r>
      <w:r w:rsidR="00AC2EC7">
        <w:rPr>
          <w:rFonts w:hint="cs"/>
          <w:rtl/>
        </w:rPr>
        <w:t xml:space="preserve"> </w:t>
      </w:r>
    </w:p>
    <w:p w:rsidR="006F7218" w:rsidRPr="002A2D96" w:rsidRDefault="006F7218" w:rsidP="002A2D96">
      <w:pPr>
        <w:pStyle w:val="Hesber"/>
        <w:rPr>
          <w:rtl/>
        </w:rPr>
      </w:pPr>
      <w:r w:rsidRPr="002A2D96">
        <w:rPr>
          <w:rtl/>
        </w:rPr>
        <w:t>כמו כן, מוצע להחיל הוראה זו גם על קרן ותיקה שבהסדר, קרן ותיקה שאינה בהסדר ו</w:t>
      </w:r>
      <w:r w:rsidR="00191A34">
        <w:rPr>
          <w:rFonts w:hint="cs"/>
          <w:rtl/>
        </w:rPr>
        <w:t>ש</w:t>
      </w:r>
      <w:r w:rsidRPr="002A2D96">
        <w:rPr>
          <w:rtl/>
        </w:rPr>
        <w:t>אינה קרן ותיקה מסלולית</w:t>
      </w:r>
      <w:r w:rsidR="00191A34">
        <w:rPr>
          <w:rFonts w:hint="cs"/>
          <w:rtl/>
        </w:rPr>
        <w:t>,</w:t>
      </w:r>
      <w:r w:rsidRPr="002A2D96">
        <w:rPr>
          <w:rtl/>
        </w:rPr>
        <w:t xml:space="preserve"> שכן גם לגבי קרנות אלו חל המנגנון של הבטחה להשלמת תשואה.</w:t>
      </w:r>
    </w:p>
    <w:p w:rsidR="006F7218" w:rsidRPr="002A2D96" w:rsidRDefault="00191A34" w:rsidP="00B96DCF">
      <w:pPr>
        <w:pStyle w:val="Hesber"/>
        <w:rPr>
          <w:rtl/>
        </w:rPr>
      </w:pPr>
      <w:r>
        <w:rPr>
          <w:rFonts w:hint="cs"/>
          <w:u w:val="single"/>
          <w:rtl/>
        </w:rPr>
        <w:t>ל</w:t>
      </w:r>
      <w:r w:rsidRPr="00135FBC">
        <w:rPr>
          <w:rFonts w:hint="cs"/>
          <w:u w:val="single"/>
          <w:rtl/>
        </w:rPr>
        <w:t>תקנת משנה</w:t>
      </w:r>
      <w:r w:rsidR="0082200D">
        <w:rPr>
          <w:rFonts w:hint="cs"/>
          <w:u w:val="single"/>
          <w:rtl/>
        </w:rPr>
        <w:t xml:space="preserve"> (ג) שבתקנה</w:t>
      </w:r>
      <w:r w:rsidRPr="00135FBC">
        <w:rPr>
          <w:rFonts w:hint="cs"/>
          <w:u w:val="single"/>
          <w:rtl/>
        </w:rPr>
        <w:t xml:space="preserve"> 2</w:t>
      </w:r>
      <w:r>
        <w:rPr>
          <w:rFonts w:hint="cs"/>
          <w:u w:val="single"/>
          <w:rtl/>
        </w:rPr>
        <w:t>א</w:t>
      </w:r>
      <w:r w:rsidR="0082200D" w:rsidRPr="003959CD">
        <w:rPr>
          <w:u w:val="single"/>
          <w:rtl/>
        </w:rPr>
        <w:t xml:space="preserve"> המוצעת</w:t>
      </w:r>
      <w:r>
        <w:rPr>
          <w:rFonts w:ascii="David" w:hAnsi="David" w:hint="cs"/>
          <w:b/>
          <w:bCs/>
          <w:sz w:val="24"/>
          <w:szCs w:val="24"/>
          <w:rtl/>
        </w:rPr>
        <w:t xml:space="preserve"> </w:t>
      </w:r>
      <w:r>
        <w:rPr>
          <w:rtl/>
        </w:rPr>
        <w:t>–</w:t>
      </w:r>
      <w:r>
        <w:rPr>
          <w:rFonts w:ascii="David" w:hAnsi="David" w:hint="cs"/>
          <w:b/>
          <w:bCs/>
          <w:sz w:val="24"/>
          <w:szCs w:val="24"/>
          <w:rtl/>
        </w:rPr>
        <w:t xml:space="preserve"> </w:t>
      </w:r>
      <w:r w:rsidR="006F7218" w:rsidRPr="002A2D96">
        <w:rPr>
          <w:rtl/>
        </w:rPr>
        <w:t xml:space="preserve">מוצע לקבוע שהמשקיע המוסדי יפרסם עד לתום השנה </w:t>
      </w:r>
      <w:r w:rsidR="0082200D">
        <w:rPr>
          <w:rFonts w:hint="cs"/>
          <w:rtl/>
        </w:rPr>
        <w:t xml:space="preserve">הקלנדרית </w:t>
      </w:r>
      <w:r w:rsidR="006F7218" w:rsidRPr="002A2D96">
        <w:rPr>
          <w:rtl/>
        </w:rPr>
        <w:t xml:space="preserve">את מגבלת עמלת ניהול חיצוני שצפויה לשנה </w:t>
      </w:r>
      <w:r w:rsidR="0082200D">
        <w:rPr>
          <w:rFonts w:hint="cs"/>
          <w:rtl/>
        </w:rPr>
        <w:t xml:space="preserve">הקלנדרית </w:t>
      </w:r>
      <w:r w:rsidR="006F7218" w:rsidRPr="002A2D96">
        <w:rPr>
          <w:rtl/>
        </w:rPr>
        <w:t>העוקבת. בכך תוגבר רמת השקיפות כלפי החוסך, אשר ידע מראש</w:t>
      </w:r>
      <w:r w:rsidR="005F2A93">
        <w:rPr>
          <w:rFonts w:hint="cs"/>
          <w:rtl/>
        </w:rPr>
        <w:t>,</w:t>
      </w:r>
      <w:r w:rsidR="006F7218" w:rsidRPr="002A2D96">
        <w:rPr>
          <w:rtl/>
        </w:rPr>
        <w:t xml:space="preserve"> </w:t>
      </w:r>
      <w:r w:rsidR="005F70EC">
        <w:rPr>
          <w:rFonts w:hint="cs"/>
          <w:rtl/>
        </w:rPr>
        <w:t>בנוסף</w:t>
      </w:r>
      <w:r w:rsidR="006F7218" w:rsidRPr="002A2D96">
        <w:rPr>
          <w:rtl/>
        </w:rPr>
        <w:t xml:space="preserve"> </w:t>
      </w:r>
      <w:r w:rsidR="005F70EC">
        <w:rPr>
          <w:rFonts w:hint="cs"/>
          <w:rtl/>
        </w:rPr>
        <w:t>ל</w:t>
      </w:r>
      <w:r w:rsidR="006F7218" w:rsidRPr="002A2D96">
        <w:rPr>
          <w:rtl/>
        </w:rPr>
        <w:t>גובה דמי הניהול שעתיד</w:t>
      </w:r>
      <w:r w:rsidR="0075281C">
        <w:rPr>
          <w:rFonts w:hint="cs"/>
          <w:rtl/>
        </w:rPr>
        <w:t>ים</w:t>
      </w:r>
      <w:r w:rsidR="006F7218" w:rsidRPr="002A2D96">
        <w:rPr>
          <w:rtl/>
        </w:rPr>
        <w:t xml:space="preserve"> להיג</w:t>
      </w:r>
      <w:r w:rsidR="005F70EC">
        <w:rPr>
          <w:rtl/>
        </w:rPr>
        <w:t>בות ממנו</w:t>
      </w:r>
      <w:r w:rsidR="005F70EC">
        <w:rPr>
          <w:rFonts w:hint="cs"/>
          <w:rtl/>
        </w:rPr>
        <w:t xml:space="preserve">, </w:t>
      </w:r>
      <w:r w:rsidR="006F7218" w:rsidRPr="002A2D96">
        <w:rPr>
          <w:rtl/>
        </w:rPr>
        <w:t xml:space="preserve">גם את תקרת עמלות </w:t>
      </w:r>
      <w:r w:rsidR="005F2A93">
        <w:rPr>
          <w:rFonts w:hint="cs"/>
          <w:rtl/>
        </w:rPr>
        <w:t>ה</w:t>
      </w:r>
      <w:r w:rsidR="006F7218" w:rsidRPr="002A2D96">
        <w:rPr>
          <w:rtl/>
        </w:rPr>
        <w:t xml:space="preserve">ניהול </w:t>
      </w:r>
      <w:r w:rsidR="003F2D4A">
        <w:rPr>
          <w:rFonts w:hint="cs"/>
          <w:rtl/>
        </w:rPr>
        <w:t>ה</w:t>
      </w:r>
      <w:r w:rsidR="006F7218" w:rsidRPr="002A2D96">
        <w:rPr>
          <w:rtl/>
        </w:rPr>
        <w:t xml:space="preserve">חיצוני </w:t>
      </w:r>
      <w:r w:rsidR="008C0EFE" w:rsidRPr="002A2D96">
        <w:rPr>
          <w:rtl/>
        </w:rPr>
        <w:t>שה</w:t>
      </w:r>
      <w:r w:rsidR="008C0EFE">
        <w:rPr>
          <w:rFonts w:hint="cs"/>
          <w:rtl/>
        </w:rPr>
        <w:t>משקיע</w:t>
      </w:r>
      <w:r w:rsidR="008C0EFE" w:rsidRPr="002A2D96">
        <w:rPr>
          <w:rtl/>
        </w:rPr>
        <w:t xml:space="preserve"> </w:t>
      </w:r>
      <w:r w:rsidR="006F7218" w:rsidRPr="002A2D96">
        <w:rPr>
          <w:rtl/>
        </w:rPr>
        <w:t xml:space="preserve">המוסדי יהיה רשאי לגבות. </w:t>
      </w:r>
      <w:r w:rsidR="00563479">
        <w:rPr>
          <w:rFonts w:hint="cs"/>
          <w:rtl/>
        </w:rPr>
        <w:t xml:space="preserve">ויובהר כי </w:t>
      </w:r>
      <w:r w:rsidR="00B560AA">
        <w:rPr>
          <w:rFonts w:hint="cs"/>
          <w:rtl/>
        </w:rPr>
        <w:t xml:space="preserve">כפי שעולה אף מתקנת משנה (ה) המוצעת, </w:t>
      </w:r>
      <w:r w:rsidR="00563479">
        <w:rPr>
          <w:rFonts w:hint="cs"/>
          <w:rtl/>
        </w:rPr>
        <w:t>לא ניתן יהיה לשנות את מגבלת עמלת הניהול החיצוני, ולפרסם אחרת תחתיה במהלך השנה הקלנדרית שכנגדה פורסמה המגבלה כאמור.</w:t>
      </w:r>
    </w:p>
    <w:p w:rsidR="006F7218" w:rsidRPr="002A2D96" w:rsidRDefault="005F2A93" w:rsidP="0075281C">
      <w:pPr>
        <w:pStyle w:val="Hesber"/>
        <w:rPr>
          <w:rtl/>
        </w:rPr>
      </w:pPr>
      <w:r>
        <w:rPr>
          <w:rFonts w:hint="cs"/>
          <w:u w:val="single"/>
          <w:rtl/>
        </w:rPr>
        <w:t>ל</w:t>
      </w:r>
      <w:r w:rsidRPr="00135FBC">
        <w:rPr>
          <w:rFonts w:hint="cs"/>
          <w:u w:val="single"/>
          <w:rtl/>
        </w:rPr>
        <w:t xml:space="preserve">תקנת משנה </w:t>
      </w:r>
      <w:r w:rsidR="008C0EFE">
        <w:rPr>
          <w:rFonts w:hint="cs"/>
          <w:u w:val="single"/>
          <w:rtl/>
        </w:rPr>
        <w:t xml:space="preserve">(ד) שבתקנה </w:t>
      </w:r>
      <w:r w:rsidRPr="00135FBC">
        <w:rPr>
          <w:rFonts w:hint="cs"/>
          <w:u w:val="single"/>
          <w:rtl/>
        </w:rPr>
        <w:t>2</w:t>
      </w:r>
      <w:r>
        <w:rPr>
          <w:rFonts w:hint="cs"/>
          <w:u w:val="single"/>
          <w:rtl/>
        </w:rPr>
        <w:t>א</w:t>
      </w:r>
      <w:r w:rsidR="008C0EFE">
        <w:rPr>
          <w:rFonts w:hint="cs"/>
          <w:u w:val="single"/>
          <w:rtl/>
        </w:rPr>
        <w:t xml:space="preserve"> המוצעת</w:t>
      </w:r>
      <w:r>
        <w:rPr>
          <w:rFonts w:ascii="David" w:hAnsi="David" w:hint="cs"/>
          <w:b/>
          <w:bCs/>
          <w:sz w:val="24"/>
          <w:szCs w:val="24"/>
          <w:rtl/>
        </w:rPr>
        <w:t xml:space="preserve"> </w:t>
      </w:r>
      <w:r>
        <w:rPr>
          <w:rtl/>
        </w:rPr>
        <w:t>–</w:t>
      </w:r>
      <w:r>
        <w:rPr>
          <w:rFonts w:ascii="David" w:hAnsi="David" w:hint="cs"/>
          <w:b/>
          <w:bCs/>
          <w:sz w:val="24"/>
          <w:szCs w:val="24"/>
          <w:rtl/>
        </w:rPr>
        <w:t xml:space="preserve"> </w:t>
      </w:r>
      <w:r w:rsidR="006F7218" w:rsidRPr="002A2D96">
        <w:rPr>
          <w:rtl/>
        </w:rPr>
        <w:t xml:space="preserve">למרות האמור </w:t>
      </w:r>
      <w:r w:rsidRPr="002A2D96">
        <w:rPr>
          <w:rtl/>
        </w:rPr>
        <w:t>בתקנ</w:t>
      </w:r>
      <w:r>
        <w:rPr>
          <w:rFonts w:hint="cs"/>
          <w:rtl/>
        </w:rPr>
        <w:t>ת משנה</w:t>
      </w:r>
      <w:r w:rsidRPr="002A2D96">
        <w:rPr>
          <w:rtl/>
        </w:rPr>
        <w:t xml:space="preserve"> </w:t>
      </w:r>
      <w:r w:rsidR="006F7218" w:rsidRPr="002A2D96">
        <w:rPr>
          <w:rtl/>
        </w:rPr>
        <w:t>(ג), ישנם מקרים חריגים</w:t>
      </w:r>
      <w:r w:rsidR="005F70EC" w:rsidRPr="005F70EC">
        <w:rPr>
          <w:rFonts w:hint="cs"/>
          <w:rtl/>
        </w:rPr>
        <w:t xml:space="preserve"> </w:t>
      </w:r>
      <w:r w:rsidR="00DD7D59">
        <w:rPr>
          <w:rFonts w:hint="cs"/>
          <w:rtl/>
        </w:rPr>
        <w:t xml:space="preserve">בהם לא ניתן </w:t>
      </w:r>
      <w:r w:rsidR="008C0EFE">
        <w:rPr>
          <w:rFonts w:hint="cs"/>
          <w:rtl/>
        </w:rPr>
        <w:t>לפרסם את מגבלת</w:t>
      </w:r>
      <w:r w:rsidR="005F70EC">
        <w:rPr>
          <w:rFonts w:hint="cs"/>
          <w:rtl/>
        </w:rPr>
        <w:t xml:space="preserve"> עמלת הניהול החיצוני עד לתום השנה </w:t>
      </w:r>
      <w:r w:rsidR="007828C0">
        <w:rPr>
          <w:rFonts w:hint="cs"/>
          <w:rtl/>
        </w:rPr>
        <w:t xml:space="preserve">הקודמת לשנה </w:t>
      </w:r>
      <w:r w:rsidR="008C0EFE">
        <w:rPr>
          <w:rFonts w:hint="cs"/>
          <w:rtl/>
        </w:rPr>
        <w:t xml:space="preserve">הקלנדרית </w:t>
      </w:r>
      <w:r w:rsidR="007828C0">
        <w:rPr>
          <w:rFonts w:hint="cs"/>
          <w:rtl/>
        </w:rPr>
        <w:t>שעבורה נקבע</w:t>
      </w:r>
      <w:r w:rsidR="003F2D4A">
        <w:rPr>
          <w:rFonts w:hint="cs"/>
          <w:rtl/>
        </w:rPr>
        <w:t>ה</w:t>
      </w:r>
      <w:r w:rsidR="007828C0">
        <w:rPr>
          <w:rFonts w:hint="cs"/>
          <w:rtl/>
        </w:rPr>
        <w:t xml:space="preserve"> המגבלה</w:t>
      </w:r>
      <w:r w:rsidR="005F70EC">
        <w:rPr>
          <w:rFonts w:hint="cs"/>
          <w:rtl/>
        </w:rPr>
        <w:t>, כגון מקרים בהם</w:t>
      </w:r>
      <w:r w:rsidR="006F7218" w:rsidRPr="002A2D96">
        <w:rPr>
          <w:rtl/>
        </w:rPr>
        <w:t xml:space="preserve"> </w:t>
      </w:r>
      <w:r w:rsidR="003F2D4A">
        <w:rPr>
          <w:rFonts w:hint="cs"/>
          <w:rtl/>
        </w:rPr>
        <w:t>הוקמו</w:t>
      </w:r>
      <w:r w:rsidR="003F2D4A" w:rsidRPr="002A2D96">
        <w:rPr>
          <w:rtl/>
        </w:rPr>
        <w:t xml:space="preserve"> </w:t>
      </w:r>
      <w:r w:rsidR="006F7218" w:rsidRPr="002A2D96">
        <w:rPr>
          <w:rtl/>
        </w:rPr>
        <w:t xml:space="preserve">קופת גמל חדשה או מסלול חדש במהלך </w:t>
      </w:r>
      <w:r w:rsidR="008C0EFE">
        <w:rPr>
          <w:rFonts w:hint="cs"/>
          <w:rtl/>
        </w:rPr>
        <w:t xml:space="preserve">אותה </w:t>
      </w:r>
      <w:r w:rsidR="006F7218" w:rsidRPr="002A2D96">
        <w:rPr>
          <w:rtl/>
        </w:rPr>
        <w:t>שנה</w:t>
      </w:r>
      <w:r w:rsidR="008C0EFE">
        <w:rPr>
          <w:rFonts w:hint="cs"/>
          <w:rtl/>
        </w:rPr>
        <w:t xml:space="preserve"> קלנדרית</w:t>
      </w:r>
      <w:r w:rsidR="007828C0">
        <w:rPr>
          <w:rFonts w:hint="cs"/>
          <w:rtl/>
        </w:rPr>
        <w:t>.</w:t>
      </w:r>
      <w:r w:rsidR="006F7218" w:rsidRPr="002A2D96">
        <w:rPr>
          <w:rtl/>
        </w:rPr>
        <w:t xml:space="preserve"> לכן</w:t>
      </w:r>
      <w:r w:rsidR="007828C0">
        <w:rPr>
          <w:rFonts w:hint="cs"/>
          <w:rtl/>
        </w:rPr>
        <w:t>,</w:t>
      </w:r>
      <w:r w:rsidR="006F7218" w:rsidRPr="002A2D96">
        <w:rPr>
          <w:rtl/>
        </w:rPr>
        <w:t xml:space="preserve"> </w:t>
      </w:r>
      <w:r w:rsidR="007828C0">
        <w:rPr>
          <w:rFonts w:hint="cs"/>
          <w:rtl/>
        </w:rPr>
        <w:t>במקרים אלה</w:t>
      </w:r>
      <w:r w:rsidR="007828C0" w:rsidRPr="002A2D96">
        <w:rPr>
          <w:rtl/>
        </w:rPr>
        <w:t xml:space="preserve"> </w:t>
      </w:r>
      <w:r w:rsidR="006F7218" w:rsidRPr="002A2D96">
        <w:rPr>
          <w:rtl/>
        </w:rPr>
        <w:t xml:space="preserve">מוצע לקבוע שהפרסום יעשה </w:t>
      </w:r>
      <w:r w:rsidR="008C0EFE">
        <w:rPr>
          <w:rFonts w:hint="cs"/>
          <w:rtl/>
        </w:rPr>
        <w:t xml:space="preserve">לפני </w:t>
      </w:r>
      <w:r w:rsidR="006F7218" w:rsidRPr="002A2D96">
        <w:rPr>
          <w:rtl/>
        </w:rPr>
        <w:t xml:space="preserve">המועד שבו עמיתים חדשים </w:t>
      </w:r>
      <w:r w:rsidR="008C0EFE">
        <w:rPr>
          <w:rFonts w:hint="cs"/>
          <w:rtl/>
        </w:rPr>
        <w:t>יוכל</w:t>
      </w:r>
      <w:r w:rsidR="00232E2E">
        <w:rPr>
          <w:rFonts w:hint="cs"/>
          <w:rtl/>
        </w:rPr>
        <w:t>ו</w:t>
      </w:r>
      <w:r w:rsidR="006F7218" w:rsidRPr="002A2D96">
        <w:rPr>
          <w:rtl/>
        </w:rPr>
        <w:t xml:space="preserve"> להצטרף לאותה קופה </w:t>
      </w:r>
      <w:r w:rsidR="00232E2E">
        <w:rPr>
          <w:rFonts w:hint="cs"/>
          <w:rtl/>
        </w:rPr>
        <w:t xml:space="preserve"> חדשה </w:t>
      </w:r>
      <w:r w:rsidR="006F7218" w:rsidRPr="002A2D96">
        <w:rPr>
          <w:rtl/>
        </w:rPr>
        <w:t>או מסלול</w:t>
      </w:r>
      <w:r w:rsidR="00232E2E">
        <w:rPr>
          <w:rFonts w:hint="cs"/>
          <w:rtl/>
        </w:rPr>
        <w:t xml:space="preserve"> חדש</w:t>
      </w:r>
      <w:r w:rsidR="006F7218" w:rsidRPr="002A2D96">
        <w:rPr>
          <w:rtl/>
        </w:rPr>
        <w:t>, לפי העניין.</w:t>
      </w:r>
    </w:p>
    <w:p w:rsidR="006F7218" w:rsidRPr="002A2D96" w:rsidRDefault="00232E2E" w:rsidP="002A2D96">
      <w:pPr>
        <w:pStyle w:val="Hesber"/>
        <w:rPr>
          <w:rtl/>
        </w:rPr>
      </w:pPr>
      <w:r>
        <w:rPr>
          <w:rFonts w:hint="cs"/>
          <w:rtl/>
        </w:rPr>
        <w:t xml:space="preserve">הדברים יפים </w:t>
      </w:r>
      <w:r w:rsidR="006F7218" w:rsidRPr="002A2D96">
        <w:rPr>
          <w:rtl/>
        </w:rPr>
        <w:t>גם לגבי מקרה שבו בוצע מיזוג של קופות או מסלולים</w:t>
      </w:r>
      <w:r>
        <w:rPr>
          <w:rFonts w:hint="cs"/>
          <w:rtl/>
        </w:rPr>
        <w:t>. במקרה זה</w:t>
      </w:r>
      <w:r w:rsidR="006F7218" w:rsidRPr="002A2D96">
        <w:rPr>
          <w:rtl/>
        </w:rPr>
        <w:t xml:space="preserve"> מוצע לקבוע את מועד פרסום מגבלת עמלת ניהול חיצוני עד שלושים יום מהמועד שבו קבע הממונה את המועד למיזוג לפי הוראות הדין.</w:t>
      </w:r>
    </w:p>
    <w:p w:rsidR="006F7218" w:rsidRPr="00AC7402" w:rsidRDefault="006F7218" w:rsidP="006E09CB">
      <w:pPr>
        <w:rPr>
          <w:b/>
          <w:bCs/>
          <w:rtl/>
        </w:rPr>
      </w:pPr>
      <w:r w:rsidRPr="00AC7402">
        <w:rPr>
          <w:b/>
          <w:bCs/>
          <w:rtl/>
        </w:rPr>
        <w:t xml:space="preserve">לתקנה </w:t>
      </w:r>
      <w:r w:rsidR="007C2D97">
        <w:rPr>
          <w:rFonts w:hint="cs"/>
          <w:b/>
          <w:bCs/>
          <w:rtl/>
        </w:rPr>
        <w:t>4</w:t>
      </w:r>
    </w:p>
    <w:p w:rsidR="00147EA0" w:rsidRPr="003959CD" w:rsidRDefault="007C2D97" w:rsidP="003959CD">
      <w:pPr>
        <w:pStyle w:val="Hesber"/>
      </w:pPr>
      <w:r w:rsidRPr="00147EA0">
        <w:rPr>
          <w:rFonts w:hint="cs"/>
          <w:u w:val="single"/>
          <w:rtl/>
        </w:rPr>
        <w:t>לתקנה 3א לתקנות הוצאות ישירות</w:t>
      </w:r>
      <w:r w:rsidRPr="003959CD">
        <w:rPr>
          <w:rtl/>
        </w:rPr>
        <w:t xml:space="preserve"> </w:t>
      </w:r>
      <w:r w:rsidRPr="00147EA0">
        <w:rPr>
          <w:rtl/>
        </w:rPr>
        <w:t>–</w:t>
      </w:r>
      <w:r w:rsidRPr="003959CD">
        <w:rPr>
          <w:rtl/>
        </w:rPr>
        <w:t xml:space="preserve"> </w:t>
      </w:r>
      <w:r w:rsidR="006F7218" w:rsidRPr="00147EA0">
        <w:rPr>
          <w:rtl/>
        </w:rPr>
        <w:t xml:space="preserve">מוצע להאריך את </w:t>
      </w:r>
      <w:r w:rsidR="007D6D40" w:rsidRPr="00147EA0">
        <w:rPr>
          <w:rFonts w:hint="cs"/>
          <w:rtl/>
        </w:rPr>
        <w:t>ההסדר הקיים כיום, כפי שמעוגן ב</w:t>
      </w:r>
      <w:r w:rsidR="006F7218" w:rsidRPr="00147EA0">
        <w:rPr>
          <w:rtl/>
        </w:rPr>
        <w:t>הוראת השעה הקיימת, שבמסגרתה קבועה מגבלת ההוצאות</w:t>
      </w:r>
      <w:r w:rsidR="0088452E" w:rsidRPr="006B0B9A">
        <w:rPr>
          <w:rtl/>
        </w:rPr>
        <w:t>,</w:t>
      </w:r>
      <w:r w:rsidR="006F7218" w:rsidRPr="006B0B9A">
        <w:rPr>
          <w:rtl/>
        </w:rPr>
        <w:t xml:space="preserve"> עד לתום השנה הנוכחית</w:t>
      </w:r>
      <w:r w:rsidR="007D6D40" w:rsidRPr="006B0B9A">
        <w:rPr>
          <w:rtl/>
        </w:rPr>
        <w:t>.</w:t>
      </w:r>
      <w:r w:rsidR="006F7218" w:rsidRPr="006B0B9A">
        <w:rPr>
          <w:rtl/>
        </w:rPr>
        <w:t xml:space="preserve"> שיעור ההוצאות הישירות המותר בגבייה, הן לפי הוראות השעה והן לפי הסדר הקבע המוצע, נקבע במונחים קלנדריים, וככזה נפרש באופן מובנה על פני שנת כספים שלמה. החלפת המנגנון במהלך השנה עלולה לפגוע </w:t>
      </w:r>
      <w:r w:rsidR="007D6D40" w:rsidRPr="006B0B9A">
        <w:rPr>
          <w:rtl/>
        </w:rPr>
        <w:t xml:space="preserve">בוודאות המשפטית, בהסכמים קיימים, </w:t>
      </w:r>
      <w:r w:rsidR="006F7218" w:rsidRPr="006B0B9A">
        <w:rPr>
          <w:rtl/>
        </w:rPr>
        <w:t>בעקביות החישוב וברלוונטיות המידע שפורסם לציבור החוסכים</w:t>
      </w:r>
      <w:r w:rsidR="00147EA0" w:rsidRPr="006B0B9A">
        <w:rPr>
          <w:rtl/>
        </w:rPr>
        <w:t xml:space="preserve"> </w:t>
      </w:r>
      <w:r w:rsidR="00147EA0" w:rsidRPr="003959CD">
        <w:rPr>
          <w:rtl/>
        </w:rPr>
        <w:t>ובפרט שימושיות המידע שיונגש לציבור החוסכים (יכולתם לקבל החלטות מושכלות בהתבסס על פרסום מראש של תקרת עמלת ניהול חיצוני לתקופה של מספר חודשים בלבד).</w:t>
      </w:r>
    </w:p>
    <w:p w:rsidR="006F7218" w:rsidRPr="002A2D96" w:rsidRDefault="006F7218" w:rsidP="00147EA0">
      <w:pPr>
        <w:pStyle w:val="Hesber"/>
        <w:rPr>
          <w:rtl/>
        </w:rPr>
      </w:pPr>
    </w:p>
    <w:p w:rsidR="0009700F" w:rsidRPr="00AC7402" w:rsidRDefault="0009700F" w:rsidP="006E09CB">
      <w:pPr>
        <w:rPr>
          <w:b/>
          <w:bCs/>
          <w:rtl/>
        </w:rPr>
      </w:pPr>
      <w:r w:rsidRPr="00AC7402">
        <w:rPr>
          <w:b/>
          <w:bCs/>
          <w:rtl/>
        </w:rPr>
        <w:t xml:space="preserve">לתקנה </w:t>
      </w:r>
      <w:r>
        <w:rPr>
          <w:rFonts w:hint="cs"/>
          <w:b/>
          <w:bCs/>
          <w:rtl/>
        </w:rPr>
        <w:t>5</w:t>
      </w:r>
    </w:p>
    <w:p w:rsidR="006F7218" w:rsidRDefault="00F674A9" w:rsidP="0088452E">
      <w:pPr>
        <w:pStyle w:val="Hesber"/>
        <w:rPr>
          <w:rtl/>
        </w:rPr>
      </w:pPr>
      <w:r w:rsidRPr="003959CD">
        <w:rPr>
          <w:rFonts w:hint="eastAsia"/>
          <w:u w:val="single"/>
          <w:rtl/>
        </w:rPr>
        <w:t>ל</w:t>
      </w:r>
      <w:r w:rsidR="0009700F" w:rsidRPr="003959CD">
        <w:rPr>
          <w:rFonts w:hint="eastAsia"/>
          <w:u w:val="single"/>
          <w:rtl/>
        </w:rPr>
        <w:t>תקנת</w:t>
      </w:r>
      <w:r w:rsidR="0009700F" w:rsidRPr="003959CD">
        <w:rPr>
          <w:u w:val="single"/>
          <w:rtl/>
        </w:rPr>
        <w:t xml:space="preserve"> </w:t>
      </w:r>
      <w:r w:rsidR="0009700F" w:rsidRPr="003959CD">
        <w:rPr>
          <w:rFonts w:hint="eastAsia"/>
          <w:u w:val="single"/>
          <w:rtl/>
        </w:rPr>
        <w:t>משנה</w:t>
      </w:r>
      <w:r w:rsidR="0009700F" w:rsidRPr="003959CD">
        <w:rPr>
          <w:u w:val="single"/>
          <w:rtl/>
        </w:rPr>
        <w:t xml:space="preserve"> 3ב(ג)</w:t>
      </w:r>
      <w:r w:rsidR="00B7354D">
        <w:rPr>
          <w:rFonts w:hint="cs"/>
          <w:u w:val="single"/>
          <w:rtl/>
        </w:rPr>
        <w:t xml:space="preserve"> המוצעת</w:t>
      </w:r>
      <w:r w:rsidR="0009700F" w:rsidRPr="003959CD">
        <w:rPr>
          <w:u w:val="single"/>
          <w:rtl/>
        </w:rPr>
        <w:t xml:space="preserve"> </w:t>
      </w:r>
      <w:r w:rsidR="0009700F" w:rsidRPr="003959CD">
        <w:rPr>
          <w:rFonts w:hint="eastAsia"/>
          <w:u w:val="single"/>
          <w:rtl/>
        </w:rPr>
        <w:t>לתקנות</w:t>
      </w:r>
      <w:r w:rsidR="0009700F" w:rsidRPr="003959CD">
        <w:rPr>
          <w:u w:val="single"/>
          <w:rtl/>
        </w:rPr>
        <w:t xml:space="preserve"> </w:t>
      </w:r>
      <w:r w:rsidR="0009700F" w:rsidRPr="003959CD">
        <w:rPr>
          <w:rFonts w:hint="eastAsia"/>
          <w:u w:val="single"/>
          <w:rtl/>
        </w:rPr>
        <w:t>הוצאות</w:t>
      </w:r>
      <w:r w:rsidR="0009700F" w:rsidRPr="003959CD">
        <w:rPr>
          <w:u w:val="single"/>
          <w:rtl/>
        </w:rPr>
        <w:t xml:space="preserve"> ישירות</w:t>
      </w:r>
      <w:r w:rsidR="0009700F">
        <w:rPr>
          <w:rFonts w:hint="cs"/>
          <w:rtl/>
        </w:rPr>
        <w:t xml:space="preserve"> </w:t>
      </w:r>
      <w:r w:rsidR="0009700F">
        <w:rPr>
          <w:rtl/>
        </w:rPr>
        <w:t>–</w:t>
      </w:r>
      <w:r w:rsidR="0009700F">
        <w:rPr>
          <w:rFonts w:hint="cs"/>
          <w:rtl/>
        </w:rPr>
        <w:t xml:space="preserve"> </w:t>
      </w:r>
      <w:r w:rsidR="006F7218" w:rsidRPr="002A2D96">
        <w:rPr>
          <w:rtl/>
        </w:rPr>
        <w:t>כשם שהוצאות ישירות המשולמות בגין אפיק מובטח תשואה לא נכללות בחישוב שיעור הניצול בפועל של מגבלת עמלת ניהול חיצוני כפי שהוסבר לעיל בדברי ההסבר לתקנה 2א(ב)</w:t>
      </w:r>
      <w:r w:rsidR="00B27B91">
        <w:rPr>
          <w:rFonts w:hint="cs"/>
          <w:rtl/>
        </w:rPr>
        <w:t xml:space="preserve"> לתקנות הוצאות ישירות</w:t>
      </w:r>
      <w:r w:rsidR="006F7218" w:rsidRPr="002A2D96">
        <w:rPr>
          <w:rtl/>
        </w:rPr>
        <w:t>, כך מוצע לקבוע שהן לא יכללו בדיווחים לחוסך לגבי שיעור ההוצאות הישירות שנגבה ממנו.</w:t>
      </w:r>
      <w:r w:rsidR="00AC2EC7" w:rsidRPr="00AC2EC7">
        <w:rPr>
          <w:rFonts w:hint="cs"/>
          <w:rtl/>
        </w:rPr>
        <w:t xml:space="preserve"> הוצאות ישירות בגין השקעות המבוצעות בגין האפיק מובטח התשואה אינן נגבות מהחוסכים אלא </w:t>
      </w:r>
      <w:r w:rsidR="0088452E">
        <w:rPr>
          <w:rFonts w:hint="cs"/>
          <w:rtl/>
        </w:rPr>
        <w:t>גבייתן מוסדרת</w:t>
      </w:r>
      <w:r w:rsidR="0088452E" w:rsidRPr="00AC2EC7">
        <w:rPr>
          <w:rFonts w:hint="cs"/>
          <w:rtl/>
        </w:rPr>
        <w:t xml:space="preserve"> </w:t>
      </w:r>
      <w:r w:rsidR="00AC2EC7" w:rsidRPr="00AC2EC7">
        <w:rPr>
          <w:rFonts w:hint="cs"/>
          <w:rtl/>
        </w:rPr>
        <w:t>במסגרת ההתחשבנות בין המדינה לבין הגוף המוסדי כמתואר בתקנה 34ב לחוק קופות גמל.</w:t>
      </w:r>
      <w:r w:rsidR="00C521EF">
        <w:rPr>
          <w:rFonts w:hint="cs"/>
          <w:rtl/>
        </w:rPr>
        <w:t xml:space="preserve"> על כן, מוצע להוסיף כי שיעור ההוצאות הישירות שהוצאו בגין </w:t>
      </w:r>
      <w:r w:rsidR="00C521EF">
        <w:rPr>
          <w:rFonts w:hint="cs"/>
          <w:rtl/>
        </w:rPr>
        <w:lastRenderedPageBreak/>
        <w:t>ביצוע השקעות בנכסי אפיק מובטח תשואה, ידווחו לממונה.</w:t>
      </w:r>
    </w:p>
    <w:p w:rsidR="002A4D7E" w:rsidRPr="003959CD" w:rsidRDefault="002A4D7E" w:rsidP="003959CD">
      <w:pPr>
        <w:rPr>
          <w:b/>
          <w:bCs/>
          <w:rtl/>
        </w:rPr>
      </w:pPr>
      <w:r w:rsidRPr="003959CD">
        <w:rPr>
          <w:rFonts w:hint="eastAsia"/>
          <w:b/>
          <w:bCs/>
          <w:rtl/>
        </w:rPr>
        <w:t>לתקנה</w:t>
      </w:r>
      <w:r w:rsidRPr="003959CD">
        <w:rPr>
          <w:b/>
          <w:bCs/>
          <w:rtl/>
        </w:rPr>
        <w:t xml:space="preserve"> 6</w:t>
      </w:r>
    </w:p>
    <w:p w:rsidR="00147EA0" w:rsidRPr="003959CD" w:rsidRDefault="00147EA0" w:rsidP="003959CD">
      <w:pPr>
        <w:pStyle w:val="Hesber"/>
      </w:pPr>
      <w:r w:rsidRPr="00147EA0">
        <w:rPr>
          <w:rFonts w:hint="cs"/>
          <w:rtl/>
        </w:rPr>
        <w:t>מוצע כי הוראת השעה שבתוקף תוארך עד לתום השנה הנוכחית והסדר הקבע המוצע ייכנס לתוקף ביום 1 בינואר 2023. כמוסבר במסגרת דברי ההסבר לעיל לתיקון המוצע לתקנה 3א לתקנות</w:t>
      </w:r>
      <w:r>
        <w:rPr>
          <w:rFonts w:hint="cs"/>
          <w:rtl/>
        </w:rPr>
        <w:t xml:space="preserve"> הוצאות ישירות</w:t>
      </w:r>
      <w:r w:rsidRPr="00147EA0">
        <w:rPr>
          <w:rFonts w:hint="cs"/>
          <w:rtl/>
        </w:rPr>
        <w:t>, אימוץ הסדר הקבע בתאריך ה</w:t>
      </w:r>
      <w:r>
        <w:rPr>
          <w:rFonts w:hint="cs"/>
          <w:rtl/>
        </w:rPr>
        <w:t>מוצע לעיל (ולא במועד מוקדם יותר)</w:t>
      </w:r>
      <w:r w:rsidRPr="00147EA0">
        <w:rPr>
          <w:rFonts w:hint="cs"/>
          <w:rtl/>
        </w:rPr>
        <w:t> ימנע התגלעותם של קשיים שעשויים להתעורר במקרה של עריכת שינוי לאופן קביעת ההוצאות הישירות הניתנות לגבייה</w:t>
      </w:r>
      <w:r>
        <w:rPr>
          <w:rFonts w:hint="cs"/>
          <w:rtl/>
        </w:rPr>
        <w:t>,</w:t>
      </w:r>
      <w:r w:rsidRPr="00147EA0">
        <w:rPr>
          <w:rFonts w:hint="cs"/>
          <w:rtl/>
        </w:rPr>
        <w:t xml:space="preserve"> במהלך השנה.  </w:t>
      </w:r>
    </w:p>
    <w:p w:rsidR="006F7218" w:rsidRPr="00147EA0" w:rsidRDefault="006F7218" w:rsidP="006F7218">
      <w:pPr>
        <w:spacing w:line="276" w:lineRule="auto"/>
        <w:rPr>
          <w:rtl/>
        </w:rPr>
      </w:pPr>
    </w:p>
    <w:p w:rsidR="00EE0528" w:rsidRPr="006F7218" w:rsidRDefault="00EE0528" w:rsidP="006F7218">
      <w:pPr>
        <w:pStyle w:val="Hesber1st"/>
        <w:tabs>
          <w:tab w:val="clear" w:pos="680"/>
        </w:tabs>
        <w:rPr>
          <w:rtl/>
        </w:rPr>
      </w:pPr>
    </w:p>
    <w:sectPr w:rsidR="00EE0528" w:rsidRPr="006F7218" w:rsidSect="001470AB">
      <w:pgSz w:w="11906" w:h="16838"/>
      <w:pgMar w:top="1134" w:right="1134" w:bottom="1134" w:left="1134"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977" w:rsidRDefault="007D2977" w:rsidP="001470AB">
      <w:pPr>
        <w:spacing w:line="240" w:lineRule="auto"/>
      </w:pPr>
      <w:r>
        <w:separator/>
      </w:r>
    </w:p>
  </w:endnote>
  <w:endnote w:type="continuationSeparator" w:id="0">
    <w:p w:rsidR="007D2977" w:rsidRDefault="007D2977" w:rsidP="00147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8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FrankRuehl">
    <w:panose1 w:val="020E050306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977" w:rsidRDefault="007D2977" w:rsidP="001470AB">
      <w:pPr>
        <w:spacing w:line="240" w:lineRule="auto"/>
      </w:pPr>
      <w:r>
        <w:separator/>
      </w:r>
    </w:p>
  </w:footnote>
  <w:footnote w:type="continuationSeparator" w:id="0">
    <w:p w:rsidR="007D2977" w:rsidRDefault="007D2977" w:rsidP="001470AB">
      <w:pPr>
        <w:spacing w:line="240" w:lineRule="auto"/>
      </w:pPr>
      <w:r>
        <w:continuationSeparator/>
      </w:r>
    </w:p>
  </w:footnote>
  <w:footnote w:id="1">
    <w:p w:rsidR="00B7354D" w:rsidRDefault="00B7354D" w:rsidP="007A42CD">
      <w:pPr>
        <w:pStyle w:val="ab"/>
        <w:rPr>
          <w:rtl/>
        </w:rPr>
      </w:pPr>
      <w:r>
        <w:rPr>
          <w:rStyle w:val="ad"/>
        </w:rPr>
        <w:footnoteRef/>
      </w:r>
      <w:r>
        <w:rPr>
          <w:rtl/>
        </w:rPr>
        <w:t xml:space="preserve"> </w:t>
      </w:r>
      <w:r w:rsidRPr="00826DC3">
        <w:rPr>
          <w:rFonts w:hint="cs"/>
          <w:rtl/>
        </w:rPr>
        <w:t>ס"ח התשס"ה, עמ' 889.</w:t>
      </w:r>
    </w:p>
  </w:footnote>
  <w:footnote w:id="2">
    <w:p w:rsidR="00B7354D" w:rsidRDefault="00B7354D" w:rsidP="007A42CD">
      <w:pPr>
        <w:pStyle w:val="ab"/>
        <w:rPr>
          <w:rtl/>
        </w:rPr>
      </w:pPr>
      <w:r>
        <w:rPr>
          <w:rStyle w:val="ad"/>
        </w:rPr>
        <w:footnoteRef/>
      </w:r>
      <w:r>
        <w:rPr>
          <w:rtl/>
        </w:rPr>
        <w:t xml:space="preserve"> </w:t>
      </w:r>
      <w:r>
        <w:rPr>
          <w:rFonts w:hint="cs"/>
          <w:rtl/>
        </w:rPr>
        <w:t>ס"ח התשמ"א, עמ' 208; התשע"ז, עמ' 1048.</w:t>
      </w:r>
    </w:p>
  </w:footnote>
  <w:footnote w:id="3">
    <w:p w:rsidR="00B7354D" w:rsidRDefault="00B7354D" w:rsidP="007A42CD">
      <w:pPr>
        <w:pStyle w:val="ab"/>
        <w:rPr>
          <w:rtl/>
        </w:rPr>
      </w:pPr>
      <w:r>
        <w:rPr>
          <w:rStyle w:val="ad"/>
        </w:rPr>
        <w:footnoteRef/>
      </w:r>
      <w:r>
        <w:rPr>
          <w:rtl/>
        </w:rPr>
        <w:t xml:space="preserve"> </w:t>
      </w:r>
      <w:r>
        <w:rPr>
          <w:rFonts w:hint="cs"/>
          <w:rtl/>
        </w:rPr>
        <w:t>ק"ת התשס"ח, עמ' 584; התש"ף, עמ' 2644.</w:t>
      </w:r>
    </w:p>
  </w:footnote>
  <w:footnote w:id="4">
    <w:p w:rsidR="00B7354D" w:rsidRPr="001D4EFE" w:rsidRDefault="00B7354D" w:rsidP="00C14A1C">
      <w:pPr>
        <w:pStyle w:val="ab"/>
        <w:rPr>
          <w:rtl/>
        </w:rPr>
      </w:pPr>
      <w:r w:rsidRPr="001D4EFE">
        <w:rPr>
          <w:rStyle w:val="ad"/>
        </w:rPr>
        <w:footnoteRef/>
      </w:r>
      <w:r w:rsidRPr="001D4EFE">
        <w:rPr>
          <w:rtl/>
        </w:rPr>
        <w:t xml:space="preserve"> </w:t>
      </w:r>
      <w:hyperlink w:history="1">
        <w:r w:rsidRPr="001D4EFE">
          <w:rPr>
            <w:rStyle w:val="Hyperlink"/>
          </w:rPr>
          <w:t>https://www.gov.il/BlobFolder/dynamiccollectorresultitem/6388-19/he/6388-19.pdf</w:t>
        </w:r>
      </w:hyperlink>
    </w:p>
    <w:p w:rsidR="00B7354D" w:rsidRDefault="00B7354D" w:rsidP="007A42CD">
      <w:pPr>
        <w:pStyle w:val="ab"/>
        <w:rPr>
          <w:rtl/>
        </w:rPr>
      </w:pPr>
      <w:r>
        <w:rPr>
          <w:rFonts w:hint="cs"/>
          <w:rtl/>
        </w:rPr>
        <w:t xml:space="preserve"> </w:t>
      </w:r>
    </w:p>
  </w:footnote>
  <w:footnote w:id="5">
    <w:p w:rsidR="00B7354D" w:rsidRPr="000504AE" w:rsidRDefault="00B7354D" w:rsidP="007A42CD">
      <w:pPr>
        <w:pStyle w:val="ab"/>
      </w:pPr>
      <w:r w:rsidRPr="000504AE">
        <w:rPr>
          <w:rStyle w:val="ad"/>
          <w:rFonts w:asciiTheme="majorBidi" w:hAnsiTheme="majorBidi" w:cstheme="majorBidi"/>
        </w:rPr>
        <w:footnoteRef/>
      </w:r>
      <w:r w:rsidRPr="000504AE">
        <w:rPr>
          <w:rtl/>
        </w:rPr>
        <w:t xml:space="preserve"> להשלמת התמונה יצוין, כי בסעיף 2 לתקנות הוצאות ישירות נאסר על תשלום הוצאות ישירות לצד קשור לגוף המוסדי, על מנת למנוע מצב בו הגוף המוסדי יפעל בניגוד עניינים או ייהנה בעקיפין מתשלום ההוצאות.</w:t>
      </w:r>
    </w:p>
  </w:footnote>
  <w:footnote w:id="6">
    <w:p w:rsidR="00B7354D" w:rsidRPr="00366B49" w:rsidRDefault="00B7354D" w:rsidP="006E09CB">
      <w:pPr>
        <w:pStyle w:val="ab"/>
        <w:rPr>
          <w:bCs/>
        </w:rPr>
      </w:pPr>
      <w:r w:rsidRPr="00366B49">
        <w:rPr>
          <w:rStyle w:val="ad"/>
          <w:rFonts w:asciiTheme="majorBidi" w:hAnsiTheme="majorBidi" w:cstheme="majorBidi"/>
        </w:rPr>
        <w:footnoteRef/>
      </w:r>
      <w:r w:rsidRPr="00366B49">
        <w:rPr>
          <w:rStyle w:val="ad"/>
          <w:rFonts w:asciiTheme="majorBidi" w:hAnsiTheme="majorBidi" w:cstheme="majorBidi"/>
          <w:rtl/>
        </w:rPr>
        <w:t xml:space="preserve"> </w:t>
      </w:r>
      <w:r w:rsidRPr="00366B49">
        <w:rPr>
          <w:rFonts w:hint="eastAsia"/>
          <w:rtl/>
        </w:rPr>
        <w:t>רא</w:t>
      </w:r>
      <w:r>
        <w:rPr>
          <w:rFonts w:hint="cs"/>
          <w:rtl/>
        </w:rPr>
        <w:t>ו</w:t>
      </w:r>
      <w:r w:rsidRPr="00366B49">
        <w:rPr>
          <w:rtl/>
        </w:rPr>
        <w:t xml:space="preserve"> דוח הממונה לשנת 2020</w:t>
      </w:r>
      <w:r>
        <w:rPr>
          <w:rFonts w:hint="cs"/>
          <w:bCs/>
          <w:rtl/>
        </w:rPr>
        <w:t xml:space="preserve"> </w:t>
      </w:r>
      <w:r w:rsidRPr="00545E12">
        <w:rPr>
          <w:rFonts w:hint="cs"/>
          <w:rtl/>
        </w:rPr>
        <w:t>תרשים ב-1 ותרשים ב-2</w:t>
      </w:r>
      <w:r>
        <w:rPr>
          <w:rFonts w:hint="cs"/>
          <w:rtl/>
        </w:rPr>
        <w:t>:</w:t>
      </w:r>
      <w:r>
        <w:rPr>
          <w:rFonts w:eastAsia="Times New Roman" w:cs="Arial" w:hint="cs"/>
          <w:bCs/>
          <w:sz w:val="48"/>
          <w:szCs w:val="48"/>
          <w:rtl/>
        </w:rPr>
        <w:t xml:space="preserve"> </w:t>
      </w:r>
      <w:r w:rsidRPr="007D2DC6">
        <w:t>https://www.gov.il/BlobFolder/reports/annual_report_2020/he/annualreportcmisa_2020b.pdf</w:t>
      </w:r>
    </w:p>
    <w:p w:rsidR="00B7354D" w:rsidRPr="007D2DC6" w:rsidRDefault="00B7354D" w:rsidP="007A42CD">
      <w:pPr>
        <w:pStyle w:val="ab"/>
      </w:pPr>
    </w:p>
  </w:footnote>
  <w:footnote w:id="7">
    <w:p w:rsidR="00B7354D" w:rsidRDefault="00B7354D" w:rsidP="008327D2">
      <w:pPr>
        <w:pStyle w:val="ab"/>
      </w:pPr>
      <w:r>
        <w:rPr>
          <w:rStyle w:val="ad"/>
        </w:rPr>
        <w:footnoteRef/>
      </w:r>
      <w:r>
        <w:rPr>
          <w:rtl/>
        </w:rPr>
        <w:t xml:space="preserve"> </w:t>
      </w:r>
      <w:r>
        <w:rPr>
          <w:rFonts w:hint="cs"/>
          <w:rtl/>
        </w:rPr>
        <w:t xml:space="preserve">במסלולי ההשקעה החדשים לא יכללו פוליסות שהונפקו לפני חודש ינואר 2004.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F5A"/>
    <w:multiLevelType w:val="multilevel"/>
    <w:tmpl w:val="2C7611E6"/>
    <w:styleLink w:val="-"/>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 w15:restartNumberingAfterBreak="0">
    <w:nsid w:val="1FF36033"/>
    <w:multiLevelType w:val="hybridMultilevel"/>
    <w:tmpl w:val="9118BC0A"/>
    <w:lvl w:ilvl="0" w:tplc="AB2E85B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E2CDA"/>
    <w:multiLevelType w:val="hybridMultilevel"/>
    <w:tmpl w:val="F88A5B16"/>
    <w:lvl w:ilvl="0" w:tplc="BE2058AA">
      <w:start w:val="1"/>
      <w:numFmt w:val="hebrew1"/>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26734126"/>
    <w:multiLevelType w:val="hybridMultilevel"/>
    <w:tmpl w:val="15DE4E46"/>
    <w:lvl w:ilvl="0" w:tplc="6B90F61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84061"/>
    <w:multiLevelType w:val="hybridMultilevel"/>
    <w:tmpl w:val="2CEA5980"/>
    <w:lvl w:ilvl="0" w:tplc="BDAAC6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13DA4"/>
    <w:multiLevelType w:val="hybridMultilevel"/>
    <w:tmpl w:val="02586768"/>
    <w:lvl w:ilvl="0" w:tplc="6CDEE7D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60CC2"/>
    <w:multiLevelType w:val="hybridMultilevel"/>
    <w:tmpl w:val="5B2E88DE"/>
    <w:lvl w:ilvl="0" w:tplc="D244FF1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364FA"/>
    <w:multiLevelType w:val="hybridMultilevel"/>
    <w:tmpl w:val="515EEB64"/>
    <w:lvl w:ilvl="0" w:tplc="56CAF18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E1BF9"/>
    <w:multiLevelType w:val="hybridMultilevel"/>
    <w:tmpl w:val="B86463A6"/>
    <w:lvl w:ilvl="0" w:tplc="74160D1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90122"/>
    <w:multiLevelType w:val="hybridMultilevel"/>
    <w:tmpl w:val="262A6B48"/>
    <w:lvl w:ilvl="0" w:tplc="467455C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30511"/>
    <w:multiLevelType w:val="hybridMultilevel"/>
    <w:tmpl w:val="09ECEF8A"/>
    <w:lvl w:ilvl="0" w:tplc="800482A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7292E"/>
    <w:multiLevelType w:val="hybridMultilevel"/>
    <w:tmpl w:val="F87424C0"/>
    <w:lvl w:ilvl="0" w:tplc="8EA2458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616C9"/>
    <w:multiLevelType w:val="hybridMultilevel"/>
    <w:tmpl w:val="AC20D56A"/>
    <w:lvl w:ilvl="0" w:tplc="4B242C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F44C7"/>
    <w:multiLevelType w:val="hybridMultilevel"/>
    <w:tmpl w:val="AACA7C66"/>
    <w:lvl w:ilvl="0" w:tplc="5C4641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C2D00DD"/>
    <w:multiLevelType w:val="multilevel"/>
    <w:tmpl w:val="CB2CFB36"/>
    <w:styleLink w:val="-0"/>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6DA778D1"/>
    <w:multiLevelType w:val="hybridMultilevel"/>
    <w:tmpl w:val="7A1872C4"/>
    <w:lvl w:ilvl="0" w:tplc="61B2465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41B7A"/>
    <w:multiLevelType w:val="hybridMultilevel"/>
    <w:tmpl w:val="9DB82480"/>
    <w:lvl w:ilvl="0" w:tplc="D246616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8"/>
  </w:num>
  <w:num w:numId="4">
    <w:abstractNumId w:val="11"/>
  </w:num>
  <w:num w:numId="5">
    <w:abstractNumId w:val="2"/>
  </w:num>
  <w:num w:numId="6">
    <w:abstractNumId w:val="8"/>
  </w:num>
  <w:num w:numId="7">
    <w:abstractNumId w:val="9"/>
  </w:num>
  <w:num w:numId="8">
    <w:abstractNumId w:val="16"/>
  </w:num>
  <w:num w:numId="9">
    <w:abstractNumId w:val="6"/>
  </w:num>
  <w:num w:numId="10">
    <w:abstractNumId w:val="1"/>
  </w:num>
  <w:num w:numId="11">
    <w:abstractNumId w:val="7"/>
  </w:num>
  <w:num w:numId="12">
    <w:abstractNumId w:val="13"/>
  </w:num>
  <w:num w:numId="13">
    <w:abstractNumId w:val="10"/>
  </w:num>
  <w:num w:numId="14">
    <w:abstractNumId w:val="12"/>
  </w:num>
  <w:num w:numId="15">
    <w:abstractNumId w:val="4"/>
  </w:num>
  <w:num w:numId="16">
    <w:abstractNumId w:val="5"/>
  </w:num>
  <w:num w:numId="17">
    <w:abstractNumId w:val="17"/>
  </w:num>
  <w:num w:numId="18">
    <w:abstractNumId w:val="3"/>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BA"/>
    <w:rsid w:val="00005088"/>
    <w:rsid w:val="000070C7"/>
    <w:rsid w:val="000077FF"/>
    <w:rsid w:val="000104D8"/>
    <w:rsid w:val="00010BF9"/>
    <w:rsid w:val="000110A7"/>
    <w:rsid w:val="00014182"/>
    <w:rsid w:val="00014300"/>
    <w:rsid w:val="00020F69"/>
    <w:rsid w:val="000219D5"/>
    <w:rsid w:val="00024E74"/>
    <w:rsid w:val="000268D2"/>
    <w:rsid w:val="00030416"/>
    <w:rsid w:val="00035CBD"/>
    <w:rsid w:val="00036141"/>
    <w:rsid w:val="00040F1F"/>
    <w:rsid w:val="00041D63"/>
    <w:rsid w:val="00047C97"/>
    <w:rsid w:val="00050945"/>
    <w:rsid w:val="0005107B"/>
    <w:rsid w:val="000520B7"/>
    <w:rsid w:val="000568CE"/>
    <w:rsid w:val="00060585"/>
    <w:rsid w:val="00063B45"/>
    <w:rsid w:val="00066383"/>
    <w:rsid w:val="00075785"/>
    <w:rsid w:val="0007604A"/>
    <w:rsid w:val="000766CA"/>
    <w:rsid w:val="00081108"/>
    <w:rsid w:val="00082CAB"/>
    <w:rsid w:val="000840B5"/>
    <w:rsid w:val="00090DD6"/>
    <w:rsid w:val="00092633"/>
    <w:rsid w:val="00093B9D"/>
    <w:rsid w:val="00095571"/>
    <w:rsid w:val="00096A50"/>
    <w:rsid w:val="0009700F"/>
    <w:rsid w:val="000A730B"/>
    <w:rsid w:val="000B112F"/>
    <w:rsid w:val="000C04AE"/>
    <w:rsid w:val="000C071C"/>
    <w:rsid w:val="000C231E"/>
    <w:rsid w:val="000C46DA"/>
    <w:rsid w:val="000C4792"/>
    <w:rsid w:val="000D2698"/>
    <w:rsid w:val="000D6C95"/>
    <w:rsid w:val="000D6F19"/>
    <w:rsid w:val="000D7F5A"/>
    <w:rsid w:val="000E2AF9"/>
    <w:rsid w:val="000E2B89"/>
    <w:rsid w:val="000E2ED2"/>
    <w:rsid w:val="000E3AE5"/>
    <w:rsid w:val="000E40F2"/>
    <w:rsid w:val="000E6098"/>
    <w:rsid w:val="000E632C"/>
    <w:rsid w:val="000E7C3E"/>
    <w:rsid w:val="000F274C"/>
    <w:rsid w:val="000F3390"/>
    <w:rsid w:val="000F5C02"/>
    <w:rsid w:val="000F6587"/>
    <w:rsid w:val="000F6818"/>
    <w:rsid w:val="00100054"/>
    <w:rsid w:val="0010326C"/>
    <w:rsid w:val="0011727F"/>
    <w:rsid w:val="001319DF"/>
    <w:rsid w:val="001470AB"/>
    <w:rsid w:val="00147718"/>
    <w:rsid w:val="00147EA0"/>
    <w:rsid w:val="00156B9F"/>
    <w:rsid w:val="0015731F"/>
    <w:rsid w:val="001611C6"/>
    <w:rsid w:val="00164B30"/>
    <w:rsid w:val="00167368"/>
    <w:rsid w:val="0017030A"/>
    <w:rsid w:val="00170A60"/>
    <w:rsid w:val="00172C5D"/>
    <w:rsid w:val="00173D01"/>
    <w:rsid w:val="00174448"/>
    <w:rsid w:val="0018292D"/>
    <w:rsid w:val="00185BBE"/>
    <w:rsid w:val="001871FC"/>
    <w:rsid w:val="0018786C"/>
    <w:rsid w:val="00191154"/>
    <w:rsid w:val="00191A34"/>
    <w:rsid w:val="00192146"/>
    <w:rsid w:val="001942B6"/>
    <w:rsid w:val="001949A9"/>
    <w:rsid w:val="001A7C42"/>
    <w:rsid w:val="001B19A3"/>
    <w:rsid w:val="001B3B9F"/>
    <w:rsid w:val="001B4A02"/>
    <w:rsid w:val="001B5472"/>
    <w:rsid w:val="001C4F6D"/>
    <w:rsid w:val="001C6552"/>
    <w:rsid w:val="001C727F"/>
    <w:rsid w:val="001C75D7"/>
    <w:rsid w:val="001D4A18"/>
    <w:rsid w:val="001D4BC3"/>
    <w:rsid w:val="001D4EFE"/>
    <w:rsid w:val="001D55DD"/>
    <w:rsid w:val="001E04DE"/>
    <w:rsid w:val="001E1FEE"/>
    <w:rsid w:val="001E2618"/>
    <w:rsid w:val="001E548A"/>
    <w:rsid w:val="001E7501"/>
    <w:rsid w:val="001F173A"/>
    <w:rsid w:val="001F52D9"/>
    <w:rsid w:val="001F591F"/>
    <w:rsid w:val="00204D86"/>
    <w:rsid w:val="002054CC"/>
    <w:rsid w:val="0020603F"/>
    <w:rsid w:val="002148F5"/>
    <w:rsid w:val="0021635F"/>
    <w:rsid w:val="002206C2"/>
    <w:rsid w:val="002217D6"/>
    <w:rsid w:val="0022309B"/>
    <w:rsid w:val="00230188"/>
    <w:rsid w:val="00230377"/>
    <w:rsid w:val="00232E2E"/>
    <w:rsid w:val="00236133"/>
    <w:rsid w:val="00241031"/>
    <w:rsid w:val="00251917"/>
    <w:rsid w:val="00253FA1"/>
    <w:rsid w:val="0027306C"/>
    <w:rsid w:val="00274310"/>
    <w:rsid w:val="0027515F"/>
    <w:rsid w:val="00275887"/>
    <w:rsid w:val="00281217"/>
    <w:rsid w:val="002849C5"/>
    <w:rsid w:val="00286B63"/>
    <w:rsid w:val="00291321"/>
    <w:rsid w:val="002977B9"/>
    <w:rsid w:val="002A2D96"/>
    <w:rsid w:val="002A4D7E"/>
    <w:rsid w:val="002A54A3"/>
    <w:rsid w:val="002A7C86"/>
    <w:rsid w:val="002A7FEA"/>
    <w:rsid w:val="002B7C30"/>
    <w:rsid w:val="002C6D52"/>
    <w:rsid w:val="002C7A9E"/>
    <w:rsid w:val="002D2326"/>
    <w:rsid w:val="002D7789"/>
    <w:rsid w:val="002E28CE"/>
    <w:rsid w:val="002E38F4"/>
    <w:rsid w:val="002F185E"/>
    <w:rsid w:val="002F197C"/>
    <w:rsid w:val="002F3794"/>
    <w:rsid w:val="002F451B"/>
    <w:rsid w:val="00303407"/>
    <w:rsid w:val="00305E58"/>
    <w:rsid w:val="0030738D"/>
    <w:rsid w:val="003142B5"/>
    <w:rsid w:val="00325E01"/>
    <w:rsid w:val="0032748A"/>
    <w:rsid w:val="00334766"/>
    <w:rsid w:val="00340AAB"/>
    <w:rsid w:val="00341D46"/>
    <w:rsid w:val="0034422C"/>
    <w:rsid w:val="00353C13"/>
    <w:rsid w:val="00357997"/>
    <w:rsid w:val="0036051D"/>
    <w:rsid w:val="00361114"/>
    <w:rsid w:val="00362A7C"/>
    <w:rsid w:val="003645FA"/>
    <w:rsid w:val="00370A54"/>
    <w:rsid w:val="003722D0"/>
    <w:rsid w:val="00375FF0"/>
    <w:rsid w:val="003803CB"/>
    <w:rsid w:val="00383741"/>
    <w:rsid w:val="003840FE"/>
    <w:rsid w:val="00385885"/>
    <w:rsid w:val="003866AA"/>
    <w:rsid w:val="00386E01"/>
    <w:rsid w:val="00393C6A"/>
    <w:rsid w:val="003959CD"/>
    <w:rsid w:val="00396E73"/>
    <w:rsid w:val="003A1546"/>
    <w:rsid w:val="003A1D7A"/>
    <w:rsid w:val="003A21A3"/>
    <w:rsid w:val="003A3D10"/>
    <w:rsid w:val="003A4869"/>
    <w:rsid w:val="003A60C6"/>
    <w:rsid w:val="003B3436"/>
    <w:rsid w:val="003C3A5C"/>
    <w:rsid w:val="003D494A"/>
    <w:rsid w:val="003D5830"/>
    <w:rsid w:val="003D7DE3"/>
    <w:rsid w:val="003D7F7C"/>
    <w:rsid w:val="003E2B96"/>
    <w:rsid w:val="003F1396"/>
    <w:rsid w:val="003F2D4A"/>
    <w:rsid w:val="003F6FCA"/>
    <w:rsid w:val="0040055E"/>
    <w:rsid w:val="0041087F"/>
    <w:rsid w:val="00417879"/>
    <w:rsid w:val="004237FB"/>
    <w:rsid w:val="00423D6A"/>
    <w:rsid w:val="00426E0E"/>
    <w:rsid w:val="0043034D"/>
    <w:rsid w:val="004323EF"/>
    <w:rsid w:val="00436321"/>
    <w:rsid w:val="00436558"/>
    <w:rsid w:val="00440FFC"/>
    <w:rsid w:val="004410DE"/>
    <w:rsid w:val="00442C52"/>
    <w:rsid w:val="00444A90"/>
    <w:rsid w:val="00445D2B"/>
    <w:rsid w:val="0044663B"/>
    <w:rsid w:val="00446B43"/>
    <w:rsid w:val="00451F2E"/>
    <w:rsid w:val="004523EB"/>
    <w:rsid w:val="00452D7A"/>
    <w:rsid w:val="00452DE7"/>
    <w:rsid w:val="00455CDE"/>
    <w:rsid w:val="004560B4"/>
    <w:rsid w:val="00456A79"/>
    <w:rsid w:val="004571AB"/>
    <w:rsid w:val="00457A88"/>
    <w:rsid w:val="00460B07"/>
    <w:rsid w:val="00462BA5"/>
    <w:rsid w:val="00462CA0"/>
    <w:rsid w:val="00462D6C"/>
    <w:rsid w:val="00465895"/>
    <w:rsid w:val="00465D4D"/>
    <w:rsid w:val="00465DD0"/>
    <w:rsid w:val="004733C1"/>
    <w:rsid w:val="00475A8F"/>
    <w:rsid w:val="004821D6"/>
    <w:rsid w:val="00484064"/>
    <w:rsid w:val="0048427B"/>
    <w:rsid w:val="004A0433"/>
    <w:rsid w:val="004A0AEA"/>
    <w:rsid w:val="004A31DB"/>
    <w:rsid w:val="004A50FD"/>
    <w:rsid w:val="004B4D81"/>
    <w:rsid w:val="004B4EB9"/>
    <w:rsid w:val="004C127D"/>
    <w:rsid w:val="004C14DD"/>
    <w:rsid w:val="004C550F"/>
    <w:rsid w:val="004C5538"/>
    <w:rsid w:val="004C654D"/>
    <w:rsid w:val="004D5034"/>
    <w:rsid w:val="004D65A1"/>
    <w:rsid w:val="004E0410"/>
    <w:rsid w:val="004E1D77"/>
    <w:rsid w:val="004E2A6C"/>
    <w:rsid w:val="004E479D"/>
    <w:rsid w:val="004F3773"/>
    <w:rsid w:val="004F4C93"/>
    <w:rsid w:val="005028F9"/>
    <w:rsid w:val="00505D36"/>
    <w:rsid w:val="00506DD3"/>
    <w:rsid w:val="005103E2"/>
    <w:rsid w:val="00515321"/>
    <w:rsid w:val="00515E5C"/>
    <w:rsid w:val="00515FE3"/>
    <w:rsid w:val="00516529"/>
    <w:rsid w:val="00516986"/>
    <w:rsid w:val="00517F4B"/>
    <w:rsid w:val="0052160B"/>
    <w:rsid w:val="005234D8"/>
    <w:rsid w:val="00534452"/>
    <w:rsid w:val="00534888"/>
    <w:rsid w:val="005371D8"/>
    <w:rsid w:val="00542AFE"/>
    <w:rsid w:val="005519CD"/>
    <w:rsid w:val="005534AA"/>
    <w:rsid w:val="00556BE2"/>
    <w:rsid w:val="005600AB"/>
    <w:rsid w:val="00563479"/>
    <w:rsid w:val="00570494"/>
    <w:rsid w:val="00576080"/>
    <w:rsid w:val="0058064A"/>
    <w:rsid w:val="00581B16"/>
    <w:rsid w:val="005864FF"/>
    <w:rsid w:val="00586E89"/>
    <w:rsid w:val="00594726"/>
    <w:rsid w:val="00596540"/>
    <w:rsid w:val="005A2C49"/>
    <w:rsid w:val="005A2FF9"/>
    <w:rsid w:val="005A3B28"/>
    <w:rsid w:val="005B59FD"/>
    <w:rsid w:val="005B7491"/>
    <w:rsid w:val="005B7A43"/>
    <w:rsid w:val="005C0812"/>
    <w:rsid w:val="005C6A2C"/>
    <w:rsid w:val="005C7569"/>
    <w:rsid w:val="005C7EEE"/>
    <w:rsid w:val="005D08B9"/>
    <w:rsid w:val="005D42E4"/>
    <w:rsid w:val="005D44A8"/>
    <w:rsid w:val="005E1ED1"/>
    <w:rsid w:val="005E5F5E"/>
    <w:rsid w:val="005E7347"/>
    <w:rsid w:val="005F093B"/>
    <w:rsid w:val="005F2A93"/>
    <w:rsid w:val="005F4677"/>
    <w:rsid w:val="005F70EC"/>
    <w:rsid w:val="00600BA1"/>
    <w:rsid w:val="00600BFA"/>
    <w:rsid w:val="00600DAE"/>
    <w:rsid w:val="00600F1F"/>
    <w:rsid w:val="00602DAD"/>
    <w:rsid w:val="00607619"/>
    <w:rsid w:val="00607F53"/>
    <w:rsid w:val="00610957"/>
    <w:rsid w:val="0061183D"/>
    <w:rsid w:val="00613363"/>
    <w:rsid w:val="00616AD4"/>
    <w:rsid w:val="00621CB0"/>
    <w:rsid w:val="0062580C"/>
    <w:rsid w:val="006304AD"/>
    <w:rsid w:val="006309B0"/>
    <w:rsid w:val="00635364"/>
    <w:rsid w:val="006413EF"/>
    <w:rsid w:val="006457AE"/>
    <w:rsid w:val="00646D33"/>
    <w:rsid w:val="00647128"/>
    <w:rsid w:val="00647A84"/>
    <w:rsid w:val="0066037D"/>
    <w:rsid w:val="00664624"/>
    <w:rsid w:val="00665A5D"/>
    <w:rsid w:val="0066664E"/>
    <w:rsid w:val="0067693F"/>
    <w:rsid w:val="0068012F"/>
    <w:rsid w:val="006832C9"/>
    <w:rsid w:val="00685A1F"/>
    <w:rsid w:val="00690AEC"/>
    <w:rsid w:val="006919D0"/>
    <w:rsid w:val="00692C69"/>
    <w:rsid w:val="006952CA"/>
    <w:rsid w:val="0069537D"/>
    <w:rsid w:val="00696699"/>
    <w:rsid w:val="00696799"/>
    <w:rsid w:val="006A13C9"/>
    <w:rsid w:val="006A1532"/>
    <w:rsid w:val="006A2503"/>
    <w:rsid w:val="006A52F6"/>
    <w:rsid w:val="006A5446"/>
    <w:rsid w:val="006B0B9A"/>
    <w:rsid w:val="006B138B"/>
    <w:rsid w:val="006B352E"/>
    <w:rsid w:val="006B69D1"/>
    <w:rsid w:val="006C02B5"/>
    <w:rsid w:val="006C345F"/>
    <w:rsid w:val="006C55AF"/>
    <w:rsid w:val="006D0744"/>
    <w:rsid w:val="006D0850"/>
    <w:rsid w:val="006D111C"/>
    <w:rsid w:val="006D61EC"/>
    <w:rsid w:val="006D686D"/>
    <w:rsid w:val="006E09CB"/>
    <w:rsid w:val="006E4AF6"/>
    <w:rsid w:val="006E4DD6"/>
    <w:rsid w:val="006E5812"/>
    <w:rsid w:val="006E5942"/>
    <w:rsid w:val="006E6CF0"/>
    <w:rsid w:val="006E6FCB"/>
    <w:rsid w:val="006F7218"/>
    <w:rsid w:val="007018A6"/>
    <w:rsid w:val="00705B8B"/>
    <w:rsid w:val="00706164"/>
    <w:rsid w:val="007112A5"/>
    <w:rsid w:val="00717FA8"/>
    <w:rsid w:val="00727200"/>
    <w:rsid w:val="0072776E"/>
    <w:rsid w:val="00734E88"/>
    <w:rsid w:val="00735D55"/>
    <w:rsid w:val="00737025"/>
    <w:rsid w:val="00741F9C"/>
    <w:rsid w:val="00743847"/>
    <w:rsid w:val="00746EF4"/>
    <w:rsid w:val="00751B50"/>
    <w:rsid w:val="0075281C"/>
    <w:rsid w:val="00753A9E"/>
    <w:rsid w:val="00757313"/>
    <w:rsid w:val="00757879"/>
    <w:rsid w:val="007611DA"/>
    <w:rsid w:val="007759FC"/>
    <w:rsid w:val="00775F8B"/>
    <w:rsid w:val="007828C0"/>
    <w:rsid w:val="00785398"/>
    <w:rsid w:val="00785B20"/>
    <w:rsid w:val="00790CFF"/>
    <w:rsid w:val="00793E5C"/>
    <w:rsid w:val="007A1050"/>
    <w:rsid w:val="007A257C"/>
    <w:rsid w:val="007A373A"/>
    <w:rsid w:val="007A42CD"/>
    <w:rsid w:val="007A43FB"/>
    <w:rsid w:val="007A5EEA"/>
    <w:rsid w:val="007B6E2E"/>
    <w:rsid w:val="007B7110"/>
    <w:rsid w:val="007B76E5"/>
    <w:rsid w:val="007C0901"/>
    <w:rsid w:val="007C2D97"/>
    <w:rsid w:val="007D069E"/>
    <w:rsid w:val="007D1513"/>
    <w:rsid w:val="007D2977"/>
    <w:rsid w:val="007D3F0F"/>
    <w:rsid w:val="007D4118"/>
    <w:rsid w:val="007D4A87"/>
    <w:rsid w:val="007D661F"/>
    <w:rsid w:val="007D671E"/>
    <w:rsid w:val="007D6D40"/>
    <w:rsid w:val="007E2692"/>
    <w:rsid w:val="007E2DCB"/>
    <w:rsid w:val="007E4A6C"/>
    <w:rsid w:val="007E5467"/>
    <w:rsid w:val="007F46B7"/>
    <w:rsid w:val="007F4962"/>
    <w:rsid w:val="00801361"/>
    <w:rsid w:val="0080160A"/>
    <w:rsid w:val="0080206E"/>
    <w:rsid w:val="00803C4B"/>
    <w:rsid w:val="0080684C"/>
    <w:rsid w:val="00807347"/>
    <w:rsid w:val="00811144"/>
    <w:rsid w:val="00812CFA"/>
    <w:rsid w:val="00814125"/>
    <w:rsid w:val="0082200D"/>
    <w:rsid w:val="0082212A"/>
    <w:rsid w:val="00822FEB"/>
    <w:rsid w:val="0082515E"/>
    <w:rsid w:val="00825F04"/>
    <w:rsid w:val="008267D6"/>
    <w:rsid w:val="00826DC3"/>
    <w:rsid w:val="0082739B"/>
    <w:rsid w:val="00830358"/>
    <w:rsid w:val="008327D2"/>
    <w:rsid w:val="00833C45"/>
    <w:rsid w:val="00836F33"/>
    <w:rsid w:val="00837247"/>
    <w:rsid w:val="00841F65"/>
    <w:rsid w:val="0084253B"/>
    <w:rsid w:val="00842E2A"/>
    <w:rsid w:val="00846F50"/>
    <w:rsid w:val="00853E2A"/>
    <w:rsid w:val="00854969"/>
    <w:rsid w:val="008605C9"/>
    <w:rsid w:val="00864DB3"/>
    <w:rsid w:val="00864F39"/>
    <w:rsid w:val="00866D01"/>
    <w:rsid w:val="00867AE5"/>
    <w:rsid w:val="00867D10"/>
    <w:rsid w:val="00870D8A"/>
    <w:rsid w:val="008732AA"/>
    <w:rsid w:val="00873DA4"/>
    <w:rsid w:val="00874589"/>
    <w:rsid w:val="0087557B"/>
    <w:rsid w:val="0088452E"/>
    <w:rsid w:val="008A4EB3"/>
    <w:rsid w:val="008A6D0F"/>
    <w:rsid w:val="008A6E50"/>
    <w:rsid w:val="008A7064"/>
    <w:rsid w:val="008A7A89"/>
    <w:rsid w:val="008B00BF"/>
    <w:rsid w:val="008B1959"/>
    <w:rsid w:val="008B39D7"/>
    <w:rsid w:val="008B4A95"/>
    <w:rsid w:val="008B6E57"/>
    <w:rsid w:val="008C0EFE"/>
    <w:rsid w:val="008D308C"/>
    <w:rsid w:val="008D5D05"/>
    <w:rsid w:val="008E09BF"/>
    <w:rsid w:val="008E77BE"/>
    <w:rsid w:val="008E7FB7"/>
    <w:rsid w:val="00905CD8"/>
    <w:rsid w:val="00910BC9"/>
    <w:rsid w:val="00911EB5"/>
    <w:rsid w:val="00915C9A"/>
    <w:rsid w:val="00921642"/>
    <w:rsid w:val="009303BD"/>
    <w:rsid w:val="00931C0C"/>
    <w:rsid w:val="00935E81"/>
    <w:rsid w:val="00937B4D"/>
    <w:rsid w:val="00941C5D"/>
    <w:rsid w:val="00944397"/>
    <w:rsid w:val="00946254"/>
    <w:rsid w:val="0096557E"/>
    <w:rsid w:val="00975DA0"/>
    <w:rsid w:val="00986444"/>
    <w:rsid w:val="00990A24"/>
    <w:rsid w:val="0099149E"/>
    <w:rsid w:val="00992E2F"/>
    <w:rsid w:val="009939DD"/>
    <w:rsid w:val="00993AB9"/>
    <w:rsid w:val="00997DFE"/>
    <w:rsid w:val="009A411E"/>
    <w:rsid w:val="009A4E69"/>
    <w:rsid w:val="009B64FE"/>
    <w:rsid w:val="009C5545"/>
    <w:rsid w:val="009C5A0F"/>
    <w:rsid w:val="009C6012"/>
    <w:rsid w:val="009D49AE"/>
    <w:rsid w:val="009D528F"/>
    <w:rsid w:val="009E52B5"/>
    <w:rsid w:val="009E5CC6"/>
    <w:rsid w:val="009F1D82"/>
    <w:rsid w:val="009F26A6"/>
    <w:rsid w:val="009F4A7F"/>
    <w:rsid w:val="009F7BE3"/>
    <w:rsid w:val="009F7F7A"/>
    <w:rsid w:val="00A00F98"/>
    <w:rsid w:val="00A01CD0"/>
    <w:rsid w:val="00A0795E"/>
    <w:rsid w:val="00A15876"/>
    <w:rsid w:val="00A1597C"/>
    <w:rsid w:val="00A15D5D"/>
    <w:rsid w:val="00A16D1E"/>
    <w:rsid w:val="00A2042F"/>
    <w:rsid w:val="00A220F1"/>
    <w:rsid w:val="00A22CF9"/>
    <w:rsid w:val="00A22F23"/>
    <w:rsid w:val="00A2766E"/>
    <w:rsid w:val="00A30921"/>
    <w:rsid w:val="00A335C3"/>
    <w:rsid w:val="00A51013"/>
    <w:rsid w:val="00A5597C"/>
    <w:rsid w:val="00A5751E"/>
    <w:rsid w:val="00A6136D"/>
    <w:rsid w:val="00A61C85"/>
    <w:rsid w:val="00A65C10"/>
    <w:rsid w:val="00A66A72"/>
    <w:rsid w:val="00A67A4F"/>
    <w:rsid w:val="00A7396A"/>
    <w:rsid w:val="00A73972"/>
    <w:rsid w:val="00A84333"/>
    <w:rsid w:val="00A84658"/>
    <w:rsid w:val="00A84794"/>
    <w:rsid w:val="00A86A6F"/>
    <w:rsid w:val="00A872FB"/>
    <w:rsid w:val="00A87CED"/>
    <w:rsid w:val="00AA4752"/>
    <w:rsid w:val="00AA6C52"/>
    <w:rsid w:val="00AB1AD6"/>
    <w:rsid w:val="00AC0823"/>
    <w:rsid w:val="00AC161B"/>
    <w:rsid w:val="00AC20B4"/>
    <w:rsid w:val="00AC2716"/>
    <w:rsid w:val="00AC2EC7"/>
    <w:rsid w:val="00AC393C"/>
    <w:rsid w:val="00AC6172"/>
    <w:rsid w:val="00AD0167"/>
    <w:rsid w:val="00AD19D7"/>
    <w:rsid w:val="00AD5F1D"/>
    <w:rsid w:val="00AD6B59"/>
    <w:rsid w:val="00AF1C47"/>
    <w:rsid w:val="00B03E2B"/>
    <w:rsid w:val="00B041F7"/>
    <w:rsid w:val="00B05EAE"/>
    <w:rsid w:val="00B061B4"/>
    <w:rsid w:val="00B2067E"/>
    <w:rsid w:val="00B20C9E"/>
    <w:rsid w:val="00B2343D"/>
    <w:rsid w:val="00B27B91"/>
    <w:rsid w:val="00B311D4"/>
    <w:rsid w:val="00B322D6"/>
    <w:rsid w:val="00B40656"/>
    <w:rsid w:val="00B429D7"/>
    <w:rsid w:val="00B50C91"/>
    <w:rsid w:val="00B54069"/>
    <w:rsid w:val="00B5469E"/>
    <w:rsid w:val="00B560AA"/>
    <w:rsid w:val="00B560E2"/>
    <w:rsid w:val="00B60EE6"/>
    <w:rsid w:val="00B65C90"/>
    <w:rsid w:val="00B665E6"/>
    <w:rsid w:val="00B67385"/>
    <w:rsid w:val="00B703C8"/>
    <w:rsid w:val="00B70CC7"/>
    <w:rsid w:val="00B72505"/>
    <w:rsid w:val="00B7354D"/>
    <w:rsid w:val="00B75B9B"/>
    <w:rsid w:val="00B75C21"/>
    <w:rsid w:val="00B80325"/>
    <w:rsid w:val="00B848C6"/>
    <w:rsid w:val="00B84DCB"/>
    <w:rsid w:val="00B84E5C"/>
    <w:rsid w:val="00B84FCF"/>
    <w:rsid w:val="00B92BEA"/>
    <w:rsid w:val="00B93390"/>
    <w:rsid w:val="00B939B1"/>
    <w:rsid w:val="00B93A25"/>
    <w:rsid w:val="00B95DBC"/>
    <w:rsid w:val="00B96DCF"/>
    <w:rsid w:val="00BA1AE9"/>
    <w:rsid w:val="00BA587B"/>
    <w:rsid w:val="00BA65C2"/>
    <w:rsid w:val="00BA76FA"/>
    <w:rsid w:val="00BB393A"/>
    <w:rsid w:val="00BB45EC"/>
    <w:rsid w:val="00BB4CBC"/>
    <w:rsid w:val="00BC1F0B"/>
    <w:rsid w:val="00BD67E7"/>
    <w:rsid w:val="00BE0884"/>
    <w:rsid w:val="00BE6ED0"/>
    <w:rsid w:val="00BF385C"/>
    <w:rsid w:val="00BF3ADA"/>
    <w:rsid w:val="00C01906"/>
    <w:rsid w:val="00C03B1E"/>
    <w:rsid w:val="00C04205"/>
    <w:rsid w:val="00C0549D"/>
    <w:rsid w:val="00C05720"/>
    <w:rsid w:val="00C06FBD"/>
    <w:rsid w:val="00C14A1C"/>
    <w:rsid w:val="00C171DC"/>
    <w:rsid w:val="00C24DBA"/>
    <w:rsid w:val="00C27AC8"/>
    <w:rsid w:val="00C359D9"/>
    <w:rsid w:val="00C36395"/>
    <w:rsid w:val="00C36541"/>
    <w:rsid w:val="00C36A52"/>
    <w:rsid w:val="00C36BCE"/>
    <w:rsid w:val="00C37F33"/>
    <w:rsid w:val="00C40CB8"/>
    <w:rsid w:val="00C458AC"/>
    <w:rsid w:val="00C46751"/>
    <w:rsid w:val="00C47BD0"/>
    <w:rsid w:val="00C517FB"/>
    <w:rsid w:val="00C521EF"/>
    <w:rsid w:val="00C528C9"/>
    <w:rsid w:val="00C55C2B"/>
    <w:rsid w:val="00C55C56"/>
    <w:rsid w:val="00C60B24"/>
    <w:rsid w:val="00C61AAD"/>
    <w:rsid w:val="00C61FB4"/>
    <w:rsid w:val="00C639A0"/>
    <w:rsid w:val="00C664D2"/>
    <w:rsid w:val="00C7009B"/>
    <w:rsid w:val="00C755AD"/>
    <w:rsid w:val="00C84ABA"/>
    <w:rsid w:val="00C85803"/>
    <w:rsid w:val="00C95125"/>
    <w:rsid w:val="00CA01A1"/>
    <w:rsid w:val="00CA61AF"/>
    <w:rsid w:val="00CB3361"/>
    <w:rsid w:val="00CB40A4"/>
    <w:rsid w:val="00CB772C"/>
    <w:rsid w:val="00CC1274"/>
    <w:rsid w:val="00CC1A5E"/>
    <w:rsid w:val="00CC356E"/>
    <w:rsid w:val="00CC7483"/>
    <w:rsid w:val="00CC7918"/>
    <w:rsid w:val="00CC7EFE"/>
    <w:rsid w:val="00CD2978"/>
    <w:rsid w:val="00CD6DB8"/>
    <w:rsid w:val="00CE0517"/>
    <w:rsid w:val="00CE2AEB"/>
    <w:rsid w:val="00CE67A7"/>
    <w:rsid w:val="00CE742E"/>
    <w:rsid w:val="00CF44BB"/>
    <w:rsid w:val="00D065FB"/>
    <w:rsid w:val="00D1083F"/>
    <w:rsid w:val="00D13ABF"/>
    <w:rsid w:val="00D173EB"/>
    <w:rsid w:val="00D176B6"/>
    <w:rsid w:val="00D20D89"/>
    <w:rsid w:val="00D23177"/>
    <w:rsid w:val="00D3069A"/>
    <w:rsid w:val="00D33979"/>
    <w:rsid w:val="00D45657"/>
    <w:rsid w:val="00D45FBF"/>
    <w:rsid w:val="00D55D68"/>
    <w:rsid w:val="00D66453"/>
    <w:rsid w:val="00D731DA"/>
    <w:rsid w:val="00D74264"/>
    <w:rsid w:val="00D7497E"/>
    <w:rsid w:val="00D81F0F"/>
    <w:rsid w:val="00D91D06"/>
    <w:rsid w:val="00D969C1"/>
    <w:rsid w:val="00D96D01"/>
    <w:rsid w:val="00D972EE"/>
    <w:rsid w:val="00DA3D1A"/>
    <w:rsid w:val="00DA5352"/>
    <w:rsid w:val="00DC4504"/>
    <w:rsid w:val="00DC571A"/>
    <w:rsid w:val="00DD5320"/>
    <w:rsid w:val="00DD5717"/>
    <w:rsid w:val="00DD5E7D"/>
    <w:rsid w:val="00DD7902"/>
    <w:rsid w:val="00DD7D59"/>
    <w:rsid w:val="00DE0148"/>
    <w:rsid w:val="00DE069A"/>
    <w:rsid w:val="00DE126D"/>
    <w:rsid w:val="00DE7C1C"/>
    <w:rsid w:val="00DE7CC8"/>
    <w:rsid w:val="00DF44DD"/>
    <w:rsid w:val="00DF71BA"/>
    <w:rsid w:val="00DF71BE"/>
    <w:rsid w:val="00DF73FF"/>
    <w:rsid w:val="00E05707"/>
    <w:rsid w:val="00E17070"/>
    <w:rsid w:val="00E20F40"/>
    <w:rsid w:val="00E3089B"/>
    <w:rsid w:val="00E33757"/>
    <w:rsid w:val="00E34EC2"/>
    <w:rsid w:val="00E4190F"/>
    <w:rsid w:val="00E41B31"/>
    <w:rsid w:val="00E55849"/>
    <w:rsid w:val="00E56588"/>
    <w:rsid w:val="00E6100E"/>
    <w:rsid w:val="00E67B76"/>
    <w:rsid w:val="00E765AD"/>
    <w:rsid w:val="00E92889"/>
    <w:rsid w:val="00E94A5F"/>
    <w:rsid w:val="00E95EEF"/>
    <w:rsid w:val="00E975F0"/>
    <w:rsid w:val="00EA1ED5"/>
    <w:rsid w:val="00EA3F31"/>
    <w:rsid w:val="00EA6729"/>
    <w:rsid w:val="00EB0DD6"/>
    <w:rsid w:val="00EB25E8"/>
    <w:rsid w:val="00EC303E"/>
    <w:rsid w:val="00EC3DBB"/>
    <w:rsid w:val="00EC62B1"/>
    <w:rsid w:val="00ED7931"/>
    <w:rsid w:val="00EE0528"/>
    <w:rsid w:val="00EE1965"/>
    <w:rsid w:val="00EE7510"/>
    <w:rsid w:val="00EF06DA"/>
    <w:rsid w:val="00EF529C"/>
    <w:rsid w:val="00EF71D7"/>
    <w:rsid w:val="00F00D41"/>
    <w:rsid w:val="00F0592A"/>
    <w:rsid w:val="00F118F5"/>
    <w:rsid w:val="00F12458"/>
    <w:rsid w:val="00F25ABF"/>
    <w:rsid w:val="00F36297"/>
    <w:rsid w:val="00F365C5"/>
    <w:rsid w:val="00F36956"/>
    <w:rsid w:val="00F509E4"/>
    <w:rsid w:val="00F53C96"/>
    <w:rsid w:val="00F54238"/>
    <w:rsid w:val="00F57CA6"/>
    <w:rsid w:val="00F57DC6"/>
    <w:rsid w:val="00F64311"/>
    <w:rsid w:val="00F674A9"/>
    <w:rsid w:val="00F74EF7"/>
    <w:rsid w:val="00F778C1"/>
    <w:rsid w:val="00F80DA7"/>
    <w:rsid w:val="00F90B63"/>
    <w:rsid w:val="00F975CB"/>
    <w:rsid w:val="00FB0055"/>
    <w:rsid w:val="00FB4A82"/>
    <w:rsid w:val="00FB793B"/>
    <w:rsid w:val="00FC0F20"/>
    <w:rsid w:val="00FD3D84"/>
    <w:rsid w:val="00FD4DFD"/>
    <w:rsid w:val="00FE3193"/>
    <w:rsid w:val="00FE3F33"/>
    <w:rsid w:val="00FE45B9"/>
    <w:rsid w:val="00FE536E"/>
    <w:rsid w:val="00FF52C0"/>
    <w:rsid w:val="00FF73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30504A8-1E6F-46FE-A8EF-F45F24AD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EEA"/>
    <w:pPr>
      <w:widowControl w:val="0"/>
      <w:bidi/>
      <w:spacing w:before="0"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7A5EE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A5EE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A5EE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A5EEA"/>
    <w:pPr>
      <w:spacing w:before="40" w:after="120"/>
      <w:ind w:left="0"/>
      <w:outlineLvl w:val="3"/>
    </w:pPr>
    <w:rPr>
      <w:b/>
      <w:bCs/>
      <w:color w:val="000000" w:themeColor="text1"/>
      <w:szCs w:val="28"/>
    </w:rPr>
  </w:style>
  <w:style w:type="paragraph" w:styleId="5">
    <w:name w:val="heading 5"/>
    <w:basedOn w:val="a"/>
    <w:next w:val="a"/>
    <w:link w:val="50"/>
    <w:uiPriority w:val="9"/>
    <w:unhideWhenUsed/>
    <w:qFormat/>
    <w:rsid w:val="007A5EEA"/>
    <w:pPr>
      <w:spacing w:line="259" w:lineRule="auto"/>
      <w:outlineLvl w:val="4"/>
    </w:pPr>
    <w:rPr>
      <w:color w:val="000000" w:themeColor="text1"/>
    </w:rPr>
  </w:style>
  <w:style w:type="paragraph" w:styleId="6">
    <w:name w:val="heading 6"/>
    <w:basedOn w:val="a"/>
    <w:next w:val="a"/>
    <w:link w:val="60"/>
    <w:uiPriority w:val="9"/>
    <w:unhideWhenUsed/>
    <w:qFormat/>
    <w:rsid w:val="00066383"/>
    <w:pPr>
      <w:bidi w:val="0"/>
      <w:spacing w:before="300"/>
      <w:outlineLvl w:val="5"/>
    </w:pPr>
    <w:rPr>
      <w:b/>
      <w:bCs/>
      <w:caps/>
      <w:spacing w:val="10"/>
    </w:rPr>
  </w:style>
  <w:style w:type="paragraph" w:styleId="7">
    <w:name w:val="heading 7"/>
    <w:basedOn w:val="a"/>
    <w:next w:val="a"/>
    <w:link w:val="70"/>
    <w:uiPriority w:val="9"/>
    <w:unhideWhenUsed/>
    <w:qFormat/>
    <w:rsid w:val="003A1D7A"/>
    <w:pPr>
      <w:bidi w:val="0"/>
      <w:spacing w:before="300"/>
      <w:outlineLvl w:val="6"/>
    </w:pPr>
    <w:rPr>
      <w:b/>
      <w:bCs/>
      <w:caps/>
      <w:spacing w:val="10"/>
    </w:rPr>
  </w:style>
  <w:style w:type="paragraph" w:styleId="8">
    <w:name w:val="heading 8"/>
    <w:basedOn w:val="a"/>
    <w:next w:val="a"/>
    <w:link w:val="80"/>
    <w:uiPriority w:val="9"/>
    <w:semiHidden/>
    <w:unhideWhenUsed/>
    <w:qFormat/>
    <w:rsid w:val="00014182"/>
    <w:pPr>
      <w:bidi w:val="0"/>
      <w:spacing w:before="30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A5EEA"/>
    <w:rPr>
      <w:rFonts w:asciiTheme="majorHAnsi" w:eastAsiaTheme="majorEastAsia" w:hAnsiTheme="majorHAnsi" w:cs="David"/>
      <w:bCs/>
      <w:sz w:val="32"/>
      <w:szCs w:val="36"/>
    </w:rPr>
  </w:style>
  <w:style w:type="paragraph" w:styleId="a3">
    <w:name w:val="Quote"/>
    <w:basedOn w:val="a"/>
    <w:next w:val="a"/>
    <w:link w:val="a4"/>
    <w:uiPriority w:val="29"/>
    <w:qFormat/>
    <w:rsid w:val="003A1D7A"/>
    <w:pPr>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rsid w:val="007A5EEA"/>
    <w:rPr>
      <w:rFonts w:asciiTheme="majorHAnsi" w:eastAsiaTheme="majorEastAsia" w:hAnsiTheme="majorHAnsi" w:cs="David"/>
      <w:bCs/>
      <w:sz w:val="26"/>
      <w:szCs w:val="36"/>
      <w:u w:val="single"/>
    </w:rPr>
  </w:style>
  <w:style w:type="character" w:customStyle="1" w:styleId="30">
    <w:name w:val="כותרת 3 תו"/>
    <w:basedOn w:val="a0"/>
    <w:link w:val="3"/>
    <w:rsid w:val="007A5EEA"/>
    <w:rPr>
      <w:rFonts w:asciiTheme="majorHAnsi" w:eastAsiaTheme="majorEastAsia" w:hAnsiTheme="majorHAnsi" w:cs="David"/>
      <w:sz w:val="24"/>
      <w:szCs w:val="28"/>
      <w:u w:val="double"/>
    </w:rPr>
  </w:style>
  <w:style w:type="character" w:customStyle="1" w:styleId="40">
    <w:name w:val="כותרת 4 תו"/>
    <w:basedOn w:val="a0"/>
    <w:link w:val="4"/>
    <w:uiPriority w:val="9"/>
    <w:rsid w:val="007A5EEA"/>
    <w:rPr>
      <w:rFonts w:ascii="David" w:hAnsi="David" w:cs="David"/>
      <w:b/>
      <w:bCs/>
      <w:color w:val="000000" w:themeColor="text1"/>
      <w:sz w:val="24"/>
      <w:szCs w:val="28"/>
    </w:rPr>
  </w:style>
  <w:style w:type="character" w:customStyle="1" w:styleId="50">
    <w:name w:val="כותרת 5 תו"/>
    <w:basedOn w:val="a0"/>
    <w:link w:val="5"/>
    <w:uiPriority w:val="9"/>
    <w:rsid w:val="007A5EEA"/>
    <w:rPr>
      <w:rFonts w:ascii="David" w:hAnsi="David" w:cs="David"/>
      <w:color w:val="000000" w:themeColor="text1"/>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unhideWhenUsed/>
    <w:qFormat/>
    <w:rsid w:val="007A5EEA"/>
    <w:pPr>
      <w:widowControl/>
      <w:spacing w:before="120" w:after="120"/>
      <w:outlineLvl w:val="9"/>
    </w:pPr>
    <w:rPr>
      <w:rtl/>
      <w:cs/>
    </w:rPr>
  </w:style>
  <w:style w:type="paragraph" w:styleId="TOC3">
    <w:name w:val="toc 3"/>
    <w:basedOn w:val="a"/>
    <w:next w:val="a"/>
    <w:uiPriority w:val="39"/>
    <w:unhideWhenUsed/>
    <w:rsid w:val="007A5EEA"/>
    <w:pPr>
      <w:numPr>
        <w:numId w:val="19"/>
      </w:numPr>
      <w:tabs>
        <w:tab w:val="right" w:leader="dot" w:pos="9629"/>
      </w:tabs>
      <w:spacing w:after="100"/>
      <w:ind w:left="811" w:hanging="357"/>
    </w:pPr>
    <w:rPr>
      <w:szCs w:val="22"/>
    </w:rPr>
  </w:style>
  <w:style w:type="paragraph" w:styleId="TOC1">
    <w:name w:val="toc 1"/>
    <w:basedOn w:val="a"/>
    <w:next w:val="a"/>
    <w:autoRedefine/>
    <w:uiPriority w:val="39"/>
    <w:unhideWhenUsed/>
    <w:rsid w:val="007A5EEA"/>
    <w:pPr>
      <w:tabs>
        <w:tab w:val="right" w:leader="dot" w:pos="9629"/>
      </w:tabs>
      <w:spacing w:after="100"/>
    </w:pPr>
    <w:rPr>
      <w:bCs/>
      <w:szCs w:val="22"/>
    </w:rPr>
  </w:style>
  <w:style w:type="paragraph" w:styleId="TOC2">
    <w:name w:val="toc 2"/>
    <w:basedOn w:val="a"/>
    <w:next w:val="a"/>
    <w:uiPriority w:val="39"/>
    <w:unhideWhenUsed/>
    <w:rsid w:val="007A5EEA"/>
    <w:pPr>
      <w:tabs>
        <w:tab w:val="right" w:leader="dot" w:pos="9628"/>
      </w:tabs>
      <w:spacing w:after="100"/>
    </w:pPr>
    <w:rPr>
      <w:szCs w:val="22"/>
    </w:rPr>
  </w:style>
  <w:style w:type="paragraph" w:styleId="TOC7">
    <w:name w:val="toc 7"/>
    <w:basedOn w:val="a"/>
    <w:next w:val="a"/>
    <w:autoRedefine/>
    <w:unhideWhenUsed/>
    <w:rsid w:val="007A5EEA"/>
    <w:pPr>
      <w:spacing w:after="100"/>
      <w:ind w:left="1020"/>
    </w:pPr>
  </w:style>
  <w:style w:type="paragraph" w:styleId="TOC6">
    <w:name w:val="toc 6"/>
    <w:basedOn w:val="a"/>
    <w:next w:val="a"/>
    <w:autoRedefine/>
    <w:unhideWhenUsed/>
    <w:rsid w:val="007A5EEA"/>
    <w:pPr>
      <w:spacing w:after="100"/>
      <w:ind w:left="850"/>
    </w:pPr>
  </w:style>
  <w:style w:type="paragraph" w:styleId="TOC5">
    <w:name w:val="toc 5"/>
    <w:basedOn w:val="a"/>
    <w:next w:val="a"/>
    <w:unhideWhenUsed/>
    <w:rsid w:val="007A5EEA"/>
    <w:pPr>
      <w:tabs>
        <w:tab w:val="right" w:leader="dot" w:pos="9628"/>
      </w:tabs>
      <w:spacing w:after="100"/>
      <w:ind w:left="567"/>
    </w:pPr>
    <w:rPr>
      <w:szCs w:val="22"/>
    </w:rPr>
  </w:style>
  <w:style w:type="paragraph" w:styleId="TOC4">
    <w:name w:val="toc 4"/>
    <w:basedOn w:val="a"/>
    <w:next w:val="a"/>
    <w:autoRedefine/>
    <w:uiPriority w:val="39"/>
    <w:unhideWhenUsed/>
    <w:qFormat/>
    <w:rsid w:val="007A5EEA"/>
    <w:pPr>
      <w:tabs>
        <w:tab w:val="right" w:leader="dot" w:pos="9628"/>
      </w:tabs>
      <w:spacing w:after="100"/>
      <w:ind w:left="567"/>
    </w:pPr>
    <w:rPr>
      <w:rFonts w:asciiTheme="minorHAnsi" w:eastAsiaTheme="minorEastAsia" w:hAnsiTheme="minorHAnsi"/>
      <w:noProof/>
      <w:sz w:val="22"/>
      <w:szCs w:val="22"/>
    </w:rPr>
  </w:style>
  <w:style w:type="paragraph" w:styleId="a7">
    <w:name w:val="List Paragraph"/>
    <w:basedOn w:val="a"/>
    <w:link w:val="a8"/>
    <w:uiPriority w:val="34"/>
    <w:qFormat/>
    <w:rsid w:val="007A5EEA"/>
    <w:pPr>
      <w:widowControl/>
      <w:spacing w:line="259" w:lineRule="auto"/>
    </w:pPr>
    <w:rPr>
      <w:rFonts w:asciiTheme="minorHAnsi" w:hAnsiTheme="minorHAnsi"/>
      <w:sz w:val="22"/>
    </w:rPr>
  </w:style>
  <w:style w:type="numbering" w:customStyle="1" w:styleId="-0">
    <w:name w:val="משרד האוצר - מדורג"/>
    <w:uiPriority w:val="99"/>
    <w:rsid w:val="00FE3193"/>
    <w:pPr>
      <w:numPr>
        <w:numId w:val="1"/>
      </w:numPr>
    </w:pPr>
  </w:style>
  <w:style w:type="numbering" w:customStyle="1" w:styleId="-">
    <w:name w:val="משרד האוצר - מדורג קצר"/>
    <w:uiPriority w:val="99"/>
    <w:rsid w:val="00FE3193"/>
    <w:pPr>
      <w:numPr>
        <w:numId w:val="2"/>
      </w:numPr>
    </w:pPr>
  </w:style>
  <w:style w:type="paragraph" w:customStyle="1" w:styleId="TableText">
    <w:name w:val="Table Text"/>
    <w:basedOn w:val="a"/>
    <w:rsid w:val="007A5EE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A5EEA"/>
    <w:pPr>
      <w:outlineLvl w:val="2"/>
    </w:pPr>
  </w:style>
  <w:style w:type="paragraph" w:customStyle="1" w:styleId="TableBlock">
    <w:name w:val="Table Block"/>
    <w:basedOn w:val="TableText"/>
    <w:rsid w:val="007A5EEA"/>
    <w:pPr>
      <w:jc w:val="both"/>
    </w:pPr>
  </w:style>
  <w:style w:type="paragraph" w:customStyle="1" w:styleId="TableHead">
    <w:name w:val="Table Head"/>
    <w:basedOn w:val="TableText"/>
    <w:rsid w:val="007A5EEA"/>
    <w:pPr>
      <w:jc w:val="center"/>
      <w:outlineLvl w:val="1"/>
    </w:pPr>
    <w:rPr>
      <w:b/>
      <w:bCs/>
    </w:rPr>
  </w:style>
  <w:style w:type="paragraph" w:customStyle="1" w:styleId="HeadMitparsemetBaze">
    <w:name w:val="Head MitparsemetBaze"/>
    <w:basedOn w:val="a"/>
    <w:rsid w:val="007A5EE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A5EE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A5EEA"/>
    <w:pPr>
      <w:spacing w:before="120" w:after="120"/>
    </w:pPr>
    <w:rPr>
      <w:color w:val="FF0000"/>
      <w:w w:val="80"/>
    </w:rPr>
  </w:style>
  <w:style w:type="paragraph" w:styleId="a9">
    <w:name w:val="endnote text"/>
    <w:basedOn w:val="a"/>
    <w:link w:val="aa"/>
    <w:semiHidden/>
    <w:rsid w:val="007A5EEA"/>
    <w:pPr>
      <w:ind w:left="227" w:hanging="227"/>
    </w:pPr>
    <w:rPr>
      <w:sz w:val="14"/>
      <w:szCs w:val="22"/>
    </w:rPr>
  </w:style>
  <w:style w:type="character" w:customStyle="1" w:styleId="aa">
    <w:name w:val="טקסט הערת סיום תו"/>
    <w:basedOn w:val="a0"/>
    <w:link w:val="a9"/>
    <w:semiHidden/>
    <w:rsid w:val="00C24DBA"/>
    <w:rPr>
      <w:rFonts w:ascii="David" w:hAnsi="David" w:cs="David"/>
      <w:sz w:val="14"/>
    </w:rPr>
  </w:style>
  <w:style w:type="paragraph" w:customStyle="1" w:styleId="TableInnerSideHeading">
    <w:name w:val="Table InnerSideHeading"/>
    <w:basedOn w:val="TableSideHeading"/>
    <w:rsid w:val="007A5EEA"/>
    <w:pPr>
      <w:outlineLvl w:val="9"/>
    </w:pPr>
  </w:style>
  <w:style w:type="paragraph" w:customStyle="1" w:styleId="Hesber">
    <w:name w:val="Hesber"/>
    <w:basedOn w:val="a"/>
    <w:rsid w:val="007A5EEA"/>
    <w:pPr>
      <w:snapToGrid w:val="0"/>
      <w:ind w:left="0" w:firstLine="340"/>
    </w:pPr>
    <w:rPr>
      <w:rFonts w:ascii="Arial" w:eastAsia="Arial Unicode MS" w:hAnsi="Arial"/>
      <w:snapToGrid w:val="0"/>
      <w:sz w:val="20"/>
      <w:szCs w:val="26"/>
    </w:rPr>
  </w:style>
  <w:style w:type="paragraph" w:styleId="ab">
    <w:name w:val="footnote text"/>
    <w:aliases w:val=" Char,FOOTNOTES,Footnote Text - Sharp,Footnote Text - Sharp Char,Footnote Text - Sharp Char Char,Footnote Text Char Char Char Char Char,Footnote reference,Sharp - Footnote Text,Sharp - Footnote Text1 Char,fn,footnote text,single space"/>
    <w:basedOn w:val="a"/>
    <w:link w:val="ac"/>
    <w:autoRedefine/>
    <w:rsid w:val="007A5EEA"/>
    <w:pPr>
      <w:snapToGrid w:val="0"/>
      <w:spacing w:line="240" w:lineRule="auto"/>
      <w:ind w:left="0"/>
      <w:jc w:val="left"/>
    </w:pPr>
    <w:rPr>
      <w:rFonts w:ascii="Arial" w:eastAsia="Arial Unicode MS" w:hAnsi="Arial"/>
      <w:snapToGrid w:val="0"/>
      <w:sz w:val="14"/>
      <w:szCs w:val="20"/>
    </w:rPr>
  </w:style>
  <w:style w:type="character" w:customStyle="1" w:styleId="ac">
    <w:name w:val="טקסט הערת שוליים תו"/>
    <w:aliases w:val=" Char תו,FOOTNOTES תו,Footnote Text - Sharp תו,Footnote Text - Sharp Char תו,Footnote Text - Sharp Char Char תו,Footnote Text Char Char Char Char Char תו,Footnote reference תו,Sharp - Footnote Text תו,Sharp - Footnote Text1 Char תו"/>
    <w:basedOn w:val="a0"/>
    <w:link w:val="ab"/>
    <w:rsid w:val="007A42CD"/>
    <w:rPr>
      <w:rFonts w:ascii="Arial" w:eastAsia="Arial Unicode MS" w:hAnsi="Arial" w:cs="David"/>
      <w:snapToGrid w:val="0"/>
      <w:sz w:val="14"/>
      <w:szCs w:val="20"/>
    </w:rPr>
  </w:style>
  <w:style w:type="character" w:styleId="ad">
    <w:name w:val="footnote reference"/>
    <w:aliases w:val="מ,Footnote Reference"/>
    <w:basedOn w:val="a0"/>
    <w:rsid w:val="007A5EEA"/>
    <w:rPr>
      <w:vertAlign w:val="superscript"/>
    </w:rPr>
  </w:style>
  <w:style w:type="paragraph" w:customStyle="1" w:styleId="HesberHeading">
    <w:name w:val="Hesber Heading"/>
    <w:basedOn w:val="Hesber"/>
    <w:rsid w:val="007A5EEA"/>
    <w:pPr>
      <w:tabs>
        <w:tab w:val="left" w:pos="624"/>
        <w:tab w:val="left" w:pos="1247"/>
      </w:tabs>
    </w:pPr>
    <w:rPr>
      <w:b/>
      <w:bCs/>
    </w:rPr>
  </w:style>
  <w:style w:type="paragraph" w:customStyle="1" w:styleId="HesberWriters">
    <w:name w:val="Hesber Writers"/>
    <w:basedOn w:val="Hesber"/>
    <w:rsid w:val="007A5EEA"/>
    <w:pPr>
      <w:spacing w:before="120" w:after="120"/>
      <w:ind w:left="1418"/>
      <w:jc w:val="right"/>
    </w:pPr>
    <w:rPr>
      <w:b/>
      <w:bCs/>
    </w:rPr>
  </w:style>
  <w:style w:type="paragraph" w:customStyle="1" w:styleId="Hesber1st">
    <w:name w:val="Hesber 1st"/>
    <w:basedOn w:val="Hesber"/>
    <w:rsid w:val="007A5EEA"/>
    <w:pPr>
      <w:tabs>
        <w:tab w:val="left" w:pos="680"/>
        <w:tab w:val="left" w:pos="1020"/>
      </w:tabs>
      <w:ind w:firstLine="0"/>
    </w:pPr>
  </w:style>
  <w:style w:type="character" w:styleId="ae">
    <w:name w:val="endnote reference"/>
    <w:basedOn w:val="a0"/>
    <w:semiHidden/>
    <w:rsid w:val="007A5EEA"/>
    <w:rPr>
      <w:vertAlign w:val="superscript"/>
    </w:rPr>
  </w:style>
  <w:style w:type="paragraph" w:customStyle="1" w:styleId="TableBlockOutdent">
    <w:name w:val="Table BlockOutdent"/>
    <w:basedOn w:val="TableBlock"/>
    <w:rsid w:val="007A5EEA"/>
    <w:pPr>
      <w:ind w:left="624" w:hanging="624"/>
    </w:pPr>
  </w:style>
  <w:style w:type="paragraph" w:styleId="af">
    <w:name w:val="header"/>
    <w:basedOn w:val="a"/>
    <w:link w:val="af0"/>
    <w:rsid w:val="007A5EEA"/>
    <w:pPr>
      <w:tabs>
        <w:tab w:val="center" w:pos="4153"/>
        <w:tab w:val="right" w:pos="8306"/>
      </w:tabs>
    </w:pPr>
  </w:style>
  <w:style w:type="character" w:customStyle="1" w:styleId="af0">
    <w:name w:val="כותרת עליונה תו"/>
    <w:basedOn w:val="a0"/>
    <w:link w:val="af"/>
    <w:rsid w:val="00C24DBA"/>
    <w:rPr>
      <w:rFonts w:ascii="David" w:hAnsi="David" w:cs="David"/>
      <w:sz w:val="24"/>
      <w:szCs w:val="24"/>
    </w:rPr>
  </w:style>
  <w:style w:type="paragraph" w:styleId="af1">
    <w:name w:val="footer"/>
    <w:basedOn w:val="a"/>
    <w:link w:val="af2"/>
    <w:rsid w:val="007A5EEA"/>
    <w:pPr>
      <w:tabs>
        <w:tab w:val="center" w:pos="4153"/>
        <w:tab w:val="right" w:pos="8306"/>
      </w:tabs>
    </w:pPr>
  </w:style>
  <w:style w:type="character" w:customStyle="1" w:styleId="af2">
    <w:name w:val="כותרת תחתונה תו"/>
    <w:basedOn w:val="a0"/>
    <w:link w:val="af1"/>
    <w:rsid w:val="00C24DBA"/>
    <w:rPr>
      <w:rFonts w:ascii="David" w:hAnsi="David" w:cs="David"/>
      <w:sz w:val="24"/>
      <w:szCs w:val="24"/>
    </w:rPr>
  </w:style>
  <w:style w:type="paragraph" w:customStyle="1" w:styleId="HeadDivreiHesber">
    <w:name w:val="Head DivreiHesber"/>
    <w:basedOn w:val="a"/>
    <w:rsid w:val="007A5EEA"/>
    <w:pPr>
      <w:snapToGrid w:val="0"/>
      <w:spacing w:before="360" w:after="120"/>
      <w:jc w:val="center"/>
      <w:outlineLvl w:val="1"/>
    </w:pPr>
    <w:rPr>
      <w:rFonts w:ascii="Arial" w:eastAsia="Arial Unicode MS" w:hAnsi="Arial"/>
      <w:b/>
      <w:snapToGrid w:val="0"/>
      <w:spacing w:val="40"/>
      <w:sz w:val="20"/>
      <w:szCs w:val="26"/>
    </w:rPr>
  </w:style>
  <w:style w:type="character" w:styleId="af3">
    <w:name w:val="page number"/>
    <w:basedOn w:val="a0"/>
    <w:rsid w:val="007A5EEA"/>
  </w:style>
  <w:style w:type="paragraph" w:customStyle="1" w:styleId="Cover1-Reshumot">
    <w:name w:val="Cover 1-Reshumot"/>
    <w:basedOn w:val="a"/>
    <w:rsid w:val="007A5EE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A5EEA"/>
    <w:rPr>
      <w:sz w:val="36"/>
      <w:szCs w:val="52"/>
    </w:rPr>
  </w:style>
  <w:style w:type="paragraph" w:customStyle="1" w:styleId="Cover3-Haknesset">
    <w:name w:val="Cover 3-Haknesset"/>
    <w:basedOn w:val="Cover1-Reshumot"/>
    <w:rsid w:val="007A5EEA"/>
    <w:rPr>
      <w:b/>
      <w:bCs/>
      <w:spacing w:val="60"/>
    </w:rPr>
  </w:style>
  <w:style w:type="paragraph" w:customStyle="1" w:styleId="Cover4-Date">
    <w:name w:val="Cover 4-Date"/>
    <w:basedOn w:val="a"/>
    <w:rsid w:val="007A5EE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7A5EEA"/>
    <w:pPr>
      <w:snapToGrid w:val="0"/>
      <w:jc w:val="left"/>
    </w:pPr>
    <w:rPr>
      <w:rFonts w:ascii="Arial" w:eastAsia="Arial Unicode MS" w:hAnsi="Arial"/>
      <w:snapToGrid w:val="0"/>
      <w:sz w:val="20"/>
      <w:szCs w:val="26"/>
    </w:rPr>
  </w:style>
  <w:style w:type="character" w:styleId="Hyperlink">
    <w:name w:val="Hyperlink"/>
    <w:basedOn w:val="a0"/>
    <w:uiPriority w:val="99"/>
    <w:unhideWhenUsed/>
    <w:rsid w:val="007A5EEA"/>
    <w:rPr>
      <w:color w:val="0000FF" w:themeColor="hyperlink"/>
      <w:u w:val="single"/>
    </w:rPr>
  </w:style>
  <w:style w:type="paragraph" w:styleId="TOC8">
    <w:name w:val="toc 8"/>
    <w:basedOn w:val="a"/>
    <w:next w:val="a"/>
    <w:autoRedefine/>
    <w:semiHidden/>
    <w:unhideWhenUsed/>
    <w:rsid w:val="007A5EEA"/>
    <w:pPr>
      <w:spacing w:after="100"/>
      <w:ind w:left="1190"/>
    </w:pPr>
  </w:style>
  <w:style w:type="paragraph" w:styleId="TOC9">
    <w:name w:val="toc 9"/>
    <w:basedOn w:val="a"/>
    <w:next w:val="a"/>
    <w:autoRedefine/>
    <w:semiHidden/>
    <w:unhideWhenUsed/>
    <w:rsid w:val="007A5EEA"/>
    <w:pPr>
      <w:spacing w:after="100"/>
      <w:ind w:left="1360"/>
    </w:pPr>
  </w:style>
  <w:style w:type="paragraph" w:customStyle="1" w:styleId="TableHead2">
    <w:name w:val="Table Head2"/>
    <w:basedOn w:val="TableHead"/>
    <w:qFormat/>
    <w:rsid w:val="007A5EEA"/>
    <w:pPr>
      <w:outlineLvl w:val="9"/>
    </w:pPr>
  </w:style>
  <w:style w:type="paragraph" w:customStyle="1" w:styleId="TableSideHeading2">
    <w:name w:val="Table SideHeading2"/>
    <w:basedOn w:val="TableSideHeading"/>
    <w:autoRedefine/>
    <w:qFormat/>
    <w:rsid w:val="007A5EEA"/>
    <w:pPr>
      <w:keepLines w:val="0"/>
      <w:outlineLvl w:val="9"/>
    </w:pPr>
  </w:style>
  <w:style w:type="paragraph" w:customStyle="1" w:styleId="0">
    <w:name w:val="סגנון שורה ראשונה:  0  ס''מ"/>
    <w:basedOn w:val="2"/>
    <w:rsid w:val="007A5EEA"/>
    <w:rPr>
      <w:rFonts w:eastAsia="Times New Roman"/>
    </w:rPr>
  </w:style>
  <w:style w:type="table" w:styleId="af4">
    <w:name w:val="Table Grid"/>
    <w:basedOn w:val="a1"/>
    <w:rsid w:val="007A5EEA"/>
    <w:pPr>
      <w:spacing w:before="0"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A5EEA"/>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A5EEA"/>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5">
    <w:name w:val="טבלת חקיקה"/>
    <w:basedOn w:val="a1"/>
    <w:uiPriority w:val="99"/>
    <w:rsid w:val="007A5EEA"/>
    <w:pPr>
      <w:spacing w:before="0"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A5EEA"/>
    <w:pPr>
      <w:spacing w:before="0"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customStyle="1" w:styleId="default">
    <w:name w:val="default"/>
    <w:rsid w:val="00FD3D84"/>
    <w:rPr>
      <w:rFonts w:ascii="Times New Roman" w:hAnsi="Times New Roman" w:cs="Times New Roman"/>
      <w:sz w:val="26"/>
      <w:szCs w:val="26"/>
    </w:rPr>
  </w:style>
  <w:style w:type="character" w:styleId="af6">
    <w:name w:val="annotation reference"/>
    <w:uiPriority w:val="99"/>
    <w:rsid w:val="00600DAE"/>
    <w:rPr>
      <w:sz w:val="16"/>
      <w:szCs w:val="16"/>
    </w:rPr>
  </w:style>
  <w:style w:type="paragraph" w:styleId="af7">
    <w:name w:val="annotation text"/>
    <w:basedOn w:val="a"/>
    <w:link w:val="af8"/>
    <w:uiPriority w:val="99"/>
    <w:rsid w:val="00600DAE"/>
    <w:pPr>
      <w:widowControl/>
      <w:spacing w:line="240" w:lineRule="auto"/>
      <w:jc w:val="left"/>
    </w:pPr>
    <w:rPr>
      <w:rFonts w:ascii="Times New Roman" w:eastAsia="Times New Roman" w:hAnsi="Times New Roman" w:cs="Times New Roman"/>
      <w:sz w:val="20"/>
      <w:szCs w:val="20"/>
      <w:lang w:eastAsia="he-IL"/>
    </w:rPr>
  </w:style>
  <w:style w:type="character" w:customStyle="1" w:styleId="af8">
    <w:name w:val="טקסט הערה תו"/>
    <w:basedOn w:val="a0"/>
    <w:link w:val="af7"/>
    <w:uiPriority w:val="99"/>
    <w:rsid w:val="00600DAE"/>
    <w:rPr>
      <w:rFonts w:ascii="Times New Roman" w:eastAsia="Times New Roman" w:hAnsi="Times New Roman" w:cs="Times New Roman"/>
      <w:sz w:val="20"/>
      <w:szCs w:val="20"/>
      <w:lang w:eastAsia="he-IL"/>
    </w:rPr>
  </w:style>
  <w:style w:type="paragraph" w:styleId="af9">
    <w:name w:val="Balloon Text"/>
    <w:basedOn w:val="a"/>
    <w:link w:val="afa"/>
    <w:uiPriority w:val="99"/>
    <w:semiHidden/>
    <w:unhideWhenUsed/>
    <w:rsid w:val="00600DAE"/>
    <w:pPr>
      <w:spacing w:line="240" w:lineRule="auto"/>
    </w:pPr>
    <w:rPr>
      <w:rFonts w:ascii="Tahoma" w:hAnsi="Tahoma" w:cs="Tahoma"/>
      <w:sz w:val="18"/>
      <w:szCs w:val="18"/>
    </w:rPr>
  </w:style>
  <w:style w:type="character" w:customStyle="1" w:styleId="afa">
    <w:name w:val="טקסט בלונים תו"/>
    <w:basedOn w:val="a0"/>
    <w:link w:val="af9"/>
    <w:uiPriority w:val="99"/>
    <w:semiHidden/>
    <w:rsid w:val="00600DAE"/>
    <w:rPr>
      <w:rFonts w:ascii="Tahoma" w:eastAsia="MS Mincho" w:hAnsi="Tahoma" w:cs="Tahoma"/>
      <w:color w:val="000000"/>
      <w:spacing w:val="1"/>
      <w:sz w:val="18"/>
      <w:szCs w:val="18"/>
      <w:lang w:eastAsia="ja-JP"/>
    </w:rPr>
  </w:style>
  <w:style w:type="paragraph" w:styleId="afb">
    <w:name w:val="annotation subject"/>
    <w:basedOn w:val="af7"/>
    <w:next w:val="af7"/>
    <w:link w:val="afc"/>
    <w:uiPriority w:val="99"/>
    <w:semiHidden/>
    <w:unhideWhenUsed/>
    <w:rsid w:val="00353C13"/>
    <w:pPr>
      <w:widowControl w:val="0"/>
      <w:autoSpaceDE w:val="0"/>
      <w:autoSpaceDN w:val="0"/>
      <w:adjustRightInd w:val="0"/>
      <w:spacing w:before="102"/>
      <w:ind w:firstLine="340"/>
      <w:jc w:val="both"/>
      <w:textAlignment w:val="center"/>
    </w:pPr>
    <w:rPr>
      <w:rFonts w:ascii="Hadasa Roso SL" w:eastAsia="MS Mincho" w:hAnsi="Hadasa Roso SL" w:cs="Hadasa Roso SL"/>
      <w:b/>
      <w:bCs/>
      <w:color w:val="000000"/>
      <w:spacing w:val="1"/>
      <w:lang w:eastAsia="ja-JP"/>
    </w:rPr>
  </w:style>
  <w:style w:type="character" w:customStyle="1" w:styleId="afc">
    <w:name w:val="נושא הערה תו"/>
    <w:basedOn w:val="af8"/>
    <w:link w:val="afb"/>
    <w:uiPriority w:val="99"/>
    <w:semiHidden/>
    <w:rsid w:val="00353C13"/>
    <w:rPr>
      <w:rFonts w:ascii="Hadasa Roso SL" w:eastAsia="MS Mincho" w:hAnsi="Hadasa Roso SL" w:cs="Hadasa Roso SL"/>
      <w:b/>
      <w:bCs/>
      <w:color w:val="000000"/>
      <w:spacing w:val="1"/>
      <w:sz w:val="20"/>
      <w:szCs w:val="20"/>
      <w:lang w:eastAsia="ja-JP"/>
    </w:rPr>
  </w:style>
  <w:style w:type="paragraph" w:customStyle="1" w:styleId="P00">
    <w:name w:val="P00"/>
    <w:rsid w:val="00FB4A8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styleId="afd">
    <w:name w:val="Revision"/>
    <w:hidden/>
    <w:uiPriority w:val="99"/>
    <w:semiHidden/>
    <w:rsid w:val="00596540"/>
    <w:pPr>
      <w:spacing w:before="0" w:after="0" w:line="240" w:lineRule="auto"/>
    </w:pPr>
    <w:rPr>
      <w:rFonts w:ascii="Hadasa Roso SL" w:eastAsia="MS Mincho" w:hAnsi="Hadasa Roso SL" w:cs="Hadasa Roso SL"/>
      <w:color w:val="000000"/>
      <w:spacing w:val="1"/>
      <w:sz w:val="17"/>
      <w:szCs w:val="17"/>
      <w:lang w:eastAsia="ja-JP"/>
    </w:rPr>
  </w:style>
  <w:style w:type="character" w:customStyle="1" w:styleId="a8">
    <w:name w:val="פיסקת רשימה תו"/>
    <w:basedOn w:val="a0"/>
    <w:link w:val="a7"/>
    <w:uiPriority w:val="34"/>
    <w:locked/>
    <w:rsid w:val="006F7218"/>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93530">
      <w:bodyDiv w:val="1"/>
      <w:marLeft w:val="0"/>
      <w:marRight w:val="0"/>
      <w:marTop w:val="0"/>
      <w:marBottom w:val="0"/>
      <w:divBdr>
        <w:top w:val="none" w:sz="0" w:space="0" w:color="auto"/>
        <w:left w:val="none" w:sz="0" w:space="0" w:color="auto"/>
        <w:bottom w:val="none" w:sz="0" w:space="0" w:color="auto"/>
        <w:right w:val="none" w:sz="0" w:space="0" w:color="auto"/>
      </w:divBdr>
    </w:div>
    <w:div w:id="1684818336">
      <w:bodyDiv w:val="1"/>
      <w:marLeft w:val="0"/>
      <w:marRight w:val="0"/>
      <w:marTop w:val="0"/>
      <w:marBottom w:val="0"/>
      <w:divBdr>
        <w:top w:val="none" w:sz="0" w:space="0" w:color="auto"/>
        <w:left w:val="none" w:sz="0" w:space="0" w:color="auto"/>
        <w:bottom w:val="none" w:sz="0" w:space="0" w:color="auto"/>
        <w:right w:val="none" w:sz="0" w:space="0" w:color="auto"/>
      </w:divBdr>
    </w:div>
    <w:div w:id="19953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F65A-6355-49D5-8D90-B4257EAE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5367</Words>
  <Characters>26839</Characters>
  <Application>Microsoft Office Word</Application>
  <DocSecurity>0</DocSecurity>
  <Lines>223</Lines>
  <Paragraphs>64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אביגיל ונקרט</dc:creator>
  <cp:keywords/>
  <dc:description/>
  <cp:lastModifiedBy>אביטל שוקרון</cp:lastModifiedBy>
  <cp:revision>2</cp:revision>
  <cp:lastPrinted>2022-03-27T08:34:00Z</cp:lastPrinted>
  <dcterms:created xsi:type="dcterms:W3CDTF">2022-04-10T13:56:00Z</dcterms:created>
  <dcterms:modified xsi:type="dcterms:W3CDTF">2022-04-10T13:56:00Z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notes://MAOR2/Doc/Shuk_hon/HonMishpatitdoc.nsf/0/438A48AD3BEAF4BAC22587FA00359B42/?OpenDocument</vt:lpwstr>
  </property>
  <property fmtid="{D5CDD505-2E9C-101B-9397-08002B2CF9AE}" pid="3" name="MaorRecipients0">
    <vt:lpwstr>avitals@mof.gov.il</vt:lpwstr>
  </property>
</Properties>
</file>