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81301" w14:textId="104F6D48" w:rsidR="00682682" w:rsidRDefault="00ED5E1A" w:rsidP="00D26614">
      <w:pPr>
        <w:spacing w:line="360" w:lineRule="auto"/>
        <w:ind w:left="7371" w:firstLine="0"/>
        <w:rPr>
          <w:sz w:val="24"/>
          <w:szCs w:val="24"/>
          <w:rtl/>
        </w:rPr>
      </w:pPr>
      <w:r>
        <w:rPr>
          <w:rFonts w:hint="eastAsia"/>
          <w:sz w:val="24"/>
          <w:szCs w:val="24"/>
          <w:rtl/>
        </w:rPr>
        <w:t>‏כ</w:t>
      </w:r>
      <w:r>
        <w:rPr>
          <w:sz w:val="24"/>
          <w:szCs w:val="24"/>
          <w:rtl/>
        </w:rPr>
        <w:t>"</w:t>
      </w:r>
      <w:r w:rsidR="00D26614">
        <w:rPr>
          <w:rFonts w:hint="cs"/>
          <w:sz w:val="24"/>
          <w:szCs w:val="24"/>
          <w:rtl/>
        </w:rPr>
        <w:t>ה</w:t>
      </w:r>
      <w:r>
        <w:rPr>
          <w:sz w:val="24"/>
          <w:szCs w:val="24"/>
          <w:rtl/>
        </w:rPr>
        <w:t xml:space="preserve"> אב </w:t>
      </w:r>
      <w:proofErr w:type="spellStart"/>
      <w:r>
        <w:rPr>
          <w:rFonts w:hint="cs"/>
          <w:sz w:val="24"/>
          <w:szCs w:val="24"/>
          <w:rtl/>
        </w:rPr>
        <w:t>ה</w:t>
      </w:r>
      <w:r>
        <w:rPr>
          <w:sz w:val="24"/>
          <w:szCs w:val="24"/>
          <w:rtl/>
        </w:rPr>
        <w:t>תשפ"א</w:t>
      </w:r>
      <w:proofErr w:type="spellEnd"/>
      <w:r w:rsidR="00682682">
        <w:rPr>
          <w:sz w:val="24"/>
          <w:szCs w:val="24"/>
          <w:rtl/>
        </w:rPr>
        <w:br/>
      </w:r>
      <w:r>
        <w:rPr>
          <w:rFonts w:hint="eastAsia"/>
          <w:sz w:val="24"/>
          <w:szCs w:val="24"/>
          <w:rtl/>
        </w:rPr>
        <w:t>‏</w:t>
      </w:r>
      <w:r w:rsidR="00D26614">
        <w:rPr>
          <w:rFonts w:hint="cs"/>
          <w:sz w:val="24"/>
          <w:szCs w:val="24"/>
          <w:rtl/>
        </w:rPr>
        <w:t>03</w:t>
      </w:r>
      <w:r>
        <w:rPr>
          <w:sz w:val="24"/>
          <w:szCs w:val="24"/>
          <w:rtl/>
        </w:rPr>
        <w:t xml:space="preserve"> אוגוסט 2021</w:t>
      </w:r>
    </w:p>
    <w:p w14:paraId="1E2E0447" w14:textId="77777777" w:rsidR="00682682" w:rsidRDefault="00682682" w:rsidP="00EE66CE">
      <w:pPr>
        <w:spacing w:line="360" w:lineRule="auto"/>
        <w:ind w:firstLine="0"/>
        <w:rPr>
          <w:sz w:val="24"/>
          <w:szCs w:val="24"/>
          <w:rtl/>
        </w:rPr>
      </w:pPr>
      <w:bookmarkStart w:id="0" w:name="DocNum"/>
      <w:bookmarkStart w:id="1" w:name="MainToEl"/>
      <w:bookmarkEnd w:id="0"/>
      <w:bookmarkEnd w:id="1"/>
    </w:p>
    <w:p w14:paraId="6666D575" w14:textId="77777777" w:rsidR="000E472F" w:rsidRPr="00EE66CE" w:rsidRDefault="00682682" w:rsidP="006F0F25">
      <w:pPr>
        <w:pStyle w:val="1"/>
        <w:spacing w:line="360" w:lineRule="auto"/>
        <w:ind w:left="0" w:firstLine="0"/>
        <w:rPr>
          <w:rtl/>
        </w:rPr>
      </w:pPr>
      <w:bookmarkStart w:id="2" w:name="About"/>
      <w:bookmarkEnd w:id="2"/>
      <w:r>
        <w:rPr>
          <w:rFonts w:hint="eastAsia"/>
          <w:rtl/>
        </w:rPr>
        <w:t>נייר</w:t>
      </w:r>
      <w:r>
        <w:rPr>
          <w:rtl/>
        </w:rPr>
        <w:t xml:space="preserve"> התייעצות </w:t>
      </w:r>
      <w:r w:rsidR="00CB119A">
        <w:rPr>
          <w:rtl/>
        </w:rPr>
        <w:t>–</w:t>
      </w:r>
      <w:r>
        <w:rPr>
          <w:rtl/>
        </w:rPr>
        <w:t xml:space="preserve"> פטור מחובת</w:t>
      </w:r>
      <w:r w:rsidR="000E472F">
        <w:rPr>
          <w:rtl/>
        </w:rPr>
        <w:t xml:space="preserve"> רישוי</w:t>
      </w:r>
      <w:r w:rsidR="003A2103" w:rsidDel="003A2103">
        <w:rPr>
          <w:rtl/>
        </w:rPr>
        <w:t xml:space="preserve">  </w:t>
      </w:r>
    </w:p>
    <w:p w14:paraId="1217D627" w14:textId="77777777" w:rsidR="0035189E" w:rsidRDefault="0035189E" w:rsidP="006F0F25">
      <w:pPr>
        <w:pStyle w:val="1"/>
        <w:spacing w:line="360" w:lineRule="auto"/>
        <w:ind w:left="0" w:firstLine="0"/>
        <w:jc w:val="both"/>
        <w:rPr>
          <w:b w:val="0"/>
          <w:bCs w:val="0"/>
          <w:u w:val="none"/>
          <w:rtl/>
        </w:rPr>
      </w:pPr>
    </w:p>
    <w:p w14:paraId="377F582E" w14:textId="1F81A4ED" w:rsidR="00E16DC0" w:rsidRDefault="000E472F" w:rsidP="00886B32">
      <w:pPr>
        <w:pStyle w:val="1"/>
        <w:spacing w:line="360" w:lineRule="auto"/>
        <w:ind w:left="0" w:firstLine="0"/>
        <w:jc w:val="both"/>
        <w:rPr>
          <w:rtl/>
        </w:rPr>
      </w:pPr>
      <w:r>
        <w:rPr>
          <w:rFonts w:hint="cs"/>
          <w:b w:val="0"/>
          <w:bCs w:val="0"/>
          <w:u w:val="none"/>
          <w:rtl/>
        </w:rPr>
        <w:t>תקנות הפיקוח על שירותים פיננסיי</w:t>
      </w:r>
      <w:r w:rsidR="00E16DC0">
        <w:rPr>
          <w:rFonts w:hint="cs"/>
          <w:b w:val="0"/>
          <w:bCs w:val="0"/>
          <w:u w:val="none"/>
          <w:rtl/>
        </w:rPr>
        <w:t>ם</w:t>
      </w:r>
      <w:r w:rsidR="00E16DC0" w:rsidRPr="004F466C">
        <w:rPr>
          <w:rFonts w:ascii="David" w:hAnsi="David"/>
          <w:b w:val="0"/>
          <w:bCs w:val="0"/>
          <w:u w:val="none"/>
          <w:rtl/>
        </w:rPr>
        <w:t xml:space="preserve"> (שירותים פיננסיים מוסדרים) (פטור מחובת רישוי) (הוראת שעה), </w:t>
      </w:r>
      <w:r w:rsidR="00E16DC0" w:rsidRPr="004F466C">
        <w:rPr>
          <w:rFonts w:ascii="David" w:hAnsi="David" w:hint="eastAsia"/>
          <w:b w:val="0"/>
          <w:bCs w:val="0"/>
          <w:u w:val="none"/>
          <w:rtl/>
        </w:rPr>
        <w:t>ה</w:t>
      </w:r>
      <w:r w:rsidR="00E16DC0" w:rsidRPr="004F466C">
        <w:rPr>
          <w:rFonts w:ascii="David" w:hAnsi="David"/>
          <w:b w:val="0"/>
          <w:bCs w:val="0"/>
          <w:u w:val="none"/>
          <w:rtl/>
        </w:rPr>
        <w:t>תשע"ט-2018</w:t>
      </w:r>
      <w:r w:rsidR="00E16DC0" w:rsidRPr="004F466C">
        <w:rPr>
          <w:u w:val="none"/>
          <w:rtl/>
        </w:rPr>
        <w:t xml:space="preserve"> </w:t>
      </w:r>
      <w:r w:rsidR="00E16DC0" w:rsidRPr="004F466C">
        <w:rPr>
          <w:b w:val="0"/>
          <w:bCs w:val="0"/>
          <w:u w:val="none"/>
          <w:rtl/>
        </w:rPr>
        <w:t>(</w:t>
      </w:r>
      <w:r w:rsidR="00E16DC0" w:rsidRPr="004F466C">
        <w:rPr>
          <w:rFonts w:hint="eastAsia"/>
          <w:b w:val="0"/>
          <w:bCs w:val="0"/>
          <w:u w:val="none"/>
          <w:rtl/>
        </w:rPr>
        <w:t>להלן</w:t>
      </w:r>
      <w:r w:rsidR="00E16DC0" w:rsidRPr="004F466C">
        <w:rPr>
          <w:b w:val="0"/>
          <w:bCs w:val="0"/>
          <w:u w:val="none"/>
          <w:rtl/>
        </w:rPr>
        <w:t>: "</w:t>
      </w:r>
      <w:r w:rsidR="00E16DC0" w:rsidRPr="004F466C">
        <w:rPr>
          <w:rFonts w:hint="eastAsia"/>
          <w:u w:val="none"/>
          <w:rtl/>
        </w:rPr>
        <w:t>תקנות</w:t>
      </w:r>
      <w:r w:rsidR="00E16DC0" w:rsidRPr="004F466C">
        <w:rPr>
          <w:u w:val="none"/>
          <w:rtl/>
        </w:rPr>
        <w:t xml:space="preserve"> </w:t>
      </w:r>
      <w:r w:rsidR="00E16DC0" w:rsidRPr="004F466C">
        <w:rPr>
          <w:rFonts w:hint="eastAsia"/>
          <w:u w:val="none"/>
          <w:rtl/>
        </w:rPr>
        <w:t>הפטור</w:t>
      </w:r>
      <w:r w:rsidR="00E16DC0">
        <w:rPr>
          <w:rFonts w:hint="cs"/>
          <w:b w:val="0"/>
          <w:bCs w:val="0"/>
          <w:u w:val="none"/>
          <w:rtl/>
        </w:rPr>
        <w:t>") פורסמו לראשונה ביום 3 באוקטובר 2018 והעניקו פטור מחובת רי</w:t>
      </w:r>
      <w:bookmarkStart w:id="3" w:name="_GoBack"/>
      <w:bookmarkEnd w:id="3"/>
      <w:r w:rsidR="00E16DC0">
        <w:rPr>
          <w:rFonts w:hint="cs"/>
          <w:b w:val="0"/>
          <w:bCs w:val="0"/>
          <w:u w:val="none"/>
          <w:rtl/>
        </w:rPr>
        <w:t>שוי ל</w:t>
      </w:r>
      <w:r w:rsidR="00FF0DAE">
        <w:rPr>
          <w:rFonts w:hint="cs"/>
          <w:b w:val="0"/>
          <w:bCs w:val="0"/>
          <w:u w:val="none"/>
          <w:rtl/>
        </w:rPr>
        <w:t>סוגים מסו</w:t>
      </w:r>
      <w:r w:rsidR="00E16DC0">
        <w:rPr>
          <w:rFonts w:hint="cs"/>
          <w:b w:val="0"/>
          <w:bCs w:val="0"/>
          <w:u w:val="none"/>
          <w:rtl/>
        </w:rPr>
        <w:t>ימים של פעילויות בתחום השירותים הפיננסיים המוסדרים. כעת, בחלוף למע</w:t>
      </w:r>
      <w:r w:rsidR="00FF0DAE">
        <w:rPr>
          <w:rFonts w:hint="cs"/>
          <w:b w:val="0"/>
          <w:bCs w:val="0"/>
          <w:u w:val="none"/>
          <w:rtl/>
        </w:rPr>
        <w:t>לה משנתיים מיישומן של תקנות אלה</w:t>
      </w:r>
      <w:r w:rsidR="00E16DC0">
        <w:rPr>
          <w:rFonts w:hint="cs"/>
          <w:b w:val="0"/>
          <w:bCs w:val="0"/>
          <w:u w:val="none"/>
          <w:rtl/>
        </w:rPr>
        <w:t xml:space="preserve"> ונוכח ההתפתחויות הרבות שאירעו בשווקים הרלוונטיים בתקופה החולפת, </w:t>
      </w:r>
      <w:r w:rsidR="00FF0DAE">
        <w:rPr>
          <w:rFonts w:hint="cs"/>
          <w:b w:val="0"/>
          <w:bCs w:val="0"/>
          <w:u w:val="none"/>
          <w:rtl/>
        </w:rPr>
        <w:t xml:space="preserve">ונוכח כוונתה של </w:t>
      </w:r>
      <w:r w:rsidR="00E16DC0">
        <w:rPr>
          <w:rFonts w:hint="cs"/>
          <w:b w:val="0"/>
          <w:bCs w:val="0"/>
          <w:u w:val="none"/>
          <w:rtl/>
        </w:rPr>
        <w:t xml:space="preserve">רשות שוק ההון, ביטוח וחיסכון (להלן: </w:t>
      </w:r>
      <w:r w:rsidR="00E16DC0" w:rsidRPr="00DA6801">
        <w:rPr>
          <w:rFonts w:hint="cs"/>
          <w:b w:val="0"/>
          <w:bCs w:val="0"/>
          <w:u w:val="none"/>
          <w:rtl/>
        </w:rPr>
        <w:t>"</w:t>
      </w:r>
      <w:r w:rsidR="00E16DC0" w:rsidRPr="009B7FF8">
        <w:rPr>
          <w:rFonts w:hint="cs"/>
          <w:u w:val="none"/>
          <w:rtl/>
        </w:rPr>
        <w:t>הרשות</w:t>
      </w:r>
      <w:r w:rsidR="00E16DC0" w:rsidRPr="00DA6801">
        <w:rPr>
          <w:rFonts w:hint="cs"/>
          <w:b w:val="0"/>
          <w:bCs w:val="0"/>
          <w:u w:val="none"/>
          <w:rtl/>
        </w:rPr>
        <w:t>"</w:t>
      </w:r>
      <w:r w:rsidR="00E16DC0">
        <w:rPr>
          <w:rFonts w:hint="cs"/>
          <w:b w:val="0"/>
          <w:bCs w:val="0"/>
          <w:u w:val="none"/>
          <w:rtl/>
        </w:rPr>
        <w:t xml:space="preserve">) </w:t>
      </w:r>
      <w:r w:rsidR="00FF0DAE">
        <w:rPr>
          <w:rFonts w:hint="cs"/>
          <w:b w:val="0"/>
          <w:bCs w:val="0"/>
          <w:u w:val="none"/>
          <w:rtl/>
        </w:rPr>
        <w:t xml:space="preserve">להפוך את הוראת השעה להוראת קבע, </w:t>
      </w:r>
      <w:r w:rsidR="00E16DC0">
        <w:rPr>
          <w:rFonts w:hint="cs"/>
          <w:b w:val="0"/>
          <w:bCs w:val="0"/>
          <w:u w:val="none"/>
          <w:rtl/>
        </w:rPr>
        <w:t>פונה</w:t>
      </w:r>
      <w:r w:rsidR="00E16DC0" w:rsidRPr="00E247F0">
        <w:rPr>
          <w:b w:val="0"/>
          <w:bCs w:val="0"/>
          <w:u w:val="none"/>
          <w:rtl/>
        </w:rPr>
        <w:t xml:space="preserve"> </w:t>
      </w:r>
      <w:r w:rsidR="00FF0DAE">
        <w:rPr>
          <w:rFonts w:hint="cs"/>
          <w:b w:val="0"/>
          <w:bCs w:val="0"/>
          <w:u w:val="none"/>
          <w:rtl/>
        </w:rPr>
        <w:t xml:space="preserve">הרשות </w:t>
      </w:r>
      <w:r w:rsidR="00E16DC0" w:rsidRPr="00E247F0">
        <w:rPr>
          <w:b w:val="0"/>
          <w:bCs w:val="0"/>
          <w:u w:val="none"/>
          <w:rtl/>
        </w:rPr>
        <w:t>לצי</w:t>
      </w:r>
      <w:r w:rsidR="00E16DC0">
        <w:rPr>
          <w:b w:val="0"/>
          <w:bCs w:val="0"/>
          <w:u w:val="none"/>
          <w:rtl/>
        </w:rPr>
        <w:t xml:space="preserve">בור בבקשה לקבלת התייחסות לצורך </w:t>
      </w:r>
      <w:r w:rsidR="00E16DC0">
        <w:rPr>
          <w:rFonts w:hint="cs"/>
          <w:b w:val="0"/>
          <w:bCs w:val="0"/>
          <w:u w:val="none"/>
          <w:rtl/>
        </w:rPr>
        <w:t>בעדכון ותיקון תקנות אלה.</w:t>
      </w:r>
    </w:p>
    <w:p w14:paraId="2B66B787" w14:textId="77777777" w:rsidR="00E16DC0" w:rsidRPr="008605C9" w:rsidRDefault="00E16DC0" w:rsidP="00081FFA">
      <w:pPr>
        <w:rPr>
          <w:rtl/>
        </w:rPr>
      </w:pPr>
    </w:p>
    <w:p w14:paraId="1E9B6F37" w14:textId="77777777" w:rsidR="000B7D4A" w:rsidRDefault="000B7D4A" w:rsidP="00EE66CE">
      <w:pPr>
        <w:pStyle w:val="a7"/>
        <w:numPr>
          <w:ilvl w:val="0"/>
          <w:numId w:val="8"/>
        </w:numPr>
        <w:spacing w:before="0" w:after="0"/>
        <w:ind w:left="282" w:hanging="282"/>
        <w:rPr>
          <w:b/>
          <w:bCs/>
        </w:rPr>
      </w:pPr>
      <w:r w:rsidRPr="000B7D4A">
        <w:rPr>
          <w:rFonts w:hint="cs"/>
          <w:b/>
          <w:bCs/>
          <w:rtl/>
        </w:rPr>
        <w:t>רקע</w:t>
      </w:r>
    </w:p>
    <w:p w14:paraId="4C065B29" w14:textId="77777777" w:rsidR="00682682" w:rsidRPr="00A144D3" w:rsidRDefault="00682682" w:rsidP="008605C9">
      <w:pPr>
        <w:pStyle w:val="1"/>
        <w:spacing w:line="360" w:lineRule="auto"/>
        <w:ind w:left="282" w:firstLine="0"/>
        <w:jc w:val="both"/>
        <w:rPr>
          <w:rFonts w:ascii="David" w:hAnsi="David"/>
          <w:b w:val="0"/>
          <w:bCs w:val="0"/>
          <w:u w:val="none"/>
          <w:rtl/>
        </w:rPr>
      </w:pPr>
      <w:r w:rsidRPr="00A144D3">
        <w:rPr>
          <w:rFonts w:ascii="David" w:hAnsi="David"/>
          <w:b w:val="0"/>
          <w:bCs w:val="0"/>
          <w:u w:val="none"/>
          <w:rtl/>
        </w:rPr>
        <w:t xml:space="preserve">סעיף 12 לחוק הפיקוח על שירותים פיננסיים (שירותים פיננסיים מוסדרים), </w:t>
      </w:r>
      <w:r w:rsidR="008C7460">
        <w:rPr>
          <w:rFonts w:ascii="David" w:hAnsi="David" w:hint="cs"/>
          <w:b w:val="0"/>
          <w:bCs w:val="0"/>
          <w:u w:val="none"/>
          <w:rtl/>
        </w:rPr>
        <w:t>ה</w:t>
      </w:r>
      <w:r w:rsidRPr="00A144D3">
        <w:rPr>
          <w:rFonts w:ascii="David" w:hAnsi="David"/>
          <w:b w:val="0"/>
          <w:bCs w:val="0"/>
          <w:u w:val="none"/>
          <w:rtl/>
        </w:rPr>
        <w:t>תשע"ו-2016</w:t>
      </w:r>
      <w:r w:rsidR="0041173C" w:rsidRPr="00A144D3">
        <w:rPr>
          <w:rFonts w:ascii="David" w:hAnsi="David"/>
          <w:b w:val="0"/>
          <w:bCs w:val="0"/>
          <w:u w:val="none"/>
          <w:rtl/>
        </w:rPr>
        <w:t xml:space="preserve"> (להלן: "</w:t>
      </w:r>
      <w:r w:rsidR="0041173C" w:rsidRPr="00A144D3">
        <w:rPr>
          <w:rFonts w:ascii="David" w:hAnsi="David"/>
          <w:u w:val="none"/>
          <w:rtl/>
        </w:rPr>
        <w:t>החוק</w:t>
      </w:r>
      <w:r w:rsidR="0041173C" w:rsidRPr="00A144D3">
        <w:rPr>
          <w:rFonts w:ascii="David" w:hAnsi="David"/>
          <w:b w:val="0"/>
          <w:bCs w:val="0"/>
          <w:u w:val="none"/>
          <w:rtl/>
        </w:rPr>
        <w:t>")</w:t>
      </w:r>
      <w:r w:rsidRPr="00A144D3">
        <w:rPr>
          <w:rFonts w:ascii="David" w:hAnsi="David"/>
          <w:b w:val="0"/>
          <w:bCs w:val="0"/>
          <w:u w:val="none"/>
          <w:rtl/>
        </w:rPr>
        <w:t xml:space="preserve"> קובע כי </w:t>
      </w:r>
      <w:r w:rsidRPr="00A144D3">
        <w:rPr>
          <w:rFonts w:ascii="David" w:hAnsi="David"/>
          <w:b w:val="0"/>
          <w:bCs w:val="0"/>
          <w:i/>
          <w:iCs/>
          <w:u w:val="none"/>
        </w:rPr>
        <w:t>"</w:t>
      </w:r>
      <w:r w:rsidRPr="00A144D3">
        <w:rPr>
          <w:rFonts w:ascii="David" w:hAnsi="David"/>
          <w:b w:val="0"/>
          <w:bCs w:val="0"/>
          <w:i/>
          <w:iCs/>
          <w:u w:val="none"/>
          <w:rtl/>
        </w:rPr>
        <w:t>לא יעסוק אדם במתן שירות בנכס פיננסי או במתן אשראי אלא אם כן בידו רישיון למתן שירות בנכס פיננסי או רישיון למתן אשראי, לפי העניין, ובהתאם לתנאי הרישיון</w:t>
      </w:r>
      <w:r w:rsidRPr="00A144D3">
        <w:rPr>
          <w:rFonts w:ascii="David" w:hAnsi="David"/>
          <w:b w:val="0"/>
          <w:bCs w:val="0"/>
          <w:u w:val="none"/>
          <w:rtl/>
        </w:rPr>
        <w:t>"</w:t>
      </w:r>
      <w:r w:rsidR="000E472F" w:rsidRPr="00A144D3">
        <w:rPr>
          <w:rFonts w:ascii="David" w:hAnsi="David"/>
          <w:b w:val="0"/>
          <w:bCs w:val="0"/>
          <w:u w:val="none"/>
          <w:rtl/>
        </w:rPr>
        <w:t>.</w:t>
      </w:r>
      <w:r w:rsidR="00DF09A5" w:rsidRPr="00A144D3">
        <w:rPr>
          <w:rFonts w:ascii="David" w:hAnsi="David"/>
          <w:b w:val="0"/>
          <w:bCs w:val="0"/>
          <w:u w:val="none"/>
          <w:rtl/>
        </w:rPr>
        <w:t xml:space="preserve"> </w:t>
      </w:r>
      <w:r w:rsidR="008C7460">
        <w:rPr>
          <w:rFonts w:ascii="David" w:hAnsi="David" w:hint="cs"/>
          <w:b w:val="0"/>
          <w:bCs w:val="0"/>
          <w:u w:val="none"/>
          <w:rtl/>
        </w:rPr>
        <w:t>הוראה דומה קבועה בסעיף 25יח לחוק לעניין רישיון להפעלת מערכת לתיווך באשראי.</w:t>
      </w:r>
      <w:r w:rsidR="00BE7FEC">
        <w:rPr>
          <w:rFonts w:ascii="David" w:hAnsi="David" w:hint="cs"/>
          <w:b w:val="0"/>
          <w:bCs w:val="0"/>
          <w:u w:val="none"/>
          <w:rtl/>
        </w:rPr>
        <w:t xml:space="preserve"> </w:t>
      </w:r>
      <w:r w:rsidR="00E16DC0">
        <w:rPr>
          <w:rFonts w:ascii="David" w:hAnsi="David" w:hint="cs"/>
          <w:b w:val="0"/>
          <w:bCs w:val="0"/>
          <w:u w:val="none"/>
          <w:rtl/>
        </w:rPr>
        <w:t xml:space="preserve">סעיפים </w:t>
      </w:r>
      <w:r w:rsidR="00DF09A5" w:rsidRPr="00A144D3">
        <w:rPr>
          <w:rFonts w:ascii="David" w:hAnsi="David"/>
          <w:b w:val="0"/>
          <w:bCs w:val="0"/>
          <w:u w:val="none"/>
          <w:rtl/>
        </w:rPr>
        <w:t xml:space="preserve">13(ב) </w:t>
      </w:r>
      <w:r w:rsidR="00E16DC0">
        <w:rPr>
          <w:rFonts w:ascii="David" w:hAnsi="David" w:hint="cs"/>
          <w:b w:val="0"/>
          <w:bCs w:val="0"/>
          <w:u w:val="none"/>
          <w:rtl/>
        </w:rPr>
        <w:t xml:space="preserve">ו-25יט </w:t>
      </w:r>
      <w:r w:rsidR="00DF09A5" w:rsidRPr="00A144D3">
        <w:rPr>
          <w:rFonts w:ascii="David" w:hAnsi="David"/>
          <w:b w:val="0"/>
          <w:bCs w:val="0"/>
          <w:u w:val="none"/>
          <w:rtl/>
        </w:rPr>
        <w:t xml:space="preserve">לחוק </w:t>
      </w:r>
      <w:r w:rsidR="00E16DC0">
        <w:rPr>
          <w:rFonts w:ascii="David" w:hAnsi="David" w:hint="cs"/>
          <w:b w:val="0"/>
          <w:bCs w:val="0"/>
          <w:u w:val="none"/>
          <w:rtl/>
        </w:rPr>
        <w:t xml:space="preserve">קובעים </w:t>
      </w:r>
      <w:r w:rsidR="00DF09A5" w:rsidRPr="00A144D3">
        <w:rPr>
          <w:rFonts w:ascii="David" w:hAnsi="David"/>
          <w:b w:val="0"/>
          <w:bCs w:val="0"/>
          <w:u w:val="none"/>
          <w:rtl/>
        </w:rPr>
        <w:t>כי שר</w:t>
      </w:r>
      <w:r w:rsidR="00E16E61">
        <w:rPr>
          <w:rFonts w:ascii="David" w:hAnsi="David" w:hint="cs"/>
          <w:b w:val="0"/>
          <w:bCs w:val="0"/>
          <w:u w:val="none"/>
          <w:rtl/>
        </w:rPr>
        <w:t xml:space="preserve"> האוצר</w:t>
      </w:r>
      <w:r w:rsidR="00DF09A5" w:rsidRPr="00A144D3">
        <w:rPr>
          <w:rFonts w:ascii="David" w:hAnsi="David"/>
          <w:b w:val="0"/>
          <w:bCs w:val="0"/>
          <w:u w:val="none"/>
          <w:rtl/>
        </w:rPr>
        <w:t xml:space="preserve"> רשאי</w:t>
      </w:r>
      <w:r w:rsidR="00E16DC0">
        <w:rPr>
          <w:rFonts w:ascii="David" w:hAnsi="David" w:hint="cs"/>
          <w:b w:val="0"/>
          <w:bCs w:val="0"/>
          <w:u w:val="none"/>
          <w:rtl/>
        </w:rPr>
        <w:t xml:space="preserve"> לפטור</w:t>
      </w:r>
      <w:r w:rsidR="00DF09A5" w:rsidRPr="00A144D3">
        <w:rPr>
          <w:rFonts w:ascii="David" w:hAnsi="David"/>
          <w:b w:val="0"/>
          <w:bCs w:val="0"/>
          <w:u w:val="none"/>
          <w:rtl/>
        </w:rPr>
        <w:t xml:space="preserve">, באישור ועדת הכספים של הכנסת, סוגי </w:t>
      </w:r>
      <w:r w:rsidR="00485810">
        <w:rPr>
          <w:rFonts w:ascii="David" w:hAnsi="David"/>
          <w:b w:val="0"/>
          <w:bCs w:val="0"/>
          <w:u w:val="none"/>
          <w:rtl/>
        </w:rPr>
        <w:t xml:space="preserve">גופים </w:t>
      </w:r>
      <w:r w:rsidR="00E16DC0">
        <w:rPr>
          <w:rFonts w:ascii="David" w:hAnsi="David" w:hint="cs"/>
          <w:b w:val="0"/>
          <w:bCs w:val="0"/>
          <w:u w:val="none"/>
          <w:rtl/>
        </w:rPr>
        <w:t xml:space="preserve">מחובות הרישוי האמורות, בהתאמה. </w:t>
      </w:r>
    </w:p>
    <w:p w14:paraId="2AE406FE" w14:textId="77777777" w:rsidR="00EE66CE" w:rsidRDefault="00CD2CFB" w:rsidP="004F466C">
      <w:pPr>
        <w:pStyle w:val="1"/>
        <w:spacing w:line="360" w:lineRule="auto"/>
        <w:ind w:left="282" w:firstLine="0"/>
        <w:jc w:val="both"/>
        <w:rPr>
          <w:rFonts w:ascii="David" w:hAnsi="David"/>
          <w:b w:val="0"/>
          <w:bCs w:val="0"/>
          <w:u w:val="none"/>
          <w:rtl/>
        </w:rPr>
      </w:pPr>
      <w:r w:rsidRPr="00A144D3">
        <w:rPr>
          <w:rFonts w:ascii="David" w:hAnsi="David"/>
          <w:b w:val="0"/>
          <w:bCs w:val="0"/>
          <w:u w:val="none"/>
          <w:rtl/>
        </w:rPr>
        <w:t xml:space="preserve">ביום 3 באוקטובר 2018 פורסמו תקנות </w:t>
      </w:r>
      <w:r w:rsidR="00FF0DAE">
        <w:rPr>
          <w:rFonts w:ascii="David" w:hAnsi="David" w:hint="cs"/>
          <w:b w:val="0"/>
          <w:bCs w:val="0"/>
          <w:u w:val="none"/>
          <w:rtl/>
        </w:rPr>
        <w:t>הפטור</w:t>
      </w:r>
      <w:r w:rsidR="00450860">
        <w:rPr>
          <w:rStyle w:val="af0"/>
          <w:rFonts w:ascii="David" w:hAnsi="David"/>
          <w:b w:val="0"/>
          <w:bCs w:val="0"/>
          <w:u w:val="none"/>
          <w:rtl/>
        </w:rPr>
        <w:footnoteReference w:id="1"/>
      </w:r>
      <w:r w:rsidR="00485810">
        <w:rPr>
          <w:rFonts w:ascii="David" w:hAnsi="David"/>
          <w:b w:val="0"/>
          <w:bCs w:val="0"/>
          <w:u w:val="none"/>
          <w:rtl/>
        </w:rPr>
        <w:t xml:space="preserve"> </w:t>
      </w:r>
      <w:r w:rsidR="00FF0DAE">
        <w:rPr>
          <w:rFonts w:ascii="David" w:hAnsi="David" w:hint="cs"/>
          <w:b w:val="0"/>
          <w:bCs w:val="0"/>
          <w:u w:val="none"/>
          <w:rtl/>
        </w:rPr>
        <w:t xml:space="preserve">כהוראת שעה שהוארכה מעת לעת, והן עתידות </w:t>
      </w:r>
      <w:r w:rsidR="00375092">
        <w:rPr>
          <w:rFonts w:ascii="David" w:hAnsi="David" w:hint="cs"/>
          <w:b w:val="0"/>
          <w:bCs w:val="0"/>
          <w:u w:val="none"/>
          <w:rtl/>
        </w:rPr>
        <w:t>לפקוע ביום 31 בדצמבר 2021</w:t>
      </w:r>
      <w:r w:rsidR="00FF0DAE">
        <w:rPr>
          <w:rFonts w:ascii="David" w:hAnsi="David" w:hint="cs"/>
          <w:b w:val="0"/>
          <w:bCs w:val="0"/>
          <w:u w:val="none"/>
          <w:rtl/>
        </w:rPr>
        <w:t xml:space="preserve">. כאמור, הרשות </w:t>
      </w:r>
      <w:r w:rsidR="008605C9">
        <w:rPr>
          <w:rFonts w:ascii="David" w:hAnsi="David" w:hint="cs"/>
          <w:b w:val="0"/>
          <w:bCs w:val="0"/>
          <w:u w:val="none"/>
          <w:rtl/>
        </w:rPr>
        <w:t xml:space="preserve">פועלת בימים אלה </w:t>
      </w:r>
      <w:r w:rsidR="00FF0DAE">
        <w:rPr>
          <w:rFonts w:ascii="David" w:hAnsi="David" w:hint="cs"/>
          <w:b w:val="0"/>
          <w:bCs w:val="0"/>
          <w:u w:val="none"/>
          <w:rtl/>
        </w:rPr>
        <w:t xml:space="preserve">להפוך את </w:t>
      </w:r>
      <w:r w:rsidR="00375092">
        <w:rPr>
          <w:rFonts w:ascii="David" w:hAnsi="David" w:hint="cs"/>
          <w:b w:val="0"/>
          <w:bCs w:val="0"/>
          <w:u w:val="none"/>
          <w:rtl/>
        </w:rPr>
        <w:t>תקנות הפטור לתקנות קבע.</w:t>
      </w:r>
      <w:r w:rsidR="00536F84">
        <w:rPr>
          <w:rFonts w:ascii="David" w:hAnsi="David" w:hint="cs"/>
          <w:b w:val="0"/>
          <w:bCs w:val="0"/>
          <w:u w:val="none"/>
          <w:rtl/>
        </w:rPr>
        <w:t xml:space="preserve"> </w:t>
      </w:r>
    </w:p>
    <w:p w14:paraId="08ED029D" w14:textId="77777777" w:rsidR="00C75D19" w:rsidRPr="004F466C" w:rsidRDefault="00C75D19" w:rsidP="004F466C">
      <w:pPr>
        <w:pStyle w:val="1"/>
        <w:spacing w:line="360" w:lineRule="auto"/>
        <w:ind w:left="282" w:firstLine="0"/>
        <w:jc w:val="both"/>
        <w:rPr>
          <w:rFonts w:ascii="David" w:hAnsi="David"/>
          <w:b w:val="0"/>
          <w:bCs w:val="0"/>
          <w:u w:val="none"/>
          <w:rtl/>
        </w:rPr>
      </w:pPr>
      <w:r w:rsidRPr="004F466C">
        <w:rPr>
          <w:rFonts w:ascii="David" w:hAnsi="David" w:hint="eastAsia"/>
          <w:b w:val="0"/>
          <w:bCs w:val="0"/>
          <w:u w:val="none"/>
          <w:rtl/>
        </w:rPr>
        <w:t>חובות</w:t>
      </w:r>
      <w:r w:rsidRPr="004F466C">
        <w:rPr>
          <w:rFonts w:ascii="David" w:hAnsi="David"/>
          <w:b w:val="0"/>
          <w:bCs w:val="0"/>
          <w:u w:val="none"/>
          <w:rtl/>
        </w:rPr>
        <w:t xml:space="preserve"> רישוי </w:t>
      </w:r>
      <w:r w:rsidRPr="004F466C">
        <w:rPr>
          <w:rFonts w:ascii="David" w:hAnsi="David" w:hint="eastAsia"/>
          <w:b w:val="0"/>
          <w:bCs w:val="0"/>
          <w:u w:val="none"/>
          <w:rtl/>
        </w:rPr>
        <w:t>מיועדות</w:t>
      </w:r>
      <w:r w:rsidRPr="004F466C">
        <w:rPr>
          <w:rFonts w:ascii="David" w:hAnsi="David"/>
          <w:b w:val="0"/>
          <w:bCs w:val="0"/>
          <w:u w:val="none"/>
          <w:rtl/>
        </w:rPr>
        <w:t xml:space="preserve"> לקבוע פיקוח </w:t>
      </w:r>
      <w:r w:rsidR="00B41A6A" w:rsidRPr="004F466C">
        <w:rPr>
          <w:rFonts w:ascii="David" w:hAnsi="David" w:hint="eastAsia"/>
          <w:b w:val="0"/>
          <w:bCs w:val="0"/>
          <w:u w:val="none"/>
          <w:rtl/>
        </w:rPr>
        <w:t>שלטוני</w:t>
      </w:r>
      <w:r w:rsidR="00B41A6A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Pr="004F466C">
        <w:rPr>
          <w:rFonts w:ascii="David" w:hAnsi="David" w:hint="eastAsia"/>
          <w:b w:val="0"/>
          <w:bCs w:val="0"/>
          <w:u w:val="none"/>
          <w:rtl/>
        </w:rPr>
        <w:t>על</w:t>
      </w:r>
      <w:r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Pr="004F466C">
        <w:rPr>
          <w:rFonts w:ascii="David" w:hAnsi="David" w:hint="eastAsia"/>
          <w:b w:val="0"/>
          <w:bCs w:val="0"/>
          <w:u w:val="none"/>
          <w:rtl/>
        </w:rPr>
        <w:t>פעילות</w:t>
      </w:r>
      <w:r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Pr="004F466C">
        <w:rPr>
          <w:rFonts w:ascii="David" w:hAnsi="David" w:hint="eastAsia"/>
          <w:b w:val="0"/>
          <w:bCs w:val="0"/>
          <w:u w:val="none"/>
          <w:rtl/>
        </w:rPr>
        <w:t>של</w:t>
      </w:r>
      <w:r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Pr="004F466C">
        <w:rPr>
          <w:rFonts w:ascii="David" w:hAnsi="David" w:hint="eastAsia"/>
          <w:b w:val="0"/>
          <w:bCs w:val="0"/>
          <w:u w:val="none"/>
          <w:rtl/>
        </w:rPr>
        <w:t>הסקטור</w:t>
      </w:r>
      <w:r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Pr="004F466C">
        <w:rPr>
          <w:rFonts w:ascii="David" w:hAnsi="David" w:hint="eastAsia"/>
          <w:b w:val="0"/>
          <w:bCs w:val="0"/>
          <w:u w:val="none"/>
          <w:rtl/>
        </w:rPr>
        <w:t>הפרטי</w:t>
      </w:r>
      <w:r w:rsidRPr="004F466C">
        <w:rPr>
          <w:rFonts w:ascii="David" w:hAnsi="David"/>
          <w:b w:val="0"/>
          <w:bCs w:val="0"/>
          <w:u w:val="none"/>
          <w:rtl/>
        </w:rPr>
        <w:t xml:space="preserve">, </w:t>
      </w:r>
      <w:r w:rsidRPr="004F466C">
        <w:rPr>
          <w:rFonts w:ascii="David" w:hAnsi="David" w:hint="eastAsia"/>
          <w:b w:val="0"/>
          <w:bCs w:val="0"/>
          <w:u w:val="none"/>
          <w:rtl/>
        </w:rPr>
        <w:t>על</w:t>
      </w:r>
      <w:r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Pr="004F466C">
        <w:rPr>
          <w:rFonts w:ascii="David" w:hAnsi="David" w:hint="eastAsia"/>
          <w:b w:val="0"/>
          <w:bCs w:val="0"/>
          <w:u w:val="none"/>
          <w:rtl/>
        </w:rPr>
        <w:t>מנת</w:t>
      </w:r>
      <w:r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Pr="004F466C">
        <w:rPr>
          <w:rFonts w:ascii="David" w:hAnsi="David" w:hint="eastAsia"/>
          <w:b w:val="0"/>
          <w:bCs w:val="0"/>
          <w:u w:val="none"/>
          <w:rtl/>
        </w:rPr>
        <w:t>למנוע</w:t>
      </w:r>
      <w:r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Pr="004F466C">
        <w:rPr>
          <w:rFonts w:ascii="David" w:hAnsi="David" w:hint="eastAsia"/>
          <w:b w:val="0"/>
          <w:bCs w:val="0"/>
          <w:u w:val="none"/>
          <w:rtl/>
        </w:rPr>
        <w:t>פגיעה</w:t>
      </w:r>
      <w:r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Pr="004F466C">
        <w:rPr>
          <w:rFonts w:ascii="David" w:hAnsi="David" w:hint="eastAsia"/>
          <w:b w:val="0"/>
          <w:bCs w:val="0"/>
          <w:u w:val="none"/>
          <w:rtl/>
        </w:rPr>
        <w:t>שאינה</w:t>
      </w:r>
      <w:r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Pr="004F466C">
        <w:rPr>
          <w:rFonts w:ascii="David" w:hAnsi="David" w:hint="eastAsia"/>
          <w:b w:val="0"/>
          <w:bCs w:val="0"/>
          <w:u w:val="none"/>
          <w:rtl/>
        </w:rPr>
        <w:t>ראויה</w:t>
      </w:r>
      <w:r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Pr="004F466C">
        <w:rPr>
          <w:rFonts w:ascii="David" w:hAnsi="David" w:hint="eastAsia"/>
          <w:b w:val="0"/>
          <w:bCs w:val="0"/>
          <w:u w:val="none"/>
          <w:rtl/>
        </w:rPr>
        <w:t>בזכויות</w:t>
      </w:r>
      <w:r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Pr="004F466C">
        <w:rPr>
          <w:rFonts w:ascii="David" w:hAnsi="David" w:hint="eastAsia"/>
          <w:b w:val="0"/>
          <w:bCs w:val="0"/>
          <w:u w:val="none"/>
          <w:rtl/>
        </w:rPr>
        <w:t>של</w:t>
      </w:r>
      <w:r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Pr="004F466C">
        <w:rPr>
          <w:rFonts w:ascii="David" w:hAnsi="David" w:hint="eastAsia"/>
          <w:b w:val="0"/>
          <w:bCs w:val="0"/>
          <w:u w:val="none"/>
          <w:rtl/>
        </w:rPr>
        <w:t>אחרים</w:t>
      </w:r>
      <w:r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Pr="004F466C">
        <w:rPr>
          <w:rFonts w:ascii="David" w:hAnsi="David" w:hint="eastAsia"/>
          <w:b w:val="0"/>
          <w:bCs w:val="0"/>
          <w:u w:val="none"/>
          <w:rtl/>
        </w:rPr>
        <w:t>או</w:t>
      </w:r>
      <w:r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Pr="004F466C">
        <w:rPr>
          <w:rFonts w:ascii="David" w:hAnsi="David" w:hint="eastAsia"/>
          <w:b w:val="0"/>
          <w:bCs w:val="0"/>
          <w:u w:val="none"/>
          <w:rtl/>
        </w:rPr>
        <w:t>בטובת</w:t>
      </w:r>
      <w:r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Pr="004F466C">
        <w:rPr>
          <w:rFonts w:ascii="David" w:hAnsi="David" w:hint="eastAsia"/>
          <w:b w:val="0"/>
          <w:bCs w:val="0"/>
          <w:u w:val="none"/>
          <w:rtl/>
        </w:rPr>
        <w:t>הציבור</w:t>
      </w:r>
      <w:r w:rsidRPr="004F466C">
        <w:rPr>
          <w:rFonts w:ascii="David" w:hAnsi="David"/>
          <w:b w:val="0"/>
          <w:bCs w:val="0"/>
          <w:u w:val="none"/>
          <w:rtl/>
        </w:rPr>
        <w:t xml:space="preserve">. </w:t>
      </w:r>
      <w:r w:rsidR="00B41A6A" w:rsidRPr="004F466C">
        <w:rPr>
          <w:rFonts w:ascii="David" w:hAnsi="David" w:hint="eastAsia"/>
          <w:b w:val="0"/>
          <w:bCs w:val="0"/>
          <w:u w:val="none"/>
          <w:rtl/>
        </w:rPr>
        <w:t>הרישוי</w:t>
      </w:r>
      <w:r w:rsidR="00B41A6A" w:rsidRPr="004F466C">
        <w:rPr>
          <w:rFonts w:ascii="David" w:hAnsi="David"/>
          <w:b w:val="0"/>
          <w:bCs w:val="0"/>
          <w:u w:val="none"/>
          <w:rtl/>
        </w:rPr>
        <w:t xml:space="preserve"> נועד להבטיח כי השירות לציבור יינתן על-ידי </w:t>
      </w:r>
      <w:r w:rsidR="00B41A6A" w:rsidRPr="004F466C">
        <w:rPr>
          <w:rFonts w:ascii="David" w:hAnsi="David" w:hint="eastAsia"/>
          <w:b w:val="0"/>
          <w:bCs w:val="0"/>
          <w:u w:val="none"/>
          <w:rtl/>
        </w:rPr>
        <w:t>גורמים</w:t>
      </w:r>
      <w:r w:rsidR="00B41A6A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B41A6A" w:rsidRPr="004F466C">
        <w:rPr>
          <w:rFonts w:ascii="David" w:hAnsi="David" w:hint="eastAsia"/>
          <w:b w:val="0"/>
          <w:bCs w:val="0"/>
          <w:u w:val="none"/>
          <w:rtl/>
        </w:rPr>
        <w:t>מיומנים</w:t>
      </w:r>
      <w:r w:rsidR="00B41A6A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B41A6A" w:rsidRPr="004F466C">
        <w:rPr>
          <w:rFonts w:ascii="David" w:hAnsi="David" w:hint="eastAsia"/>
          <w:b w:val="0"/>
          <w:bCs w:val="0"/>
          <w:u w:val="none"/>
          <w:rtl/>
        </w:rPr>
        <w:t>ואחראים</w:t>
      </w:r>
      <w:r w:rsidR="00B41A6A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B41A6A" w:rsidRPr="004F466C">
        <w:rPr>
          <w:rFonts w:ascii="David" w:hAnsi="David" w:hint="eastAsia"/>
          <w:b w:val="0"/>
          <w:bCs w:val="0"/>
          <w:u w:val="none"/>
          <w:rtl/>
        </w:rPr>
        <w:t>ו</w:t>
      </w:r>
      <w:r w:rsidR="00750BBD" w:rsidRPr="004F466C">
        <w:rPr>
          <w:rFonts w:ascii="David" w:hAnsi="David" w:hint="cs"/>
          <w:b w:val="0"/>
          <w:bCs w:val="0"/>
          <w:u w:val="none"/>
          <w:rtl/>
        </w:rPr>
        <w:t xml:space="preserve">כי השירות עצמו יהיה </w:t>
      </w:r>
      <w:r w:rsidR="00B41A6A" w:rsidRPr="004F466C">
        <w:rPr>
          <w:rFonts w:ascii="David" w:hAnsi="David" w:hint="eastAsia"/>
          <w:b w:val="0"/>
          <w:bCs w:val="0"/>
          <w:u w:val="none"/>
          <w:rtl/>
        </w:rPr>
        <w:t>ברמה</w:t>
      </w:r>
      <w:r w:rsidR="00B41A6A" w:rsidRPr="004F466C">
        <w:rPr>
          <w:rFonts w:ascii="David" w:hAnsi="David"/>
          <w:b w:val="0"/>
          <w:bCs w:val="0"/>
          <w:u w:val="none"/>
          <w:rtl/>
        </w:rPr>
        <w:t xml:space="preserve"> ראויה; מעניק לרשות </w:t>
      </w:r>
      <w:proofErr w:type="spellStart"/>
      <w:r w:rsidR="00B41A6A" w:rsidRPr="004F466C">
        <w:rPr>
          <w:rFonts w:ascii="David" w:hAnsi="David" w:hint="eastAsia"/>
          <w:b w:val="0"/>
          <w:bCs w:val="0"/>
          <w:u w:val="none"/>
          <w:rtl/>
        </w:rPr>
        <w:t>המינהלית</w:t>
      </w:r>
      <w:proofErr w:type="spellEnd"/>
      <w:r w:rsidR="00B41A6A" w:rsidRPr="004F466C">
        <w:rPr>
          <w:rFonts w:ascii="David" w:hAnsi="David"/>
          <w:b w:val="0"/>
          <w:bCs w:val="0"/>
          <w:u w:val="none"/>
          <w:rtl/>
        </w:rPr>
        <w:t xml:space="preserve"> כלים </w:t>
      </w:r>
      <w:r w:rsidR="00750BBD" w:rsidRPr="004F466C">
        <w:rPr>
          <w:rFonts w:ascii="David" w:hAnsi="David" w:hint="cs"/>
          <w:b w:val="0"/>
          <w:bCs w:val="0"/>
          <w:u w:val="none"/>
          <w:rtl/>
        </w:rPr>
        <w:t xml:space="preserve">לקיום </w:t>
      </w:r>
      <w:r w:rsidR="00B41A6A" w:rsidRPr="004F466C">
        <w:rPr>
          <w:rFonts w:ascii="David" w:hAnsi="David" w:hint="eastAsia"/>
          <w:b w:val="0"/>
          <w:bCs w:val="0"/>
          <w:u w:val="none"/>
          <w:rtl/>
        </w:rPr>
        <w:t>פיקוח</w:t>
      </w:r>
      <w:r w:rsidR="00B41A6A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B41A6A" w:rsidRPr="004F466C">
        <w:rPr>
          <w:rFonts w:ascii="David" w:hAnsi="David" w:hint="eastAsia"/>
          <w:b w:val="0"/>
          <w:bCs w:val="0"/>
          <w:u w:val="none"/>
          <w:rtl/>
        </w:rPr>
        <w:t>שוטף</w:t>
      </w:r>
      <w:r w:rsidR="00B41A6A" w:rsidRPr="004F466C">
        <w:rPr>
          <w:rFonts w:ascii="David" w:hAnsi="David"/>
          <w:b w:val="0"/>
          <w:bCs w:val="0"/>
          <w:u w:val="none"/>
          <w:rtl/>
        </w:rPr>
        <w:t xml:space="preserve"> על פעילות מקבלי הרישיון; וכן </w:t>
      </w:r>
      <w:r w:rsidR="00750BBD" w:rsidRPr="004F466C">
        <w:rPr>
          <w:rFonts w:ascii="David" w:hAnsi="David" w:hint="cs"/>
          <w:b w:val="0"/>
          <w:bCs w:val="0"/>
          <w:u w:val="none"/>
          <w:rtl/>
        </w:rPr>
        <w:t xml:space="preserve">מסמיך את </w:t>
      </w:r>
      <w:r w:rsidR="00616ECD" w:rsidRPr="004F466C">
        <w:rPr>
          <w:rFonts w:ascii="David" w:hAnsi="David" w:hint="cs"/>
          <w:b w:val="0"/>
          <w:bCs w:val="0"/>
          <w:u w:val="none"/>
          <w:rtl/>
        </w:rPr>
        <w:t xml:space="preserve">הרשות </w:t>
      </w:r>
      <w:proofErr w:type="spellStart"/>
      <w:r w:rsidR="00616ECD" w:rsidRPr="004F466C">
        <w:rPr>
          <w:rFonts w:ascii="David" w:hAnsi="David" w:hint="cs"/>
          <w:b w:val="0"/>
          <w:bCs w:val="0"/>
          <w:u w:val="none"/>
          <w:rtl/>
        </w:rPr>
        <w:t>המינהלית</w:t>
      </w:r>
      <w:proofErr w:type="spellEnd"/>
      <w:r w:rsidR="00616ECD" w:rsidRPr="004F466C">
        <w:rPr>
          <w:rFonts w:ascii="David" w:hAnsi="David" w:hint="cs"/>
          <w:b w:val="0"/>
          <w:bCs w:val="0"/>
          <w:u w:val="none"/>
          <w:rtl/>
        </w:rPr>
        <w:t xml:space="preserve"> </w:t>
      </w:r>
      <w:r w:rsidR="00B41A6A" w:rsidRPr="004F466C">
        <w:rPr>
          <w:rFonts w:ascii="David" w:hAnsi="David" w:hint="eastAsia"/>
          <w:b w:val="0"/>
          <w:bCs w:val="0"/>
          <w:u w:val="none"/>
          <w:rtl/>
        </w:rPr>
        <w:t>לפעול</w:t>
      </w:r>
      <w:r w:rsidR="00B41A6A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B41A6A" w:rsidRPr="004F466C">
        <w:rPr>
          <w:rFonts w:ascii="David" w:hAnsi="David" w:hint="eastAsia"/>
          <w:b w:val="0"/>
          <w:bCs w:val="0"/>
          <w:u w:val="none"/>
          <w:rtl/>
        </w:rPr>
        <w:t>באמצעים</w:t>
      </w:r>
      <w:r w:rsidR="00B41A6A" w:rsidRPr="004F466C">
        <w:rPr>
          <w:rFonts w:ascii="David" w:hAnsi="David"/>
          <w:b w:val="0"/>
          <w:bCs w:val="0"/>
          <w:u w:val="none"/>
          <w:rtl/>
        </w:rPr>
        <w:t xml:space="preserve"> שונים במקרה של הפרת הרישיון ותנאיו. </w:t>
      </w:r>
      <w:r w:rsidRPr="004F466C">
        <w:rPr>
          <w:rFonts w:ascii="David" w:hAnsi="David" w:hint="eastAsia"/>
          <w:b w:val="0"/>
          <w:bCs w:val="0"/>
          <w:u w:val="none"/>
          <w:rtl/>
        </w:rPr>
        <w:t>בו</w:t>
      </w:r>
      <w:r w:rsidRPr="004F466C">
        <w:rPr>
          <w:rFonts w:ascii="David" w:hAnsi="David"/>
          <w:b w:val="0"/>
          <w:bCs w:val="0"/>
          <w:u w:val="none"/>
          <w:rtl/>
        </w:rPr>
        <w:t xml:space="preserve">-בזמן, </w:t>
      </w:r>
      <w:r w:rsidR="00DA304D" w:rsidRPr="004F466C">
        <w:rPr>
          <w:rFonts w:ascii="David" w:hAnsi="David" w:hint="eastAsia"/>
          <w:b w:val="0"/>
          <w:bCs w:val="0"/>
          <w:u w:val="none"/>
          <w:rtl/>
        </w:rPr>
        <w:t>בקביעת</w:t>
      </w:r>
      <w:r w:rsidR="00DA304D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DA304D" w:rsidRPr="004F466C">
        <w:rPr>
          <w:rFonts w:ascii="David" w:hAnsi="David" w:hint="eastAsia"/>
          <w:b w:val="0"/>
          <w:bCs w:val="0"/>
          <w:u w:val="none"/>
          <w:rtl/>
        </w:rPr>
        <w:t>היקף</w:t>
      </w:r>
      <w:r w:rsidR="00DA304D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DA304D" w:rsidRPr="004F466C">
        <w:rPr>
          <w:rFonts w:ascii="David" w:hAnsi="David" w:hint="eastAsia"/>
          <w:b w:val="0"/>
          <w:bCs w:val="0"/>
          <w:u w:val="none"/>
          <w:rtl/>
        </w:rPr>
        <w:t>חובת</w:t>
      </w:r>
      <w:r w:rsidR="00DA304D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DA304D" w:rsidRPr="004F466C">
        <w:rPr>
          <w:rFonts w:ascii="David" w:hAnsi="David" w:hint="eastAsia"/>
          <w:b w:val="0"/>
          <w:bCs w:val="0"/>
          <w:u w:val="none"/>
          <w:rtl/>
        </w:rPr>
        <w:t>הרישוי</w:t>
      </w:r>
      <w:r w:rsidR="00DA304D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DA304D" w:rsidRPr="004F466C">
        <w:rPr>
          <w:rFonts w:ascii="David" w:hAnsi="David" w:hint="eastAsia"/>
          <w:b w:val="0"/>
          <w:bCs w:val="0"/>
          <w:u w:val="none"/>
          <w:rtl/>
        </w:rPr>
        <w:t>יש</w:t>
      </w:r>
      <w:r w:rsidR="00DA304D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DA304D" w:rsidRPr="004F466C">
        <w:rPr>
          <w:rFonts w:ascii="David" w:hAnsi="David" w:hint="eastAsia"/>
          <w:b w:val="0"/>
          <w:bCs w:val="0"/>
          <w:u w:val="none"/>
          <w:rtl/>
        </w:rPr>
        <w:t>מקום</w:t>
      </w:r>
      <w:r w:rsidR="00DA304D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DA304D" w:rsidRPr="004F466C">
        <w:rPr>
          <w:rFonts w:ascii="David" w:hAnsi="David" w:hint="eastAsia"/>
          <w:b w:val="0"/>
          <w:bCs w:val="0"/>
          <w:u w:val="none"/>
          <w:rtl/>
        </w:rPr>
        <w:t>לשקול</w:t>
      </w:r>
      <w:r w:rsidR="00DA304D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DA304D" w:rsidRPr="004F466C">
        <w:rPr>
          <w:rFonts w:ascii="David" w:hAnsi="David" w:hint="eastAsia"/>
          <w:b w:val="0"/>
          <w:bCs w:val="0"/>
          <w:u w:val="none"/>
          <w:rtl/>
        </w:rPr>
        <w:t>גם</w:t>
      </w:r>
      <w:r w:rsidR="00DA304D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DA304D" w:rsidRPr="004F466C">
        <w:rPr>
          <w:rFonts w:ascii="David" w:hAnsi="David" w:hint="eastAsia"/>
          <w:b w:val="0"/>
          <w:bCs w:val="0"/>
          <w:u w:val="none"/>
          <w:rtl/>
        </w:rPr>
        <w:t>את</w:t>
      </w:r>
      <w:r w:rsidR="00DA304D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DA304D" w:rsidRPr="004F466C">
        <w:rPr>
          <w:rFonts w:ascii="David" w:hAnsi="David" w:hint="eastAsia"/>
          <w:b w:val="0"/>
          <w:bCs w:val="0"/>
          <w:u w:val="none"/>
          <w:rtl/>
        </w:rPr>
        <w:t>היקף</w:t>
      </w:r>
      <w:r w:rsidR="00DA304D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DA304D" w:rsidRPr="004F466C">
        <w:rPr>
          <w:rFonts w:ascii="David" w:hAnsi="David" w:hint="eastAsia"/>
          <w:b w:val="0"/>
          <w:bCs w:val="0"/>
          <w:u w:val="none"/>
          <w:rtl/>
        </w:rPr>
        <w:t>הפגיעה</w:t>
      </w:r>
      <w:r w:rsidR="00DA304D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DA304D" w:rsidRPr="004F466C">
        <w:rPr>
          <w:rFonts w:ascii="David" w:hAnsi="David" w:hint="eastAsia"/>
          <w:b w:val="0"/>
          <w:bCs w:val="0"/>
          <w:u w:val="none"/>
          <w:rtl/>
        </w:rPr>
        <w:t>בחופש</w:t>
      </w:r>
      <w:r w:rsidR="00DA304D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DA304D" w:rsidRPr="004F466C">
        <w:rPr>
          <w:rFonts w:ascii="David" w:hAnsi="David" w:hint="eastAsia"/>
          <w:b w:val="0"/>
          <w:bCs w:val="0"/>
          <w:u w:val="none"/>
          <w:rtl/>
        </w:rPr>
        <w:t>העיסוק</w:t>
      </w:r>
      <w:r w:rsidR="00DA304D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DA304D" w:rsidRPr="004F466C">
        <w:rPr>
          <w:rFonts w:ascii="David" w:hAnsi="David" w:hint="eastAsia"/>
          <w:b w:val="0"/>
          <w:bCs w:val="0"/>
          <w:u w:val="none"/>
          <w:rtl/>
        </w:rPr>
        <w:t>ו</w:t>
      </w:r>
      <w:r w:rsidR="001519D6" w:rsidRPr="004F466C">
        <w:rPr>
          <w:rFonts w:ascii="David" w:hAnsi="David" w:hint="cs"/>
          <w:b w:val="0"/>
          <w:bCs w:val="0"/>
          <w:u w:val="none"/>
          <w:rtl/>
        </w:rPr>
        <w:t xml:space="preserve">הנטל הרגולטורי </w:t>
      </w:r>
      <w:r w:rsidR="00DA304D" w:rsidRPr="004F466C">
        <w:rPr>
          <w:rFonts w:ascii="David" w:hAnsi="David" w:hint="eastAsia"/>
          <w:b w:val="0"/>
          <w:bCs w:val="0"/>
          <w:u w:val="none"/>
          <w:rtl/>
        </w:rPr>
        <w:t>שהוא</w:t>
      </w:r>
      <w:r w:rsidR="00DA304D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DA304D" w:rsidRPr="004F466C">
        <w:rPr>
          <w:rFonts w:ascii="David" w:hAnsi="David" w:hint="eastAsia"/>
          <w:b w:val="0"/>
          <w:bCs w:val="0"/>
          <w:u w:val="none"/>
          <w:rtl/>
        </w:rPr>
        <w:t>מטיל</w:t>
      </w:r>
      <w:r w:rsidR="00DA304D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DA304D" w:rsidRPr="004F466C">
        <w:rPr>
          <w:rFonts w:ascii="David" w:hAnsi="David" w:hint="eastAsia"/>
          <w:b w:val="0"/>
          <w:bCs w:val="0"/>
          <w:u w:val="none"/>
          <w:rtl/>
        </w:rPr>
        <w:t>על</w:t>
      </w:r>
      <w:r w:rsidR="00DA304D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DA304D" w:rsidRPr="004F466C">
        <w:rPr>
          <w:rFonts w:ascii="David" w:hAnsi="David" w:hint="eastAsia"/>
          <w:b w:val="0"/>
          <w:bCs w:val="0"/>
          <w:u w:val="none"/>
          <w:rtl/>
        </w:rPr>
        <w:t>העוסקים</w:t>
      </w:r>
      <w:r w:rsidR="00DA304D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DA304D" w:rsidRPr="004F466C">
        <w:rPr>
          <w:rFonts w:ascii="David" w:hAnsi="David" w:hint="eastAsia"/>
          <w:b w:val="0"/>
          <w:bCs w:val="0"/>
          <w:u w:val="none"/>
          <w:rtl/>
        </w:rPr>
        <w:t>בתחום</w:t>
      </w:r>
      <w:r w:rsidR="00DA304D" w:rsidRPr="004F466C">
        <w:rPr>
          <w:rFonts w:ascii="David" w:hAnsi="David"/>
          <w:b w:val="0"/>
          <w:bCs w:val="0"/>
          <w:u w:val="none"/>
          <w:rtl/>
        </w:rPr>
        <w:t xml:space="preserve">, </w:t>
      </w:r>
      <w:r w:rsidR="001519D6" w:rsidRPr="004F466C">
        <w:rPr>
          <w:rFonts w:ascii="David" w:hAnsi="David" w:hint="eastAsia"/>
          <w:b w:val="0"/>
          <w:bCs w:val="0"/>
          <w:u w:val="none"/>
          <w:rtl/>
        </w:rPr>
        <w:t>תוך</w:t>
      </w:r>
      <w:r w:rsidR="001519D6" w:rsidRPr="004F466C">
        <w:rPr>
          <w:rFonts w:ascii="David" w:hAnsi="David"/>
          <w:b w:val="0"/>
          <w:bCs w:val="0"/>
          <w:u w:val="none"/>
          <w:rtl/>
        </w:rPr>
        <w:t xml:space="preserve"> פגיעה אפשרית </w:t>
      </w:r>
      <w:r w:rsidR="00DA304D" w:rsidRPr="004F466C">
        <w:rPr>
          <w:rFonts w:ascii="David" w:hAnsi="David" w:hint="eastAsia"/>
          <w:b w:val="0"/>
          <w:bCs w:val="0"/>
          <w:u w:val="none"/>
          <w:rtl/>
        </w:rPr>
        <w:t>ביעילות</w:t>
      </w:r>
      <w:r w:rsidR="00DA304D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0D1F58" w:rsidRPr="004F466C">
        <w:rPr>
          <w:rFonts w:ascii="David" w:hAnsi="David" w:hint="eastAsia"/>
          <w:b w:val="0"/>
          <w:bCs w:val="0"/>
          <w:u w:val="none"/>
          <w:rtl/>
        </w:rPr>
        <w:t>הכלכלית</w:t>
      </w:r>
      <w:r w:rsidR="000D1F58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0D1F58" w:rsidRPr="004F466C">
        <w:rPr>
          <w:rFonts w:ascii="David" w:hAnsi="David" w:hint="eastAsia"/>
          <w:b w:val="0"/>
          <w:bCs w:val="0"/>
          <w:u w:val="none"/>
          <w:rtl/>
        </w:rPr>
        <w:t>וב</w:t>
      </w:r>
      <w:r w:rsidR="00DA304D" w:rsidRPr="004F466C">
        <w:rPr>
          <w:rFonts w:ascii="David" w:hAnsi="David" w:hint="eastAsia"/>
          <w:b w:val="0"/>
          <w:bCs w:val="0"/>
          <w:u w:val="none"/>
          <w:rtl/>
        </w:rPr>
        <w:t>תחרות</w:t>
      </w:r>
      <w:r w:rsidR="00DA304D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DA304D" w:rsidRPr="004F466C">
        <w:rPr>
          <w:rFonts w:ascii="David" w:hAnsi="David" w:hint="eastAsia"/>
          <w:b w:val="0"/>
          <w:bCs w:val="0"/>
          <w:u w:val="none"/>
          <w:rtl/>
        </w:rPr>
        <w:t>בתחום</w:t>
      </w:r>
      <w:r w:rsidRPr="004F466C">
        <w:rPr>
          <w:rFonts w:ascii="David" w:hAnsi="David"/>
          <w:b w:val="0"/>
          <w:bCs w:val="0"/>
          <w:u w:val="none"/>
          <w:rtl/>
        </w:rPr>
        <w:t>.</w:t>
      </w:r>
      <w:r w:rsidRPr="004F466C">
        <w:rPr>
          <w:rStyle w:val="af0"/>
          <w:rFonts w:ascii="David" w:hAnsi="David"/>
          <w:b w:val="0"/>
          <w:bCs w:val="0"/>
          <w:u w:val="none"/>
          <w:rtl/>
        </w:rPr>
        <w:footnoteReference w:id="2"/>
      </w:r>
      <w:r w:rsidRPr="004F466C">
        <w:rPr>
          <w:rFonts w:ascii="David" w:hAnsi="David"/>
          <w:b w:val="0"/>
          <w:bCs w:val="0"/>
          <w:u w:val="none"/>
          <w:rtl/>
        </w:rPr>
        <w:t xml:space="preserve"> </w:t>
      </w:r>
    </w:p>
    <w:p w14:paraId="0789E754" w14:textId="77777777" w:rsidR="00F667B5" w:rsidRDefault="00750BBD" w:rsidP="004F466C">
      <w:pPr>
        <w:pStyle w:val="1"/>
        <w:spacing w:line="360" w:lineRule="auto"/>
        <w:ind w:left="282" w:firstLine="0"/>
        <w:jc w:val="both"/>
        <w:rPr>
          <w:rFonts w:ascii="David" w:hAnsi="David"/>
          <w:b w:val="0"/>
          <w:bCs w:val="0"/>
          <w:u w:val="none"/>
          <w:rtl/>
        </w:rPr>
      </w:pPr>
      <w:r w:rsidRPr="004F466C">
        <w:rPr>
          <w:rFonts w:ascii="David" w:hAnsi="David" w:hint="cs"/>
          <w:b w:val="0"/>
          <w:bCs w:val="0"/>
          <w:u w:val="none"/>
          <w:rtl/>
        </w:rPr>
        <w:t xml:space="preserve">באופן שעולה בקנה אחד עם </w:t>
      </w:r>
      <w:r w:rsidRPr="004F466C">
        <w:rPr>
          <w:rFonts w:ascii="David" w:hAnsi="David" w:hint="eastAsia"/>
          <w:b w:val="0"/>
          <w:bCs w:val="0"/>
          <w:u w:val="none"/>
          <w:rtl/>
        </w:rPr>
        <w:t>עקרונות</w:t>
      </w:r>
      <w:r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Pr="004F466C">
        <w:rPr>
          <w:rFonts w:ascii="David" w:hAnsi="David" w:hint="eastAsia"/>
          <w:b w:val="0"/>
          <w:bCs w:val="0"/>
          <w:u w:val="none"/>
          <w:rtl/>
        </w:rPr>
        <w:t>אלה</w:t>
      </w:r>
      <w:r w:rsidRPr="004F466C">
        <w:rPr>
          <w:rFonts w:ascii="David" w:hAnsi="David"/>
          <w:b w:val="0"/>
          <w:bCs w:val="0"/>
          <w:u w:val="none"/>
          <w:rtl/>
        </w:rPr>
        <w:t xml:space="preserve">, </w:t>
      </w:r>
      <w:r w:rsidR="003A2103" w:rsidRPr="004F466C">
        <w:rPr>
          <w:rFonts w:ascii="David" w:hAnsi="David"/>
          <w:b w:val="0"/>
          <w:bCs w:val="0"/>
          <w:u w:val="none"/>
          <w:rtl/>
        </w:rPr>
        <w:t>תקנות הפטור הותקנו כדי לפטור מחובת הרישיון הקבועה בחוק גופים מסוימים</w:t>
      </w:r>
      <w:r w:rsidRPr="004F466C">
        <w:rPr>
          <w:rFonts w:ascii="David" w:hAnsi="David"/>
          <w:b w:val="0"/>
          <w:bCs w:val="0"/>
          <w:u w:val="none"/>
          <w:rtl/>
        </w:rPr>
        <w:t>,</w:t>
      </w:r>
      <w:r w:rsidR="003A2103" w:rsidRPr="004F466C">
        <w:rPr>
          <w:rFonts w:ascii="David" w:hAnsi="David"/>
          <w:b w:val="0"/>
          <w:bCs w:val="0"/>
          <w:u w:val="none"/>
          <w:rtl/>
        </w:rPr>
        <w:t xml:space="preserve"> אשר תכליות </w:t>
      </w:r>
      <w:r w:rsidR="008605C9" w:rsidRPr="004F466C">
        <w:rPr>
          <w:rFonts w:ascii="David" w:hAnsi="David" w:hint="eastAsia"/>
          <w:b w:val="0"/>
          <w:bCs w:val="0"/>
          <w:u w:val="none"/>
          <w:rtl/>
        </w:rPr>
        <w:t>חובת</w:t>
      </w:r>
      <w:r w:rsidR="008605C9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8605C9" w:rsidRPr="004F466C">
        <w:rPr>
          <w:rFonts w:ascii="David" w:hAnsi="David" w:hint="eastAsia"/>
          <w:b w:val="0"/>
          <w:bCs w:val="0"/>
          <w:u w:val="none"/>
          <w:rtl/>
        </w:rPr>
        <w:t>הרישוי</w:t>
      </w:r>
      <w:r w:rsidRPr="004F466C">
        <w:rPr>
          <w:rFonts w:ascii="David" w:hAnsi="David"/>
          <w:b w:val="0"/>
          <w:bCs w:val="0"/>
          <w:u w:val="none"/>
          <w:rtl/>
        </w:rPr>
        <w:t xml:space="preserve"> שבחוק  – </w:t>
      </w:r>
      <w:r w:rsidRPr="004F466C">
        <w:rPr>
          <w:rFonts w:ascii="David" w:hAnsi="David" w:hint="eastAsia"/>
          <w:b w:val="0"/>
          <w:bCs w:val="0"/>
          <w:u w:val="none"/>
          <w:rtl/>
        </w:rPr>
        <w:t>שעיקרן</w:t>
      </w:r>
      <w:r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F667B5" w:rsidRPr="004F466C">
        <w:rPr>
          <w:rFonts w:ascii="David" w:hAnsi="David" w:hint="eastAsia"/>
          <w:b w:val="0"/>
          <w:bCs w:val="0"/>
          <w:u w:val="none"/>
          <w:rtl/>
        </w:rPr>
        <w:t>להקים</w:t>
      </w:r>
      <w:r w:rsidR="00F667B5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F667B5" w:rsidRPr="004F466C">
        <w:rPr>
          <w:rFonts w:ascii="David" w:hAnsi="David" w:hint="eastAsia"/>
          <w:b w:val="0"/>
          <w:bCs w:val="0"/>
          <w:u w:val="none"/>
          <w:rtl/>
        </w:rPr>
        <w:t>הגנה</w:t>
      </w:r>
      <w:r w:rsidR="00F667B5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F667B5" w:rsidRPr="004F466C">
        <w:rPr>
          <w:rFonts w:ascii="David" w:hAnsi="David" w:hint="eastAsia"/>
          <w:b w:val="0"/>
          <w:bCs w:val="0"/>
          <w:u w:val="none"/>
          <w:rtl/>
        </w:rPr>
        <w:t>מספקת</w:t>
      </w:r>
      <w:r w:rsidR="00F667B5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F667B5" w:rsidRPr="004F466C">
        <w:rPr>
          <w:rFonts w:ascii="David" w:hAnsi="David" w:hint="eastAsia"/>
          <w:b w:val="0"/>
          <w:bCs w:val="0"/>
          <w:u w:val="none"/>
          <w:rtl/>
        </w:rPr>
        <w:t>ללקוחות</w:t>
      </w:r>
      <w:r w:rsidR="00F667B5" w:rsidRPr="004F466C">
        <w:rPr>
          <w:rFonts w:ascii="David" w:hAnsi="David"/>
          <w:b w:val="0"/>
          <w:bCs w:val="0"/>
          <w:u w:val="none"/>
          <w:rtl/>
        </w:rPr>
        <w:t xml:space="preserve">, בין אם </w:t>
      </w:r>
      <w:r w:rsidR="008605C9" w:rsidRPr="004F466C">
        <w:rPr>
          <w:rFonts w:ascii="David" w:hAnsi="David" w:hint="eastAsia"/>
          <w:b w:val="0"/>
          <w:bCs w:val="0"/>
          <w:u w:val="none"/>
          <w:rtl/>
        </w:rPr>
        <w:t>כ</w:t>
      </w:r>
      <w:r w:rsidR="00F667B5" w:rsidRPr="004F466C">
        <w:rPr>
          <w:rFonts w:ascii="David" w:hAnsi="David" w:hint="eastAsia"/>
          <w:b w:val="0"/>
          <w:bCs w:val="0"/>
          <w:u w:val="none"/>
          <w:rtl/>
        </w:rPr>
        <w:t>יחידים</w:t>
      </w:r>
      <w:r w:rsidR="00F667B5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F667B5" w:rsidRPr="004F466C">
        <w:rPr>
          <w:rFonts w:ascii="David" w:hAnsi="David" w:hint="eastAsia"/>
          <w:b w:val="0"/>
          <w:bCs w:val="0"/>
          <w:u w:val="none"/>
          <w:rtl/>
        </w:rPr>
        <w:t>ובי</w:t>
      </w:r>
      <w:r w:rsidR="008605C9" w:rsidRPr="004F466C">
        <w:rPr>
          <w:rFonts w:ascii="David" w:hAnsi="David" w:hint="eastAsia"/>
          <w:b w:val="0"/>
          <w:bCs w:val="0"/>
          <w:u w:val="none"/>
          <w:rtl/>
        </w:rPr>
        <w:t>ן</w:t>
      </w:r>
      <w:r w:rsidR="00F667B5" w:rsidRPr="004F466C">
        <w:rPr>
          <w:rFonts w:ascii="David" w:hAnsi="David"/>
          <w:b w:val="0"/>
          <w:bCs w:val="0"/>
          <w:u w:val="none"/>
          <w:rtl/>
        </w:rPr>
        <w:t xml:space="preserve"> אם </w:t>
      </w:r>
      <w:r w:rsidR="008605C9" w:rsidRPr="004F466C">
        <w:rPr>
          <w:rFonts w:ascii="David" w:hAnsi="David" w:hint="eastAsia"/>
          <w:b w:val="0"/>
          <w:bCs w:val="0"/>
          <w:u w:val="none"/>
          <w:rtl/>
        </w:rPr>
        <w:t>כ</w:t>
      </w:r>
      <w:r w:rsidR="00F667B5" w:rsidRPr="004F466C">
        <w:rPr>
          <w:rFonts w:ascii="David" w:hAnsi="David" w:hint="eastAsia"/>
          <w:b w:val="0"/>
          <w:bCs w:val="0"/>
          <w:u w:val="none"/>
          <w:rtl/>
        </w:rPr>
        <w:t>תאגידים</w:t>
      </w:r>
      <w:r w:rsidR="00F667B5" w:rsidRPr="004F466C">
        <w:rPr>
          <w:rFonts w:ascii="David" w:hAnsi="David"/>
          <w:b w:val="0"/>
          <w:bCs w:val="0"/>
          <w:u w:val="none"/>
          <w:rtl/>
        </w:rPr>
        <w:t xml:space="preserve">, המקבלים שירותים פיננסיים </w:t>
      </w:r>
      <w:r w:rsidR="008605C9" w:rsidRPr="004F466C">
        <w:rPr>
          <w:rFonts w:ascii="David" w:hAnsi="David" w:hint="eastAsia"/>
          <w:b w:val="0"/>
          <w:bCs w:val="0"/>
          <w:u w:val="none"/>
          <w:rtl/>
        </w:rPr>
        <w:t>מוסדרים</w:t>
      </w:r>
      <w:r w:rsidR="008605C9" w:rsidRPr="004F466C">
        <w:rPr>
          <w:rFonts w:ascii="David" w:hAnsi="David"/>
          <w:b w:val="0"/>
          <w:bCs w:val="0"/>
          <w:u w:val="none"/>
          <w:rtl/>
        </w:rPr>
        <w:t xml:space="preserve"> </w:t>
      </w:r>
      <w:r w:rsidR="00F72383" w:rsidRPr="004F466C">
        <w:rPr>
          <w:rFonts w:ascii="David" w:hAnsi="David" w:hint="eastAsia"/>
          <w:b w:val="0"/>
          <w:bCs w:val="0"/>
          <w:u w:val="none"/>
          <w:rtl/>
        </w:rPr>
        <w:t>בישראל</w:t>
      </w:r>
      <w:r w:rsidR="00616ECD" w:rsidRPr="004F466C">
        <w:rPr>
          <w:rFonts w:ascii="David" w:hAnsi="David"/>
          <w:b w:val="0"/>
          <w:bCs w:val="0"/>
          <w:u w:val="none"/>
          <w:rtl/>
        </w:rPr>
        <w:t xml:space="preserve"> – אינן מתקיימות בעניינ</w:t>
      </w:r>
      <w:r w:rsidR="004F466C">
        <w:rPr>
          <w:rFonts w:ascii="David" w:hAnsi="David" w:hint="cs"/>
          <w:b w:val="0"/>
          <w:bCs w:val="0"/>
          <w:u w:val="none"/>
          <w:rtl/>
        </w:rPr>
        <w:t>ם</w:t>
      </w:r>
      <w:r w:rsidR="00F667B5" w:rsidRPr="004F466C">
        <w:rPr>
          <w:rFonts w:ascii="David" w:hAnsi="David" w:hint="cs"/>
          <w:b w:val="0"/>
          <w:bCs w:val="0"/>
          <w:u w:val="none"/>
          <w:rtl/>
        </w:rPr>
        <w:t>. בין התכליות שנמצאו כמצדיקות בעבר מתן פטור מחובת רישוי, ניתן למצוא גופים אשר פועלים בתחום השירותים פיננסיים</w:t>
      </w:r>
      <w:r w:rsidR="00C4372A" w:rsidRPr="004F466C">
        <w:rPr>
          <w:rFonts w:ascii="David" w:hAnsi="David" w:hint="cs"/>
          <w:b w:val="0"/>
          <w:bCs w:val="0"/>
          <w:u w:val="none"/>
          <w:rtl/>
        </w:rPr>
        <w:t xml:space="preserve"> (להלן: </w:t>
      </w:r>
      <w:r w:rsidR="00C4372A" w:rsidRPr="00081FFA">
        <w:rPr>
          <w:rFonts w:ascii="David" w:hAnsi="David"/>
          <w:u w:val="none"/>
          <w:rtl/>
        </w:rPr>
        <w:t xml:space="preserve">"נותני </w:t>
      </w:r>
      <w:r w:rsidR="00C4372A" w:rsidRPr="00081FFA">
        <w:rPr>
          <w:rFonts w:ascii="David" w:hAnsi="David" w:hint="eastAsia"/>
          <w:u w:val="none"/>
          <w:rtl/>
        </w:rPr>
        <w:t>השירות</w:t>
      </w:r>
      <w:r w:rsidR="00C4372A" w:rsidRPr="00081FFA">
        <w:rPr>
          <w:rFonts w:ascii="David" w:hAnsi="David"/>
          <w:u w:val="none"/>
          <w:rtl/>
        </w:rPr>
        <w:t>"</w:t>
      </w:r>
      <w:r w:rsidR="00C4372A" w:rsidRPr="004F466C">
        <w:rPr>
          <w:rFonts w:ascii="David" w:hAnsi="David" w:hint="cs"/>
          <w:b w:val="0"/>
          <w:bCs w:val="0"/>
          <w:u w:val="none"/>
          <w:rtl/>
        </w:rPr>
        <w:t>)</w:t>
      </w:r>
      <w:r w:rsidR="00F667B5" w:rsidRPr="004F466C">
        <w:rPr>
          <w:rFonts w:ascii="David" w:hAnsi="David" w:hint="cs"/>
          <w:u w:val="none"/>
          <w:rtl/>
        </w:rPr>
        <w:t>,</w:t>
      </w:r>
      <w:r w:rsidR="00F667B5" w:rsidRPr="00081FFA">
        <w:rPr>
          <w:rFonts w:ascii="David" w:hAnsi="David"/>
          <w:b w:val="0"/>
          <w:bCs w:val="0"/>
          <w:u w:val="none"/>
          <w:rtl/>
        </w:rPr>
        <w:t>שמתקיים בה</w:t>
      </w:r>
      <w:r w:rsidR="008605C9" w:rsidRPr="004F466C">
        <w:rPr>
          <w:rFonts w:ascii="David" w:hAnsi="David" w:hint="cs"/>
          <w:b w:val="0"/>
          <w:bCs w:val="0"/>
          <w:u w:val="none"/>
          <w:rtl/>
        </w:rPr>
        <w:t>ם</w:t>
      </w:r>
      <w:r w:rsidR="00F667B5" w:rsidRPr="00081FFA">
        <w:rPr>
          <w:rFonts w:ascii="David" w:hAnsi="David"/>
          <w:b w:val="0"/>
          <w:bCs w:val="0"/>
          <w:u w:val="none"/>
          <w:rtl/>
        </w:rPr>
        <w:t xml:space="preserve"> אחד מאלה </w:t>
      </w:r>
      <w:r w:rsidR="00F667B5" w:rsidRPr="004F466C">
        <w:rPr>
          <w:rFonts w:ascii="David" w:hAnsi="David"/>
          <w:b w:val="0"/>
          <w:bCs w:val="0"/>
          <w:u w:val="none"/>
          <w:rtl/>
        </w:rPr>
        <w:t>–</w:t>
      </w:r>
      <w:r w:rsidR="00F667B5">
        <w:rPr>
          <w:rFonts w:ascii="David" w:hAnsi="David" w:hint="cs"/>
          <w:b w:val="0"/>
          <w:bCs w:val="0"/>
          <w:u w:val="none"/>
          <w:rtl/>
        </w:rPr>
        <w:t xml:space="preserve"> </w:t>
      </w:r>
    </w:p>
    <w:p w14:paraId="507C2E06" w14:textId="77777777" w:rsidR="00EE66CE" w:rsidRPr="00081FFA" w:rsidRDefault="00F667B5" w:rsidP="00081FFA">
      <w:pPr>
        <w:pStyle w:val="1"/>
        <w:numPr>
          <w:ilvl w:val="0"/>
          <w:numId w:val="20"/>
        </w:numPr>
        <w:spacing w:line="360" w:lineRule="auto"/>
        <w:jc w:val="both"/>
        <w:rPr>
          <w:b w:val="0"/>
          <w:bCs w:val="0"/>
          <w:u w:val="none"/>
          <w:rtl/>
        </w:rPr>
      </w:pPr>
      <w:r>
        <w:rPr>
          <w:rFonts w:ascii="David" w:hAnsi="David" w:hint="cs"/>
          <w:b w:val="0"/>
          <w:bCs w:val="0"/>
          <w:u w:val="none"/>
          <w:rtl/>
        </w:rPr>
        <w:t xml:space="preserve">פעילותם של </w:t>
      </w:r>
      <w:r w:rsidR="00C4372A">
        <w:rPr>
          <w:rFonts w:ascii="David" w:hAnsi="David" w:hint="cs"/>
          <w:b w:val="0"/>
          <w:bCs w:val="0"/>
          <w:u w:val="none"/>
          <w:rtl/>
        </w:rPr>
        <w:t>נותני השירות</w:t>
      </w:r>
      <w:r>
        <w:rPr>
          <w:rFonts w:ascii="David" w:hAnsi="David" w:hint="cs"/>
          <w:b w:val="0"/>
          <w:bCs w:val="0"/>
          <w:u w:val="none"/>
          <w:rtl/>
        </w:rPr>
        <w:t xml:space="preserve"> מפוקחת </w:t>
      </w:r>
      <w:r w:rsidR="0024136A">
        <w:rPr>
          <w:rFonts w:ascii="David" w:hAnsi="David" w:hint="cs"/>
          <w:b w:val="0"/>
          <w:bCs w:val="0"/>
          <w:u w:val="none"/>
          <w:rtl/>
        </w:rPr>
        <w:t xml:space="preserve">באופן </w:t>
      </w:r>
      <w:r>
        <w:rPr>
          <w:rFonts w:ascii="David" w:hAnsi="David" w:hint="cs"/>
          <w:b w:val="0"/>
          <w:bCs w:val="0"/>
          <w:u w:val="none"/>
          <w:rtl/>
        </w:rPr>
        <w:t xml:space="preserve">מספק על ידי </w:t>
      </w:r>
      <w:r w:rsidR="0024136A">
        <w:rPr>
          <w:rFonts w:ascii="David" w:hAnsi="David" w:hint="cs"/>
          <w:b w:val="0"/>
          <w:bCs w:val="0"/>
          <w:u w:val="none"/>
          <w:rtl/>
        </w:rPr>
        <w:t>מאסדר (</w:t>
      </w:r>
      <w:r>
        <w:rPr>
          <w:rFonts w:ascii="David" w:hAnsi="David" w:hint="cs"/>
          <w:b w:val="0"/>
          <w:bCs w:val="0"/>
          <w:u w:val="none"/>
          <w:rtl/>
        </w:rPr>
        <w:t>רגולטור</w:t>
      </w:r>
      <w:r w:rsidR="0024136A">
        <w:rPr>
          <w:rFonts w:ascii="David" w:hAnsi="David" w:hint="cs"/>
          <w:b w:val="0"/>
          <w:bCs w:val="0"/>
          <w:u w:val="none"/>
          <w:rtl/>
        </w:rPr>
        <w:t>)</w:t>
      </w:r>
      <w:r>
        <w:rPr>
          <w:rFonts w:ascii="David" w:hAnsi="David" w:hint="cs"/>
          <w:b w:val="0"/>
          <w:bCs w:val="0"/>
          <w:u w:val="none"/>
          <w:rtl/>
        </w:rPr>
        <w:t xml:space="preserve"> אחר</w:t>
      </w:r>
      <w:r w:rsidRPr="00081FFA">
        <w:rPr>
          <w:b w:val="0"/>
          <w:bCs w:val="0"/>
          <w:u w:val="none"/>
          <w:rtl/>
        </w:rPr>
        <w:t xml:space="preserve">, הן בהיבטי הגנת הלקוחות והן בהיבטי </w:t>
      </w:r>
      <w:r w:rsidR="00C4372A">
        <w:rPr>
          <w:rFonts w:hint="cs"/>
          <w:b w:val="0"/>
          <w:bCs w:val="0"/>
          <w:u w:val="none"/>
          <w:rtl/>
        </w:rPr>
        <w:t xml:space="preserve">איסור </w:t>
      </w:r>
      <w:r w:rsidRPr="00081FFA">
        <w:rPr>
          <w:rFonts w:hint="eastAsia"/>
          <w:b w:val="0"/>
          <w:bCs w:val="0"/>
          <w:u w:val="none"/>
          <w:rtl/>
        </w:rPr>
        <w:t>הלבנת</w:t>
      </w:r>
      <w:r w:rsidRPr="00081FFA">
        <w:rPr>
          <w:b w:val="0"/>
          <w:bCs w:val="0"/>
          <w:u w:val="none"/>
          <w:rtl/>
        </w:rPr>
        <w:t xml:space="preserve"> </w:t>
      </w:r>
      <w:r w:rsidRPr="00081FFA">
        <w:rPr>
          <w:rFonts w:hint="eastAsia"/>
          <w:b w:val="0"/>
          <w:bCs w:val="0"/>
          <w:u w:val="none"/>
          <w:rtl/>
        </w:rPr>
        <w:t>הון</w:t>
      </w:r>
      <w:r w:rsidR="0024136A">
        <w:rPr>
          <w:rFonts w:hint="cs"/>
          <w:b w:val="0"/>
          <w:bCs w:val="0"/>
          <w:u w:val="none"/>
          <w:rtl/>
        </w:rPr>
        <w:t xml:space="preserve"> ומימון טרור;</w:t>
      </w:r>
    </w:p>
    <w:p w14:paraId="46FE71F9" w14:textId="77777777" w:rsidR="00F667B5" w:rsidRDefault="00F667B5" w:rsidP="00081FFA">
      <w:pPr>
        <w:pStyle w:val="a7"/>
        <w:numPr>
          <w:ilvl w:val="0"/>
          <w:numId w:val="20"/>
        </w:numPr>
      </w:pPr>
      <w:r>
        <w:rPr>
          <w:rFonts w:hint="cs"/>
          <w:rtl/>
        </w:rPr>
        <w:lastRenderedPageBreak/>
        <w:t>מתן השירותים הפיננסי</w:t>
      </w:r>
      <w:r w:rsidR="0024136A">
        <w:rPr>
          <w:rFonts w:hint="cs"/>
          <w:rtl/>
        </w:rPr>
        <w:t>י</w:t>
      </w:r>
      <w:r>
        <w:rPr>
          <w:rFonts w:hint="cs"/>
          <w:rtl/>
        </w:rPr>
        <w:t>ם ניתן כחלק מעסקאות מורכבות הניתנות ל"לקוחות מתוחכמים"</w:t>
      </w:r>
      <w:r w:rsidR="0024136A">
        <w:rPr>
          <w:rFonts w:hint="cs"/>
          <w:rtl/>
        </w:rPr>
        <w:t xml:space="preserve">. זאת, מתוך הערכה כי </w:t>
      </w:r>
      <w:proofErr w:type="spellStart"/>
      <w:r>
        <w:rPr>
          <w:rFonts w:hint="cs"/>
          <w:rtl/>
        </w:rPr>
        <w:t>ההגנות</w:t>
      </w:r>
      <w:proofErr w:type="spellEnd"/>
      <w:r>
        <w:rPr>
          <w:rFonts w:hint="cs"/>
          <w:rtl/>
        </w:rPr>
        <w:t xml:space="preserve"> שאותן </w:t>
      </w:r>
      <w:r w:rsidR="00C4372A">
        <w:rPr>
          <w:rFonts w:hint="cs"/>
          <w:rtl/>
        </w:rPr>
        <w:t>מספק החוק, בין היתר בשים לב ל</w:t>
      </w:r>
      <w:r>
        <w:rPr>
          <w:rFonts w:hint="cs"/>
          <w:rtl/>
        </w:rPr>
        <w:t>פער הכוחות המובנה שבין נותן שירות ללקוח, אינן נדרשות בעניינם</w:t>
      </w:r>
      <w:r w:rsidR="0024136A">
        <w:rPr>
          <w:rFonts w:hint="cs"/>
          <w:rtl/>
        </w:rPr>
        <w:t>;</w:t>
      </w:r>
    </w:p>
    <w:p w14:paraId="2A673679" w14:textId="77777777" w:rsidR="00F667B5" w:rsidRDefault="0024136A" w:rsidP="00081FFA">
      <w:pPr>
        <w:pStyle w:val="a7"/>
        <w:numPr>
          <w:ilvl w:val="0"/>
          <w:numId w:val="20"/>
        </w:numPr>
      </w:pPr>
      <w:r>
        <w:rPr>
          <w:rFonts w:hint="cs"/>
          <w:rtl/>
        </w:rPr>
        <w:t xml:space="preserve">תאגידים </w:t>
      </w:r>
      <w:r w:rsidR="00C4372A">
        <w:rPr>
          <w:rFonts w:hint="cs"/>
          <w:rtl/>
        </w:rPr>
        <w:t xml:space="preserve">נותני שירות </w:t>
      </w:r>
      <w:r w:rsidR="00F667B5">
        <w:rPr>
          <w:rFonts w:hint="cs"/>
          <w:rtl/>
        </w:rPr>
        <w:t>אשר הוקמו על מנת לייעל ולסייע לפעילות</w:t>
      </w:r>
      <w:r w:rsidR="00C4372A">
        <w:rPr>
          <w:rFonts w:hint="cs"/>
          <w:rtl/>
        </w:rPr>
        <w:t xml:space="preserve"> שמתבצעת בידי בעל רישיון לפי החוק, אשר עוסק גם בתפעול השירותים הפיננסיים </w:t>
      </w:r>
      <w:r>
        <w:rPr>
          <w:rFonts w:hint="cs"/>
          <w:rtl/>
        </w:rPr>
        <w:t xml:space="preserve">המוסדרים </w:t>
      </w:r>
      <w:r w:rsidR="00C4372A">
        <w:rPr>
          <w:rFonts w:hint="cs"/>
          <w:rtl/>
        </w:rPr>
        <w:t>הניתנים על ידי אותם גופים</w:t>
      </w:r>
      <w:r>
        <w:rPr>
          <w:rFonts w:hint="cs"/>
          <w:rtl/>
        </w:rPr>
        <w:t>;</w:t>
      </w:r>
    </w:p>
    <w:p w14:paraId="54A191B4" w14:textId="77777777" w:rsidR="00C4372A" w:rsidRPr="00F667B5" w:rsidRDefault="00C4372A" w:rsidP="00081FFA">
      <w:pPr>
        <w:pStyle w:val="a7"/>
        <w:numPr>
          <w:ilvl w:val="0"/>
          <w:numId w:val="20"/>
        </w:numPr>
        <w:rPr>
          <w:rtl/>
        </w:rPr>
      </w:pPr>
      <w:r>
        <w:rPr>
          <w:rFonts w:hint="cs"/>
          <w:rtl/>
        </w:rPr>
        <w:t xml:space="preserve">העיסוק במתן השירותים הפיננסיים </w:t>
      </w:r>
      <w:r w:rsidR="0024136A">
        <w:rPr>
          <w:rFonts w:hint="cs"/>
          <w:rtl/>
        </w:rPr>
        <w:t xml:space="preserve">המוסדרים </w:t>
      </w:r>
      <w:r>
        <w:rPr>
          <w:rFonts w:hint="cs"/>
          <w:rtl/>
        </w:rPr>
        <w:t>הוא נלווה וזניח לעיסוק מרכזי אחר שמתבצע על ידי נותן השירות.</w:t>
      </w:r>
    </w:p>
    <w:p w14:paraId="555F86BF" w14:textId="3CC1D007" w:rsidR="004917F5" w:rsidRPr="00081FFA" w:rsidRDefault="00081FFA" w:rsidP="00EC71F2">
      <w:pPr>
        <w:pStyle w:val="1"/>
        <w:spacing w:line="360" w:lineRule="auto"/>
        <w:ind w:left="282" w:firstLine="0"/>
        <w:jc w:val="both"/>
        <w:rPr>
          <w:rFonts w:ascii="David" w:hAnsi="David"/>
          <w:b w:val="0"/>
          <w:bCs w:val="0"/>
          <w:u w:val="none"/>
          <w:rtl/>
        </w:rPr>
      </w:pPr>
      <w:r w:rsidRPr="00081FFA">
        <w:rPr>
          <w:rFonts w:ascii="David" w:hAnsi="David" w:hint="cs"/>
          <w:b w:val="0"/>
          <w:bCs w:val="0"/>
          <w:u w:val="none"/>
          <w:rtl/>
        </w:rPr>
        <w:t>ההגדרות שבחוק לעניין "מתן אשראי" ולעניין "מתן שירות בנכס פיננסי", הן הגדרות רחבות הכוללות בתוכן מגוון רחב של פעולות ועיסוקים,</w:t>
      </w:r>
      <w:r w:rsidR="00C75D19" w:rsidRPr="00081FFA">
        <w:rPr>
          <w:rFonts w:ascii="David" w:hAnsi="David" w:hint="cs"/>
          <w:b w:val="0"/>
          <w:bCs w:val="0"/>
          <w:u w:val="none"/>
          <w:rtl/>
        </w:rPr>
        <w:t xml:space="preserve"> </w:t>
      </w:r>
      <w:r w:rsidRPr="00081FFA">
        <w:rPr>
          <w:rFonts w:ascii="David" w:hAnsi="David" w:hint="cs"/>
          <w:b w:val="0"/>
          <w:bCs w:val="0"/>
          <w:u w:val="none"/>
          <w:rtl/>
        </w:rPr>
        <w:t xml:space="preserve">אשר </w:t>
      </w:r>
      <w:r w:rsidR="00EC71F2">
        <w:rPr>
          <w:rFonts w:ascii="David" w:hAnsi="David" w:hint="cs"/>
          <w:b w:val="0"/>
          <w:bCs w:val="0"/>
          <w:u w:val="none"/>
          <w:rtl/>
        </w:rPr>
        <w:t xml:space="preserve">זכו להתפתחויות כלכליות ועסקיות בשנים האחרונות, </w:t>
      </w:r>
      <w:r w:rsidRPr="00081FFA">
        <w:rPr>
          <w:rFonts w:ascii="David" w:hAnsi="David" w:hint="cs"/>
          <w:b w:val="0"/>
          <w:bCs w:val="0"/>
          <w:u w:val="none"/>
          <w:rtl/>
        </w:rPr>
        <w:t>בין היתר לאור ההתפתחות הטכנולוגית</w:t>
      </w:r>
      <w:r w:rsidR="00EC71F2">
        <w:rPr>
          <w:rFonts w:ascii="David" w:hAnsi="David" w:hint="cs"/>
          <w:b w:val="0"/>
          <w:bCs w:val="0"/>
          <w:u w:val="none"/>
          <w:rtl/>
        </w:rPr>
        <w:t xml:space="preserve"> בתחומים אלה</w:t>
      </w:r>
      <w:r w:rsidRPr="00081FFA">
        <w:rPr>
          <w:rFonts w:ascii="David" w:hAnsi="David" w:hint="cs"/>
          <w:b w:val="0"/>
          <w:bCs w:val="0"/>
          <w:u w:val="none"/>
          <w:rtl/>
        </w:rPr>
        <w:t xml:space="preserve">. </w:t>
      </w:r>
      <w:r w:rsidR="00EC71F2">
        <w:rPr>
          <w:rFonts w:ascii="David" w:hAnsi="David" w:hint="cs"/>
          <w:b w:val="0"/>
          <w:bCs w:val="0"/>
          <w:u w:val="none"/>
          <w:rtl/>
        </w:rPr>
        <w:t xml:space="preserve">בשים לב לאמור, ונוכח </w:t>
      </w:r>
      <w:r w:rsidRPr="00081FFA">
        <w:rPr>
          <w:rFonts w:ascii="David" w:hAnsi="David" w:hint="cs"/>
          <w:b w:val="0"/>
          <w:bCs w:val="0"/>
          <w:u w:val="none"/>
          <w:rtl/>
        </w:rPr>
        <w:t xml:space="preserve">חלוף הזמן </w:t>
      </w:r>
      <w:r w:rsidR="00EC71F2">
        <w:rPr>
          <w:rFonts w:ascii="David" w:hAnsi="David" w:hint="cs"/>
          <w:b w:val="0"/>
          <w:bCs w:val="0"/>
          <w:u w:val="none"/>
          <w:rtl/>
        </w:rPr>
        <w:t xml:space="preserve">והניסיון שנצבר מעת כניסתן לתוקף של תקנות הפטור לראשונה, נמצא כי </w:t>
      </w:r>
      <w:r>
        <w:rPr>
          <w:rFonts w:ascii="David" w:hAnsi="David" w:hint="cs"/>
          <w:b w:val="0"/>
          <w:bCs w:val="0"/>
          <w:u w:val="none"/>
          <w:rtl/>
        </w:rPr>
        <w:t xml:space="preserve">יש מקום </w:t>
      </w:r>
      <w:r w:rsidR="00EC71F2">
        <w:rPr>
          <w:rFonts w:ascii="David" w:hAnsi="David" w:hint="cs"/>
          <w:b w:val="0"/>
          <w:bCs w:val="0"/>
          <w:u w:val="none"/>
          <w:rtl/>
        </w:rPr>
        <w:t>לשוב ו</w:t>
      </w:r>
      <w:r>
        <w:rPr>
          <w:rFonts w:ascii="David" w:hAnsi="David" w:hint="cs"/>
          <w:b w:val="0"/>
          <w:bCs w:val="0"/>
          <w:u w:val="none"/>
          <w:rtl/>
        </w:rPr>
        <w:t xml:space="preserve">לבחון את </w:t>
      </w:r>
      <w:r w:rsidR="00EC71F2">
        <w:rPr>
          <w:rFonts w:ascii="David" w:hAnsi="David" w:hint="cs"/>
          <w:b w:val="0"/>
          <w:bCs w:val="0"/>
          <w:u w:val="none"/>
          <w:rtl/>
        </w:rPr>
        <w:t xml:space="preserve">המקרים הראויים </w:t>
      </w:r>
      <w:r w:rsidR="00701332">
        <w:rPr>
          <w:rFonts w:ascii="David" w:hAnsi="David" w:hint="cs"/>
          <w:b w:val="0"/>
          <w:bCs w:val="0"/>
          <w:u w:val="none"/>
          <w:rtl/>
        </w:rPr>
        <w:t xml:space="preserve">למתן פטור </w:t>
      </w:r>
      <w:r w:rsidR="00EC71F2">
        <w:rPr>
          <w:rFonts w:ascii="David" w:hAnsi="David" w:hint="cs"/>
          <w:b w:val="0"/>
          <w:bCs w:val="0"/>
          <w:u w:val="none"/>
          <w:rtl/>
        </w:rPr>
        <w:t>מחובת רישוי וההצדקות המתאימות לכך</w:t>
      </w:r>
      <w:r w:rsidR="00701332">
        <w:rPr>
          <w:rFonts w:ascii="David" w:hAnsi="David" w:hint="cs"/>
          <w:b w:val="0"/>
          <w:bCs w:val="0"/>
          <w:u w:val="none"/>
          <w:rtl/>
        </w:rPr>
        <w:t xml:space="preserve">. </w:t>
      </w:r>
    </w:p>
    <w:p w14:paraId="4CC13DDB" w14:textId="77777777" w:rsidR="00EE66CE" w:rsidRPr="00EE66CE" w:rsidRDefault="00EE66CE" w:rsidP="00EE66CE">
      <w:pPr>
        <w:rPr>
          <w:rtl/>
        </w:rPr>
      </w:pPr>
    </w:p>
    <w:p w14:paraId="2C6EC6B0" w14:textId="77777777" w:rsidR="00635625" w:rsidRPr="00CB119A" w:rsidRDefault="006D1841" w:rsidP="00EE66CE">
      <w:pPr>
        <w:pStyle w:val="1"/>
        <w:numPr>
          <w:ilvl w:val="0"/>
          <w:numId w:val="8"/>
        </w:numPr>
        <w:spacing w:line="360" w:lineRule="auto"/>
        <w:ind w:left="282" w:hanging="282"/>
        <w:jc w:val="left"/>
        <w:rPr>
          <w:rFonts w:ascii="David" w:hAnsi="David"/>
          <w:u w:val="none"/>
        </w:rPr>
      </w:pPr>
      <w:r>
        <w:rPr>
          <w:rFonts w:ascii="David" w:hAnsi="David"/>
          <w:u w:val="none"/>
          <w:rtl/>
        </w:rPr>
        <w:t>נושא</w:t>
      </w:r>
      <w:r w:rsidR="00EF3F6A">
        <w:rPr>
          <w:rFonts w:ascii="David" w:hAnsi="David" w:hint="cs"/>
          <w:u w:val="none"/>
          <w:rtl/>
        </w:rPr>
        <w:t>ים</w:t>
      </w:r>
      <w:r w:rsidR="00635625" w:rsidRPr="00CB119A">
        <w:rPr>
          <w:rFonts w:ascii="David" w:hAnsi="David"/>
          <w:u w:val="none"/>
          <w:rtl/>
        </w:rPr>
        <w:t xml:space="preserve"> </w:t>
      </w:r>
      <w:r w:rsidR="0043660E">
        <w:rPr>
          <w:rFonts w:ascii="David" w:hAnsi="David" w:hint="cs"/>
          <w:u w:val="none"/>
          <w:rtl/>
        </w:rPr>
        <w:t>להתייחסות</w:t>
      </w:r>
    </w:p>
    <w:p w14:paraId="30C91665" w14:textId="63316F80" w:rsidR="00536F84" w:rsidRDefault="00536F84" w:rsidP="008605C9">
      <w:pPr>
        <w:pStyle w:val="1"/>
        <w:spacing w:line="360" w:lineRule="auto"/>
        <w:ind w:left="282" w:firstLine="0"/>
        <w:jc w:val="both"/>
        <w:rPr>
          <w:rFonts w:ascii="David" w:hAnsi="David"/>
          <w:b w:val="0"/>
          <w:bCs w:val="0"/>
          <w:u w:val="none"/>
          <w:rtl/>
        </w:rPr>
      </w:pPr>
      <w:r w:rsidRPr="00536F84">
        <w:rPr>
          <w:rFonts w:ascii="David" w:hAnsi="David"/>
          <w:b w:val="0"/>
          <w:bCs w:val="0"/>
          <w:u w:val="none"/>
          <w:rtl/>
        </w:rPr>
        <w:t>רשות שוק ההון בוחנת</w:t>
      </w:r>
      <w:r w:rsidRPr="00536F84">
        <w:rPr>
          <w:rFonts w:ascii="David" w:hAnsi="David" w:hint="cs"/>
          <w:b w:val="0"/>
          <w:bCs w:val="0"/>
          <w:u w:val="none"/>
          <w:rtl/>
        </w:rPr>
        <w:t xml:space="preserve"> כאמור</w:t>
      </w:r>
      <w:r w:rsidRPr="00536F84">
        <w:rPr>
          <w:rFonts w:ascii="David" w:hAnsi="David"/>
          <w:b w:val="0"/>
          <w:bCs w:val="0"/>
          <w:u w:val="none"/>
          <w:rtl/>
        </w:rPr>
        <w:t xml:space="preserve"> את הצורך בעדכון סוגי הגופים הפטורים </w:t>
      </w:r>
      <w:r w:rsidR="008605C9">
        <w:rPr>
          <w:rFonts w:ascii="David" w:hAnsi="David" w:hint="cs"/>
          <w:b w:val="0"/>
          <w:bCs w:val="0"/>
          <w:u w:val="none"/>
          <w:rtl/>
        </w:rPr>
        <w:t xml:space="preserve">בטרם </w:t>
      </w:r>
      <w:r w:rsidRPr="00536F84">
        <w:rPr>
          <w:rFonts w:ascii="David" w:hAnsi="David"/>
          <w:b w:val="0"/>
          <w:bCs w:val="0"/>
          <w:u w:val="none"/>
          <w:rtl/>
        </w:rPr>
        <w:t xml:space="preserve">הפיכת התקנות </w:t>
      </w:r>
      <w:r w:rsidRPr="00536F84">
        <w:rPr>
          <w:rFonts w:ascii="David" w:hAnsi="David" w:hint="cs"/>
          <w:b w:val="0"/>
          <w:bCs w:val="0"/>
          <w:u w:val="none"/>
          <w:rtl/>
        </w:rPr>
        <w:t>מ</w:t>
      </w:r>
      <w:r w:rsidRPr="00536F84">
        <w:rPr>
          <w:rFonts w:ascii="David" w:hAnsi="David"/>
          <w:b w:val="0"/>
          <w:bCs w:val="0"/>
          <w:u w:val="none"/>
          <w:rtl/>
        </w:rPr>
        <w:t>הוראת שעה לתקנות קבועות תוך התייחסות לתכליות החוק</w:t>
      </w:r>
      <w:r>
        <w:rPr>
          <w:rFonts w:ascii="David" w:hAnsi="David" w:hint="cs"/>
          <w:b w:val="0"/>
          <w:bCs w:val="0"/>
          <w:u w:val="none"/>
          <w:rtl/>
        </w:rPr>
        <w:t>.</w:t>
      </w:r>
      <w:r w:rsidR="00EC71F2">
        <w:rPr>
          <w:rFonts w:ascii="David" w:hAnsi="David" w:hint="cs"/>
          <w:b w:val="0"/>
          <w:bCs w:val="0"/>
          <w:u w:val="none"/>
          <w:rtl/>
        </w:rPr>
        <w:t xml:space="preserve"> </w:t>
      </w:r>
    </w:p>
    <w:p w14:paraId="2D6CECF8" w14:textId="77777777" w:rsidR="0095082C" w:rsidRDefault="00C71273" w:rsidP="00EE66CE">
      <w:pPr>
        <w:pStyle w:val="1"/>
        <w:spacing w:line="360" w:lineRule="auto"/>
        <w:ind w:left="282" w:firstLine="0"/>
        <w:jc w:val="both"/>
        <w:rPr>
          <w:rFonts w:ascii="David" w:hAnsi="David"/>
          <w:b w:val="0"/>
          <w:bCs w:val="0"/>
          <w:u w:val="none"/>
          <w:rtl/>
        </w:rPr>
      </w:pPr>
      <w:r>
        <w:rPr>
          <w:rFonts w:ascii="David" w:hAnsi="David" w:hint="cs"/>
          <w:b w:val="0"/>
          <w:bCs w:val="0"/>
          <w:u w:val="none"/>
          <w:rtl/>
        </w:rPr>
        <w:t>הרשות תבקש את התייחסותכם</w:t>
      </w:r>
      <w:r w:rsidR="0095082C">
        <w:rPr>
          <w:rFonts w:ascii="David" w:hAnsi="David" w:hint="cs"/>
          <w:b w:val="0"/>
          <w:bCs w:val="0"/>
          <w:u w:val="none"/>
          <w:rtl/>
        </w:rPr>
        <w:t xml:space="preserve"> </w:t>
      </w:r>
      <w:r w:rsidR="00375092">
        <w:rPr>
          <w:rFonts w:ascii="David" w:hAnsi="David" w:hint="cs"/>
          <w:b w:val="0"/>
          <w:bCs w:val="0"/>
          <w:u w:val="none"/>
          <w:rtl/>
        </w:rPr>
        <w:t xml:space="preserve">המנומקת בכתב, </w:t>
      </w:r>
      <w:r w:rsidR="0095082C">
        <w:rPr>
          <w:rFonts w:ascii="David" w:hAnsi="David" w:hint="cs"/>
          <w:b w:val="0"/>
          <w:bCs w:val="0"/>
          <w:u w:val="none"/>
          <w:rtl/>
        </w:rPr>
        <w:t>לנושאים הבאים:</w:t>
      </w:r>
    </w:p>
    <w:p w14:paraId="46CBBC7C" w14:textId="77777777" w:rsidR="009D681E" w:rsidRDefault="0095082C" w:rsidP="00E16E61">
      <w:pPr>
        <w:pStyle w:val="1"/>
        <w:numPr>
          <w:ilvl w:val="0"/>
          <w:numId w:val="17"/>
        </w:numPr>
        <w:spacing w:line="360" w:lineRule="auto"/>
        <w:ind w:left="1003" w:hanging="357"/>
        <w:jc w:val="both"/>
        <w:rPr>
          <w:rFonts w:ascii="David" w:hAnsi="David"/>
          <w:b w:val="0"/>
          <w:bCs w:val="0"/>
          <w:u w:val="none"/>
          <w:rtl/>
        </w:rPr>
      </w:pPr>
      <w:r>
        <w:rPr>
          <w:rFonts w:ascii="David" w:hAnsi="David" w:hint="cs"/>
          <w:b w:val="0"/>
          <w:bCs w:val="0"/>
          <w:u w:val="none"/>
          <w:rtl/>
        </w:rPr>
        <w:t>סוגי</w:t>
      </w:r>
      <w:r w:rsidR="00C71273">
        <w:rPr>
          <w:rFonts w:ascii="David" w:hAnsi="David" w:hint="cs"/>
          <w:b w:val="0"/>
          <w:bCs w:val="0"/>
          <w:u w:val="none"/>
          <w:rtl/>
        </w:rPr>
        <w:t xml:space="preserve"> גופים</w:t>
      </w:r>
      <w:r w:rsidR="00080C36">
        <w:rPr>
          <w:rFonts w:ascii="David" w:hAnsi="David" w:hint="cs"/>
          <w:b w:val="0"/>
          <w:bCs w:val="0"/>
          <w:u w:val="none"/>
          <w:rtl/>
        </w:rPr>
        <w:t xml:space="preserve"> </w:t>
      </w:r>
      <w:r w:rsidR="00DA4790" w:rsidRPr="004379BF">
        <w:rPr>
          <w:rFonts w:ascii="David" w:hAnsi="David"/>
          <w:b w:val="0"/>
          <w:bCs w:val="0"/>
          <w:u w:val="none"/>
          <w:rtl/>
        </w:rPr>
        <w:t>העוסקים במתן אשראי או במתן שירות בנכס פיננסי</w:t>
      </w:r>
      <w:r w:rsidR="006F0F25">
        <w:rPr>
          <w:rFonts w:ascii="David" w:hAnsi="David" w:hint="cs"/>
          <w:b w:val="0"/>
          <w:bCs w:val="0"/>
          <w:u w:val="none"/>
          <w:rtl/>
        </w:rPr>
        <w:t xml:space="preserve"> או בהפעלת מערכת לתיווך באשראי</w:t>
      </w:r>
      <w:r w:rsidR="004E5B42">
        <w:rPr>
          <w:rFonts w:ascii="David" w:hAnsi="David" w:hint="cs"/>
          <w:b w:val="0"/>
          <w:bCs w:val="0"/>
          <w:u w:val="none"/>
          <w:rtl/>
        </w:rPr>
        <w:t>,</w:t>
      </w:r>
      <w:r w:rsidR="00DA4790" w:rsidRPr="004379BF">
        <w:rPr>
          <w:rFonts w:ascii="David" w:hAnsi="David"/>
          <w:b w:val="0"/>
          <w:bCs w:val="0"/>
          <w:u w:val="none"/>
          <w:rtl/>
        </w:rPr>
        <w:t xml:space="preserve"> אשר</w:t>
      </w:r>
      <w:r w:rsidR="00375092">
        <w:rPr>
          <w:rFonts w:ascii="David" w:hAnsi="David" w:hint="cs"/>
          <w:b w:val="0"/>
          <w:bCs w:val="0"/>
          <w:u w:val="none"/>
          <w:rtl/>
        </w:rPr>
        <w:t xml:space="preserve"> חלה עליהם ה</w:t>
      </w:r>
      <w:r w:rsidR="00A144D3" w:rsidRPr="00A144D3">
        <w:rPr>
          <w:rFonts w:ascii="David" w:hAnsi="David"/>
          <w:b w:val="0"/>
          <w:bCs w:val="0"/>
          <w:u w:val="none"/>
          <w:rtl/>
        </w:rPr>
        <w:t xml:space="preserve">חובה להחזיק ברישיון </w:t>
      </w:r>
      <w:r w:rsidR="00E16E61">
        <w:rPr>
          <w:rFonts w:ascii="David" w:hAnsi="David" w:hint="cs"/>
          <w:b w:val="0"/>
          <w:bCs w:val="0"/>
          <w:u w:val="none"/>
          <w:rtl/>
        </w:rPr>
        <w:t>מתאים לפי החוק</w:t>
      </w:r>
      <w:r w:rsidR="00375092">
        <w:rPr>
          <w:rFonts w:ascii="David" w:hAnsi="David" w:hint="cs"/>
          <w:b w:val="0"/>
          <w:bCs w:val="0"/>
          <w:u w:val="none"/>
          <w:rtl/>
        </w:rPr>
        <w:t>,</w:t>
      </w:r>
      <w:r>
        <w:rPr>
          <w:rFonts w:ascii="David" w:hAnsi="David" w:hint="cs"/>
          <w:b w:val="0"/>
          <w:bCs w:val="0"/>
          <w:u w:val="none"/>
          <w:rtl/>
        </w:rPr>
        <w:t xml:space="preserve"> א</w:t>
      </w:r>
      <w:r w:rsidRPr="0095082C">
        <w:rPr>
          <w:rFonts w:ascii="David" w:hAnsi="David"/>
          <w:b w:val="0"/>
          <w:bCs w:val="0"/>
          <w:u w:val="none"/>
          <w:rtl/>
        </w:rPr>
        <w:t xml:space="preserve">ך </w:t>
      </w:r>
      <w:r w:rsidRPr="0095082C">
        <w:rPr>
          <w:rFonts w:ascii="David" w:hAnsi="David" w:hint="cs"/>
          <w:b w:val="0"/>
          <w:bCs w:val="0"/>
          <w:u w:val="none"/>
          <w:rtl/>
        </w:rPr>
        <w:t xml:space="preserve">תכליות החקיקה </w:t>
      </w:r>
      <w:r w:rsidR="00A04396">
        <w:rPr>
          <w:rFonts w:ascii="David" w:hAnsi="David" w:hint="cs"/>
          <w:b w:val="0"/>
          <w:bCs w:val="0"/>
          <w:u w:val="none"/>
          <w:rtl/>
        </w:rPr>
        <w:t xml:space="preserve">לכאורה </w:t>
      </w:r>
      <w:r w:rsidRPr="0095082C">
        <w:rPr>
          <w:rFonts w:ascii="David" w:hAnsi="David" w:hint="cs"/>
          <w:b w:val="0"/>
          <w:bCs w:val="0"/>
          <w:u w:val="none"/>
          <w:rtl/>
        </w:rPr>
        <w:t>אינן חלות בעניינ</w:t>
      </w:r>
      <w:r w:rsidR="008605C9">
        <w:rPr>
          <w:rFonts w:ascii="David" w:hAnsi="David" w:hint="cs"/>
          <w:b w:val="0"/>
          <w:bCs w:val="0"/>
          <w:u w:val="none"/>
          <w:rtl/>
        </w:rPr>
        <w:t>ן</w:t>
      </w:r>
      <w:r w:rsidR="00375092">
        <w:rPr>
          <w:rFonts w:ascii="David" w:hAnsi="David" w:hint="cs"/>
          <w:b w:val="0"/>
          <w:bCs w:val="0"/>
          <w:u w:val="none"/>
          <w:rtl/>
        </w:rPr>
        <w:t xml:space="preserve">, </w:t>
      </w:r>
      <w:r w:rsidR="00E16E61">
        <w:rPr>
          <w:rFonts w:ascii="David" w:hAnsi="David" w:hint="cs"/>
          <w:b w:val="0"/>
          <w:bCs w:val="0"/>
          <w:u w:val="none"/>
          <w:rtl/>
        </w:rPr>
        <w:t>ו</w:t>
      </w:r>
      <w:r w:rsidR="004B008E">
        <w:rPr>
          <w:rFonts w:ascii="David" w:hAnsi="David" w:hint="cs"/>
          <w:b w:val="0"/>
          <w:bCs w:val="0"/>
          <w:u w:val="none"/>
          <w:rtl/>
        </w:rPr>
        <w:t>יש</w:t>
      </w:r>
      <w:r w:rsidRPr="0095082C">
        <w:rPr>
          <w:rFonts w:ascii="David" w:hAnsi="David" w:hint="cs"/>
          <w:b w:val="0"/>
          <w:bCs w:val="0"/>
          <w:u w:val="none"/>
          <w:rtl/>
        </w:rPr>
        <w:t xml:space="preserve"> </w:t>
      </w:r>
      <w:r w:rsidR="00375092">
        <w:rPr>
          <w:rFonts w:ascii="David" w:hAnsi="David" w:hint="cs"/>
          <w:b w:val="0"/>
          <w:bCs w:val="0"/>
          <w:u w:val="none"/>
          <w:rtl/>
        </w:rPr>
        <w:t xml:space="preserve">לשקול </w:t>
      </w:r>
      <w:r w:rsidRPr="0095082C">
        <w:rPr>
          <w:rFonts w:ascii="David" w:hAnsi="David" w:hint="cs"/>
          <w:b w:val="0"/>
          <w:bCs w:val="0"/>
          <w:u w:val="none"/>
          <w:rtl/>
        </w:rPr>
        <w:t>לפטור</w:t>
      </w:r>
      <w:r w:rsidRPr="0095082C">
        <w:rPr>
          <w:rFonts w:ascii="David" w:hAnsi="David"/>
          <w:b w:val="0"/>
          <w:bCs w:val="0"/>
          <w:u w:val="none"/>
          <w:rtl/>
        </w:rPr>
        <w:t xml:space="preserve"> גופים</w:t>
      </w:r>
      <w:r w:rsidRPr="0095082C">
        <w:rPr>
          <w:rFonts w:ascii="David" w:hAnsi="David" w:hint="cs"/>
          <w:b w:val="0"/>
          <w:bCs w:val="0"/>
          <w:u w:val="none"/>
          <w:rtl/>
        </w:rPr>
        <w:t xml:space="preserve"> </w:t>
      </w:r>
      <w:r w:rsidRPr="0095082C">
        <w:rPr>
          <w:rFonts w:ascii="David" w:hAnsi="David"/>
          <w:b w:val="0"/>
          <w:bCs w:val="0"/>
          <w:u w:val="none"/>
          <w:rtl/>
        </w:rPr>
        <w:t>אל</w:t>
      </w:r>
      <w:r w:rsidRPr="0095082C">
        <w:rPr>
          <w:rFonts w:ascii="David" w:hAnsi="David" w:hint="cs"/>
          <w:b w:val="0"/>
          <w:bCs w:val="0"/>
          <w:u w:val="none"/>
          <w:rtl/>
        </w:rPr>
        <w:t>ה</w:t>
      </w:r>
      <w:r w:rsidRPr="0095082C">
        <w:rPr>
          <w:rFonts w:ascii="David" w:hAnsi="David"/>
          <w:b w:val="0"/>
          <w:bCs w:val="0"/>
          <w:u w:val="none"/>
          <w:rtl/>
        </w:rPr>
        <w:t xml:space="preserve"> מחובת הרישוי המעוגנ</w:t>
      </w:r>
      <w:r w:rsidRPr="0095082C">
        <w:rPr>
          <w:rFonts w:ascii="David" w:hAnsi="David" w:hint="cs"/>
          <w:b w:val="0"/>
          <w:bCs w:val="0"/>
          <w:u w:val="none"/>
          <w:rtl/>
        </w:rPr>
        <w:t>ת</w:t>
      </w:r>
      <w:r w:rsidR="006F0F25">
        <w:rPr>
          <w:rFonts w:ascii="David" w:hAnsi="David"/>
          <w:b w:val="0"/>
          <w:bCs w:val="0"/>
          <w:u w:val="none"/>
          <w:rtl/>
        </w:rPr>
        <w:t xml:space="preserve"> בסעי</w:t>
      </w:r>
      <w:r w:rsidR="006F0F25">
        <w:rPr>
          <w:rFonts w:ascii="David" w:hAnsi="David" w:hint="cs"/>
          <w:b w:val="0"/>
          <w:bCs w:val="0"/>
          <w:u w:val="none"/>
          <w:rtl/>
        </w:rPr>
        <w:t>פים</w:t>
      </w:r>
      <w:r w:rsidRPr="0095082C">
        <w:rPr>
          <w:rFonts w:ascii="David" w:hAnsi="David"/>
          <w:b w:val="0"/>
          <w:bCs w:val="0"/>
          <w:u w:val="none"/>
          <w:rtl/>
        </w:rPr>
        <w:t xml:space="preserve"> 12</w:t>
      </w:r>
      <w:r w:rsidR="006F0F25">
        <w:rPr>
          <w:rFonts w:ascii="David" w:hAnsi="David" w:hint="cs"/>
          <w:b w:val="0"/>
          <w:bCs w:val="0"/>
          <w:u w:val="none"/>
          <w:rtl/>
        </w:rPr>
        <w:t xml:space="preserve"> ו-25</w:t>
      </w:r>
      <w:r w:rsidR="00E16E61">
        <w:rPr>
          <w:rFonts w:ascii="David" w:hAnsi="David" w:hint="cs"/>
          <w:b w:val="0"/>
          <w:bCs w:val="0"/>
          <w:u w:val="none"/>
          <w:rtl/>
        </w:rPr>
        <w:t>יח</w:t>
      </w:r>
      <w:r w:rsidRPr="0095082C">
        <w:rPr>
          <w:rFonts w:ascii="David" w:hAnsi="David"/>
          <w:b w:val="0"/>
          <w:bCs w:val="0"/>
          <w:u w:val="none"/>
          <w:rtl/>
        </w:rPr>
        <w:t xml:space="preserve"> לחוק</w:t>
      </w:r>
      <w:r>
        <w:rPr>
          <w:rFonts w:ascii="David" w:hAnsi="David" w:hint="cs"/>
          <w:b w:val="0"/>
          <w:bCs w:val="0"/>
          <w:u w:val="none"/>
          <w:rtl/>
        </w:rPr>
        <w:t>.</w:t>
      </w:r>
    </w:p>
    <w:p w14:paraId="110ACB73" w14:textId="77777777" w:rsidR="0071370D" w:rsidRDefault="00591142" w:rsidP="008605C9">
      <w:pPr>
        <w:pStyle w:val="1"/>
        <w:numPr>
          <w:ilvl w:val="0"/>
          <w:numId w:val="17"/>
        </w:numPr>
        <w:spacing w:line="360" w:lineRule="auto"/>
        <w:ind w:left="1003" w:hanging="357"/>
        <w:jc w:val="both"/>
        <w:rPr>
          <w:rFonts w:ascii="David" w:hAnsi="David"/>
          <w:b w:val="0"/>
          <w:bCs w:val="0"/>
          <w:u w:val="none"/>
          <w:rtl/>
        </w:rPr>
      </w:pPr>
      <w:r>
        <w:rPr>
          <w:rFonts w:ascii="David" w:hAnsi="David" w:hint="cs"/>
          <w:b w:val="0"/>
          <w:bCs w:val="0"/>
          <w:u w:val="none"/>
          <w:rtl/>
        </w:rPr>
        <w:t xml:space="preserve">סוגי </w:t>
      </w:r>
      <w:r w:rsidR="009B7FF8">
        <w:rPr>
          <w:rFonts w:ascii="David" w:hAnsi="David" w:hint="cs"/>
          <w:b w:val="0"/>
          <w:bCs w:val="0"/>
          <w:u w:val="none"/>
          <w:rtl/>
        </w:rPr>
        <w:t>ג</w:t>
      </w:r>
      <w:r>
        <w:rPr>
          <w:rFonts w:ascii="David" w:hAnsi="David" w:hint="cs"/>
          <w:b w:val="0"/>
          <w:bCs w:val="0"/>
          <w:u w:val="none"/>
          <w:rtl/>
        </w:rPr>
        <w:t>ופים אשר כיום</w:t>
      </w:r>
      <w:r w:rsidR="009B7FF8">
        <w:rPr>
          <w:rFonts w:ascii="David" w:hAnsi="David" w:hint="cs"/>
          <w:b w:val="0"/>
          <w:bCs w:val="0"/>
          <w:u w:val="none"/>
          <w:rtl/>
        </w:rPr>
        <w:t xml:space="preserve"> נמצאים בתוך </w:t>
      </w:r>
      <w:r w:rsidR="006A7447">
        <w:rPr>
          <w:rFonts w:ascii="David" w:hAnsi="David" w:hint="cs"/>
          <w:b w:val="0"/>
          <w:bCs w:val="0"/>
          <w:u w:val="none"/>
          <w:rtl/>
        </w:rPr>
        <w:t xml:space="preserve">תחולת </w:t>
      </w:r>
      <w:r w:rsidR="009B7FF8">
        <w:rPr>
          <w:rFonts w:ascii="David" w:hAnsi="David" w:hint="cs"/>
          <w:b w:val="0"/>
          <w:bCs w:val="0"/>
          <w:u w:val="none"/>
          <w:rtl/>
        </w:rPr>
        <w:t xml:space="preserve">תקנות הפטור </w:t>
      </w:r>
      <w:r w:rsidR="00FE5215">
        <w:rPr>
          <w:rFonts w:ascii="David" w:hAnsi="David" w:hint="cs"/>
          <w:b w:val="0"/>
          <w:bCs w:val="0"/>
          <w:u w:val="none"/>
          <w:rtl/>
        </w:rPr>
        <w:t>ויש מקום לבחון</w:t>
      </w:r>
      <w:r w:rsidR="00375092">
        <w:rPr>
          <w:rFonts w:ascii="David" w:hAnsi="David" w:hint="cs"/>
          <w:b w:val="0"/>
          <w:bCs w:val="0"/>
          <w:u w:val="none"/>
          <w:rtl/>
        </w:rPr>
        <w:t xml:space="preserve"> האם </w:t>
      </w:r>
      <w:r w:rsidR="008605C9">
        <w:rPr>
          <w:rFonts w:ascii="David" w:hAnsi="David" w:hint="cs"/>
          <w:b w:val="0"/>
          <w:bCs w:val="0"/>
          <w:u w:val="none"/>
          <w:rtl/>
        </w:rPr>
        <w:t xml:space="preserve">קיימים נימוקים </w:t>
      </w:r>
      <w:r w:rsidR="00375092">
        <w:rPr>
          <w:rFonts w:ascii="David" w:hAnsi="David" w:hint="cs"/>
          <w:b w:val="0"/>
          <w:bCs w:val="0"/>
          <w:u w:val="none"/>
          <w:rtl/>
        </w:rPr>
        <w:t>שלא להחיל עליהם את הפטור מחובת הרישוי</w:t>
      </w:r>
      <w:r>
        <w:rPr>
          <w:rFonts w:ascii="David" w:hAnsi="David" w:hint="cs"/>
          <w:b w:val="0"/>
          <w:bCs w:val="0"/>
          <w:u w:val="none"/>
          <w:rtl/>
        </w:rPr>
        <w:t>.</w:t>
      </w:r>
    </w:p>
    <w:p w14:paraId="135E76D9" w14:textId="77777777" w:rsidR="000B7D4A" w:rsidRDefault="000B7D4A" w:rsidP="00EE66CE">
      <w:pPr>
        <w:pStyle w:val="1"/>
        <w:spacing w:line="360" w:lineRule="auto"/>
        <w:ind w:left="0" w:firstLine="0"/>
        <w:jc w:val="left"/>
        <w:rPr>
          <w:rFonts w:ascii="David" w:hAnsi="David"/>
          <w:b w:val="0"/>
          <w:bCs w:val="0"/>
          <w:u w:val="none"/>
          <w:rtl/>
        </w:rPr>
      </w:pPr>
    </w:p>
    <w:p w14:paraId="2A022392" w14:textId="77777777" w:rsidR="005B2D11" w:rsidRPr="00CB119A" w:rsidRDefault="005B2D11" w:rsidP="00EE66CE">
      <w:pPr>
        <w:spacing w:line="360" w:lineRule="auto"/>
        <w:ind w:firstLine="0"/>
        <w:rPr>
          <w:rFonts w:ascii="David" w:hAnsi="David"/>
          <w:b/>
          <w:bCs/>
          <w:sz w:val="24"/>
          <w:szCs w:val="24"/>
          <w:rtl/>
        </w:rPr>
      </w:pPr>
      <w:bookmarkStart w:id="4" w:name="Reference"/>
      <w:bookmarkStart w:id="5" w:name="Start"/>
      <w:bookmarkEnd w:id="4"/>
      <w:bookmarkEnd w:id="5"/>
    </w:p>
    <w:p w14:paraId="2F1B6F7B" w14:textId="77777777" w:rsidR="00682682" w:rsidRPr="00CB119A" w:rsidRDefault="00682682" w:rsidP="0069622D">
      <w:pPr>
        <w:spacing w:line="360" w:lineRule="auto"/>
        <w:ind w:firstLine="0"/>
        <w:rPr>
          <w:rFonts w:ascii="David" w:hAnsi="David"/>
          <w:sz w:val="24"/>
          <w:szCs w:val="24"/>
          <w:rtl/>
        </w:rPr>
      </w:pPr>
    </w:p>
    <w:sectPr w:rsidR="00682682" w:rsidRPr="00CB119A"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284" w:footer="158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E1B52" w14:textId="77777777" w:rsidR="000F454D" w:rsidRDefault="000F454D">
      <w:r>
        <w:separator/>
      </w:r>
    </w:p>
  </w:endnote>
  <w:endnote w:type="continuationSeparator" w:id="0">
    <w:p w14:paraId="3681A537" w14:textId="77777777" w:rsidR="000F454D" w:rsidRDefault="000F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5646B" w14:textId="77777777" w:rsidR="00E16DC0" w:rsidRDefault="00E16DC0">
    <w:pPr>
      <w:pStyle w:val="a8"/>
      <w:pBdr>
        <w:top w:val="single" w:sz="4" w:space="1" w:color="auto"/>
      </w:pBdr>
      <w:tabs>
        <w:tab w:val="clear" w:pos="4153"/>
        <w:tab w:val="clear" w:pos="8306"/>
        <w:tab w:val="center" w:pos="4780"/>
        <w:tab w:val="right" w:pos="9666"/>
      </w:tabs>
      <w:spacing w:line="480" w:lineRule="auto"/>
      <w:jc w:val="both"/>
      <w:rPr>
        <w:rFonts w:cs="Times New Roman"/>
        <w:b/>
        <w:bCs/>
        <w:sz w:val="24"/>
        <w:u w:val="single"/>
        <w:rtl/>
      </w:rPr>
    </w:pPr>
    <w:r>
      <w:rPr>
        <w:rFonts w:hint="cs"/>
        <w:b/>
        <w:bCs/>
        <w:rtl/>
      </w:rPr>
      <w:t xml:space="preserve">רח' עם ועולמו 4 ירושלים </w:t>
    </w:r>
    <w:r>
      <w:rPr>
        <w:b/>
        <w:bCs/>
        <w:rtl/>
      </w:rPr>
      <w:t>9546304</w:t>
    </w:r>
    <w:r>
      <w:rPr>
        <w:rFonts w:hint="cs"/>
        <w:b/>
        <w:bCs/>
        <w:rtl/>
      </w:rPr>
      <w:t xml:space="preserve"> טל': 02-5317248 פקס': 02-5695342 </w:t>
    </w:r>
    <w:r>
      <w:rPr>
        <w:b/>
        <w:bCs/>
        <w:rtl/>
      </w:rPr>
      <w:br/>
    </w:r>
    <w:r>
      <w:rPr>
        <w:b/>
        <w:bCs/>
      </w:rPr>
      <w:tab/>
    </w:r>
    <w:hyperlink r:id="rId1" w:history="1">
      <w:r>
        <w:rPr>
          <w:rStyle w:val="Hyperlink"/>
          <w:b/>
          <w:bCs/>
        </w:rPr>
        <w:t>www.mof.gov.il/hon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57F9B" w14:textId="77777777" w:rsidR="00E16DC0" w:rsidRPr="00732F0B" w:rsidRDefault="00E16DC0" w:rsidP="00732F0B">
    <w:pPr>
      <w:pStyle w:val="a8"/>
      <w:pBdr>
        <w:top w:val="single" w:sz="4" w:space="1" w:color="auto"/>
      </w:pBdr>
      <w:tabs>
        <w:tab w:val="clear" w:pos="4153"/>
        <w:tab w:val="clear" w:pos="8306"/>
        <w:tab w:val="center" w:pos="4780"/>
        <w:tab w:val="right" w:pos="9666"/>
      </w:tabs>
      <w:spacing w:line="360" w:lineRule="auto"/>
      <w:jc w:val="center"/>
      <w:rPr>
        <w:rFonts w:ascii="David" w:hAnsi="David"/>
        <w:b/>
        <w:bCs/>
        <w:sz w:val="24"/>
        <w:szCs w:val="24"/>
        <w:u w:val="single"/>
        <w:rtl/>
      </w:rPr>
    </w:pPr>
    <w:r w:rsidRPr="00732F0B">
      <w:rPr>
        <w:rFonts w:ascii="David" w:hAnsi="David"/>
        <w:b/>
        <w:bCs/>
        <w:sz w:val="24"/>
        <w:szCs w:val="24"/>
        <w:rtl/>
      </w:rPr>
      <w:t xml:space="preserve">רח' עם ועולמו 4 ירושלים 9546304 טל': 02-5317248 פקס': 02-5695342 </w:t>
    </w:r>
    <w:r w:rsidRPr="00732F0B">
      <w:rPr>
        <w:rFonts w:ascii="David" w:hAnsi="David"/>
        <w:b/>
        <w:bCs/>
        <w:sz w:val="24"/>
        <w:szCs w:val="24"/>
        <w:rtl/>
      </w:rPr>
      <w:br/>
    </w:r>
    <w:r w:rsidRPr="009C2D52">
      <w:rPr>
        <w:rFonts w:ascii="David" w:hAnsi="David"/>
        <w:b/>
        <w:bCs/>
        <w:color w:val="0000FF"/>
        <w:sz w:val="24"/>
        <w:szCs w:val="24"/>
        <w:u w:val="single"/>
      </w:rPr>
      <w:t>https://go.gov.il/cma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5B82B" w14:textId="77777777" w:rsidR="000F454D" w:rsidRDefault="000F454D">
      <w:r>
        <w:separator/>
      </w:r>
    </w:p>
  </w:footnote>
  <w:footnote w:type="continuationSeparator" w:id="0">
    <w:p w14:paraId="38F76424" w14:textId="77777777" w:rsidR="000F454D" w:rsidRDefault="000F454D">
      <w:r>
        <w:continuationSeparator/>
      </w:r>
    </w:p>
  </w:footnote>
  <w:footnote w:id="1">
    <w:p w14:paraId="4F4144D1" w14:textId="77777777" w:rsidR="00E16DC0" w:rsidRDefault="00E16DC0" w:rsidP="00081FFA">
      <w:pPr>
        <w:pStyle w:val="ae"/>
        <w:ind w:hanging="1"/>
        <w:jc w:val="both"/>
        <w:rPr>
          <w:rtl/>
        </w:rPr>
      </w:pPr>
      <w:r>
        <w:rPr>
          <w:rStyle w:val="af0"/>
        </w:rPr>
        <w:footnoteRef/>
      </w:r>
      <w:r>
        <w:rPr>
          <w:rtl/>
        </w:rPr>
        <w:t xml:space="preserve"> </w:t>
      </w:r>
      <w:hyperlink r:id="rId1" w:history="1">
        <w:r w:rsidRPr="007618E4">
          <w:rPr>
            <w:rStyle w:val="Hyperlink"/>
          </w:rPr>
          <w:t>https://www.nevo.co.il/law_html/law01/501_962.htm</w:t>
        </w:r>
      </w:hyperlink>
      <w:r>
        <w:rPr>
          <w:rFonts w:hint="cs"/>
          <w:rtl/>
        </w:rPr>
        <w:t xml:space="preserve">. </w:t>
      </w:r>
      <w:r w:rsidRPr="00605B33">
        <w:rPr>
          <w:rtl/>
        </w:rPr>
        <w:t>תקנות הפטור נקבעו כהוראת שעה עד ליום 31 בדצמבר 2019, ו</w:t>
      </w:r>
      <w:r>
        <w:rPr>
          <w:rFonts w:hint="cs"/>
          <w:rtl/>
        </w:rPr>
        <w:t xml:space="preserve">אולם </w:t>
      </w:r>
      <w:r w:rsidRPr="00605B33">
        <w:rPr>
          <w:rtl/>
        </w:rPr>
        <w:t xml:space="preserve">עקב פיזור הכנסת </w:t>
      </w:r>
      <w:r>
        <w:rPr>
          <w:rFonts w:hint="cs"/>
          <w:rtl/>
        </w:rPr>
        <w:t xml:space="preserve">תוקפן הוארך מכוח סעיף 38 לחוק יסוד: הכנסת, </w:t>
      </w:r>
      <w:r w:rsidRPr="00605B33">
        <w:rPr>
          <w:rtl/>
        </w:rPr>
        <w:t xml:space="preserve">עד ליום 16 ביוני 2020. ביום 10 בדצמבר 2020 </w:t>
      </w:r>
      <w:r>
        <w:rPr>
          <w:rFonts w:hint="cs"/>
          <w:rtl/>
        </w:rPr>
        <w:t xml:space="preserve">הוארכה הוראת השעה ונקבע כי </w:t>
      </w:r>
      <w:r w:rsidRPr="00605B33">
        <w:rPr>
          <w:rtl/>
        </w:rPr>
        <w:t xml:space="preserve">תוקפן של תקנות הפטור </w:t>
      </w:r>
      <w:r>
        <w:rPr>
          <w:rFonts w:hint="cs"/>
          <w:rtl/>
        </w:rPr>
        <w:t>יוארך מיום 16 ביוני 2020</w:t>
      </w:r>
      <w:r w:rsidRPr="00605B33">
        <w:rPr>
          <w:rtl/>
        </w:rPr>
        <w:t xml:space="preserve"> עד ליום 31 בדצמבר 2021</w:t>
      </w:r>
      <w:r>
        <w:rPr>
          <w:rFonts w:hint="cs"/>
          <w:rtl/>
        </w:rPr>
        <w:t>.</w:t>
      </w:r>
    </w:p>
  </w:footnote>
  <w:footnote w:id="2">
    <w:p w14:paraId="15F9DA00" w14:textId="4BA0CBCC" w:rsidR="00C75D19" w:rsidRDefault="00C75D19" w:rsidP="00ED5E1A">
      <w:pPr>
        <w:pStyle w:val="ae"/>
        <w:ind w:hanging="1"/>
        <w:jc w:val="both"/>
        <w:rPr>
          <w:rtl/>
        </w:rPr>
      </w:pPr>
      <w:r>
        <w:rPr>
          <w:rStyle w:val="af0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ראו י' זמיר </w:t>
      </w:r>
      <w:r>
        <w:rPr>
          <w:rFonts w:hint="cs"/>
          <w:b/>
          <w:bCs/>
          <w:rtl/>
        </w:rPr>
        <w:t xml:space="preserve">הסמכות </w:t>
      </w:r>
      <w:proofErr w:type="spellStart"/>
      <w:r w:rsidRPr="00C75D19">
        <w:rPr>
          <w:rFonts w:hint="eastAsia"/>
          <w:b/>
          <w:bCs/>
          <w:rtl/>
        </w:rPr>
        <w:t>המינהלית</w:t>
      </w:r>
      <w:proofErr w:type="spellEnd"/>
      <w:r>
        <w:rPr>
          <w:rFonts w:hint="cs"/>
          <w:b/>
          <w:bCs/>
          <w:rtl/>
        </w:rPr>
        <w:t xml:space="preserve">, כרך א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המינהל</w:t>
      </w:r>
      <w:proofErr w:type="spellEnd"/>
      <w:r>
        <w:rPr>
          <w:rFonts w:hint="cs"/>
          <w:b/>
          <w:bCs/>
          <w:rtl/>
        </w:rPr>
        <w:t xml:space="preserve"> הציבורי</w:t>
      </w:r>
      <w:r>
        <w:rPr>
          <w:rFonts w:hint="cs"/>
          <w:rtl/>
        </w:rPr>
        <w:t xml:space="preserve"> (מהדורה שנייה מורחבת 2010)</w:t>
      </w:r>
      <w:r w:rsidRPr="00081FFA">
        <w:rPr>
          <w:b/>
          <w:bCs/>
          <w:rtl/>
        </w:rPr>
        <w:t xml:space="preserve"> </w:t>
      </w:r>
      <w:r>
        <w:rPr>
          <w:rFonts w:hint="cs"/>
          <w:rtl/>
        </w:rPr>
        <w:t>בעמ'</w:t>
      </w:r>
      <w:r w:rsidR="00DA304D">
        <w:rPr>
          <w:rFonts w:hint="cs"/>
          <w:rtl/>
        </w:rPr>
        <w:t xml:space="preserve"> 250-</w:t>
      </w:r>
      <w:r w:rsidR="00B41A6A">
        <w:rPr>
          <w:rFonts w:hint="cs"/>
          <w:rtl/>
        </w:rPr>
        <w:t>248</w:t>
      </w:r>
      <w:r w:rsidR="00ED5E1A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FDF3C" w14:textId="77777777" w:rsidR="00E16DC0" w:rsidRDefault="00E16DC0">
    <w:pPr>
      <w:pStyle w:val="ac"/>
      <w:jc w:val="center"/>
      <w:rPr>
        <w:b/>
        <w:bCs/>
        <w:szCs w:val="36"/>
        <w:rtl/>
      </w:rPr>
    </w:pPr>
    <w:r>
      <w:rPr>
        <w:rFonts w:hint="cs"/>
        <w:b/>
        <w:bCs/>
        <w:noProof/>
        <w:szCs w:val="36"/>
        <w:lang w:eastAsia="en-US"/>
      </w:rPr>
      <w:drawing>
        <wp:inline distT="0" distB="0" distL="0" distR="0" wp14:anchorId="6E9A4600" wp14:editId="343F9DEB">
          <wp:extent cx="563056" cy="446228"/>
          <wp:effectExtent l="0" t="0" r="0" b="0"/>
          <wp:docPr id="7" name="תמונה 7" descr="C:\Users\Shabed\Desktop\לוגו-ללא-טקסט.png" title="לוגו רשות שוק ההון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abed\Desktop\לוגו-ללא-טקסט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54" t="23133" r="15750" b="20365"/>
                  <a:stretch/>
                </pic:blipFill>
                <pic:spPr bwMode="auto">
                  <a:xfrm>
                    <a:off x="0" y="0"/>
                    <a:ext cx="564078" cy="4470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43ADD3" w14:textId="77777777" w:rsidR="00E16DC0" w:rsidRDefault="00E16DC0">
    <w:pPr>
      <w:pStyle w:val="ac"/>
      <w:pBdr>
        <w:bottom w:val="single" w:sz="12" w:space="1" w:color="auto"/>
      </w:pBdr>
      <w:jc w:val="center"/>
      <w:rPr>
        <w:b/>
        <w:bCs/>
        <w:szCs w:val="32"/>
        <w:rtl/>
      </w:rPr>
    </w:pPr>
    <w:r>
      <w:rPr>
        <w:rFonts w:hint="cs"/>
        <w:b/>
        <w:bCs/>
        <w:szCs w:val="32"/>
        <w:rtl/>
      </w:rPr>
      <w:t>מדינת ישראל</w:t>
    </w:r>
  </w:p>
  <w:p w14:paraId="7A707E38" w14:textId="77777777" w:rsidR="00E16DC0" w:rsidRDefault="00E16DC0">
    <w:pPr>
      <w:pStyle w:val="ac"/>
      <w:pBdr>
        <w:bottom w:val="single" w:sz="12" w:space="1" w:color="auto"/>
      </w:pBdr>
      <w:jc w:val="center"/>
      <w:rPr>
        <w:b/>
        <w:bCs/>
        <w:szCs w:val="32"/>
        <w:rtl/>
      </w:rPr>
    </w:pPr>
    <w:r>
      <w:rPr>
        <w:rFonts w:hint="cs"/>
        <w:b/>
        <w:bCs/>
        <w:szCs w:val="32"/>
        <w:rtl/>
      </w:rPr>
      <w:t>רשות</w:t>
    </w:r>
    <w:r>
      <w:rPr>
        <w:b/>
        <w:bCs/>
        <w:szCs w:val="32"/>
        <w:rtl/>
      </w:rPr>
      <w:t xml:space="preserve"> שוק ההו</w:t>
    </w:r>
    <w:r>
      <w:rPr>
        <w:rFonts w:hint="cs"/>
        <w:b/>
        <w:bCs/>
        <w:szCs w:val="32"/>
        <w:rtl/>
      </w:rPr>
      <w:t>ן</w:t>
    </w:r>
    <w:r>
      <w:rPr>
        <w:b/>
        <w:bCs/>
        <w:szCs w:val="32"/>
        <w:rtl/>
      </w:rPr>
      <w:t>, ביטוח וחיסכון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452B"/>
    <w:multiLevelType w:val="hybridMultilevel"/>
    <w:tmpl w:val="185CFB6C"/>
    <w:lvl w:ilvl="0" w:tplc="B07AA7F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368F8"/>
    <w:multiLevelType w:val="hybridMultilevel"/>
    <w:tmpl w:val="37BCADB0"/>
    <w:lvl w:ilvl="0" w:tplc="D448528C">
      <w:start w:val="1"/>
      <w:numFmt w:val="decimal"/>
      <w:lvlText w:val="(%1)"/>
      <w:lvlJc w:val="left"/>
      <w:pPr>
        <w:ind w:left="3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7" w:hanging="360"/>
      </w:pPr>
    </w:lvl>
    <w:lvl w:ilvl="2" w:tplc="0409001B" w:tentative="1">
      <w:start w:val="1"/>
      <w:numFmt w:val="lowerRoman"/>
      <w:lvlText w:val="%3."/>
      <w:lvlJc w:val="right"/>
      <w:pPr>
        <w:ind w:left="4777" w:hanging="180"/>
      </w:pPr>
    </w:lvl>
    <w:lvl w:ilvl="3" w:tplc="0409000F" w:tentative="1">
      <w:start w:val="1"/>
      <w:numFmt w:val="decimal"/>
      <w:lvlText w:val="%4."/>
      <w:lvlJc w:val="left"/>
      <w:pPr>
        <w:ind w:left="5497" w:hanging="360"/>
      </w:pPr>
    </w:lvl>
    <w:lvl w:ilvl="4" w:tplc="04090019" w:tentative="1">
      <w:start w:val="1"/>
      <w:numFmt w:val="lowerLetter"/>
      <w:lvlText w:val="%5."/>
      <w:lvlJc w:val="left"/>
      <w:pPr>
        <w:ind w:left="6217" w:hanging="360"/>
      </w:pPr>
    </w:lvl>
    <w:lvl w:ilvl="5" w:tplc="0409001B" w:tentative="1">
      <w:start w:val="1"/>
      <w:numFmt w:val="lowerRoman"/>
      <w:lvlText w:val="%6."/>
      <w:lvlJc w:val="right"/>
      <w:pPr>
        <w:ind w:left="6937" w:hanging="180"/>
      </w:pPr>
    </w:lvl>
    <w:lvl w:ilvl="6" w:tplc="0409000F" w:tentative="1">
      <w:start w:val="1"/>
      <w:numFmt w:val="decimal"/>
      <w:lvlText w:val="%7."/>
      <w:lvlJc w:val="left"/>
      <w:pPr>
        <w:ind w:left="7657" w:hanging="360"/>
      </w:pPr>
    </w:lvl>
    <w:lvl w:ilvl="7" w:tplc="04090019" w:tentative="1">
      <w:start w:val="1"/>
      <w:numFmt w:val="lowerLetter"/>
      <w:lvlText w:val="%8."/>
      <w:lvlJc w:val="left"/>
      <w:pPr>
        <w:ind w:left="8377" w:hanging="360"/>
      </w:pPr>
    </w:lvl>
    <w:lvl w:ilvl="8" w:tplc="040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" w15:restartNumberingAfterBreak="0">
    <w:nsid w:val="10B82797"/>
    <w:multiLevelType w:val="multilevel"/>
    <w:tmpl w:val="CB2CFB36"/>
    <w:numStyleLink w:val="-"/>
  </w:abstractNum>
  <w:abstractNum w:abstractNumId="3" w15:restartNumberingAfterBreak="0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4" w15:restartNumberingAfterBreak="0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94D2B"/>
    <w:multiLevelType w:val="hybridMultilevel"/>
    <w:tmpl w:val="6EE01868"/>
    <w:lvl w:ilvl="0" w:tplc="04090013">
      <w:start w:val="1"/>
      <w:numFmt w:val="hebrew1"/>
      <w:lvlText w:val="%1."/>
      <w:lvlJc w:val="center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6" w15:restartNumberingAfterBreak="0">
    <w:nsid w:val="24690D37"/>
    <w:multiLevelType w:val="multilevel"/>
    <w:tmpl w:val="2C7611E6"/>
    <w:numStyleLink w:val="-0"/>
  </w:abstractNum>
  <w:abstractNum w:abstractNumId="7" w15:restartNumberingAfterBreak="0">
    <w:nsid w:val="2922327E"/>
    <w:multiLevelType w:val="hybridMultilevel"/>
    <w:tmpl w:val="A7B0B726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8" w15:restartNumberingAfterBreak="0">
    <w:nsid w:val="2F3A0851"/>
    <w:multiLevelType w:val="hybridMultilevel"/>
    <w:tmpl w:val="D0DAC75E"/>
    <w:lvl w:ilvl="0" w:tplc="0AC8E1E6">
      <w:start w:val="1"/>
      <w:numFmt w:val="hebrew1"/>
      <w:lvlText w:val="%1."/>
      <w:lvlJc w:val="left"/>
      <w:pPr>
        <w:ind w:left="927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D20825"/>
    <w:multiLevelType w:val="hybridMultilevel"/>
    <w:tmpl w:val="40820562"/>
    <w:lvl w:ilvl="0" w:tplc="DD823E8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196C8A"/>
    <w:multiLevelType w:val="hybridMultilevel"/>
    <w:tmpl w:val="866EA4DA"/>
    <w:lvl w:ilvl="0" w:tplc="C64846A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74A64"/>
    <w:multiLevelType w:val="hybridMultilevel"/>
    <w:tmpl w:val="513A6FF8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C395D"/>
    <w:multiLevelType w:val="hybridMultilevel"/>
    <w:tmpl w:val="AB2C20C6"/>
    <w:lvl w:ilvl="0" w:tplc="A5008A36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3" w15:restartNumberingAfterBreak="0">
    <w:nsid w:val="477D4CEE"/>
    <w:multiLevelType w:val="multilevel"/>
    <w:tmpl w:val="2C7611E6"/>
    <w:numStyleLink w:val="-0"/>
  </w:abstractNum>
  <w:abstractNum w:abstractNumId="14" w15:restartNumberingAfterBreak="0">
    <w:nsid w:val="4E403A91"/>
    <w:multiLevelType w:val="hybridMultilevel"/>
    <w:tmpl w:val="FB78B824"/>
    <w:lvl w:ilvl="0" w:tplc="04090013">
      <w:start w:val="1"/>
      <w:numFmt w:val="hebrew1"/>
      <w:lvlText w:val="%1."/>
      <w:lvlJc w:val="center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2C63965"/>
    <w:multiLevelType w:val="multilevel"/>
    <w:tmpl w:val="CB2CFB36"/>
    <w:numStyleLink w:val="-"/>
  </w:abstractNum>
  <w:abstractNum w:abstractNumId="16" w15:restartNumberingAfterBreak="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17" w15:restartNumberingAfterBreak="0">
    <w:nsid w:val="5E4830BE"/>
    <w:multiLevelType w:val="hybridMultilevel"/>
    <w:tmpl w:val="885A520E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8" w15:restartNumberingAfterBreak="0">
    <w:nsid w:val="72963B3B"/>
    <w:multiLevelType w:val="hybridMultilevel"/>
    <w:tmpl w:val="006A4A4C"/>
    <w:lvl w:ilvl="0" w:tplc="04090013">
      <w:start w:val="1"/>
      <w:numFmt w:val="hebrew1"/>
      <w:lvlText w:val="%1."/>
      <w:lvlJc w:val="center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49C5FF1"/>
    <w:multiLevelType w:val="hybridMultilevel"/>
    <w:tmpl w:val="C980A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3"/>
  </w:num>
  <w:num w:numId="4">
    <w:abstractNumId w:val="4"/>
  </w:num>
  <w:num w:numId="5">
    <w:abstractNumId w:val="2"/>
  </w:num>
  <w:num w:numId="6">
    <w:abstractNumId w:val="13"/>
  </w:num>
  <w:num w:numId="7">
    <w:abstractNumId w:val="15"/>
  </w:num>
  <w:num w:numId="8">
    <w:abstractNumId w:val="0"/>
  </w:num>
  <w:num w:numId="9">
    <w:abstractNumId w:val="9"/>
  </w:num>
  <w:num w:numId="10">
    <w:abstractNumId w:val="8"/>
  </w:num>
  <w:num w:numId="11">
    <w:abstractNumId w:val="10"/>
  </w:num>
  <w:num w:numId="12">
    <w:abstractNumId w:val="1"/>
  </w:num>
  <w:num w:numId="13">
    <w:abstractNumId w:val="7"/>
  </w:num>
  <w:num w:numId="14">
    <w:abstractNumId w:val="12"/>
  </w:num>
  <w:num w:numId="15">
    <w:abstractNumId w:val="14"/>
  </w:num>
  <w:num w:numId="16">
    <w:abstractNumId w:val="18"/>
  </w:num>
  <w:num w:numId="17">
    <w:abstractNumId w:val="5"/>
  </w:num>
  <w:num w:numId="18">
    <w:abstractNumId w:val="19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11"/>
    <w:rsid w:val="000136CA"/>
    <w:rsid w:val="00051E47"/>
    <w:rsid w:val="00072164"/>
    <w:rsid w:val="00077E6A"/>
    <w:rsid w:val="00080C36"/>
    <w:rsid w:val="00081FFA"/>
    <w:rsid w:val="000B7D4A"/>
    <w:rsid w:val="000D1F58"/>
    <w:rsid w:val="000E472F"/>
    <w:rsid w:val="000F454D"/>
    <w:rsid w:val="001519D6"/>
    <w:rsid w:val="00166AE5"/>
    <w:rsid w:val="001A4972"/>
    <w:rsid w:val="002066E4"/>
    <w:rsid w:val="0022780A"/>
    <w:rsid w:val="00235C1B"/>
    <w:rsid w:val="0024136A"/>
    <w:rsid w:val="00246CE7"/>
    <w:rsid w:val="0028402A"/>
    <w:rsid w:val="00285FC3"/>
    <w:rsid w:val="00286EFE"/>
    <w:rsid w:val="002C3D6C"/>
    <w:rsid w:val="002D6F6B"/>
    <w:rsid w:val="002F40E0"/>
    <w:rsid w:val="0030114C"/>
    <w:rsid w:val="0035189E"/>
    <w:rsid w:val="00375092"/>
    <w:rsid w:val="0039091F"/>
    <w:rsid w:val="00390DCC"/>
    <w:rsid w:val="003A2103"/>
    <w:rsid w:val="003B0D60"/>
    <w:rsid w:val="003E4817"/>
    <w:rsid w:val="0041173C"/>
    <w:rsid w:val="0043660E"/>
    <w:rsid w:val="004379BF"/>
    <w:rsid w:val="00447995"/>
    <w:rsid w:val="00450860"/>
    <w:rsid w:val="004620B5"/>
    <w:rsid w:val="00485810"/>
    <w:rsid w:val="004917F5"/>
    <w:rsid w:val="004B008E"/>
    <w:rsid w:val="004B345C"/>
    <w:rsid w:val="004C7B17"/>
    <w:rsid w:val="004E5B42"/>
    <w:rsid w:val="004F466C"/>
    <w:rsid w:val="00501740"/>
    <w:rsid w:val="00504786"/>
    <w:rsid w:val="00536F84"/>
    <w:rsid w:val="00543B7B"/>
    <w:rsid w:val="00591142"/>
    <w:rsid w:val="005B2D11"/>
    <w:rsid w:val="005C02FC"/>
    <w:rsid w:val="005F14A8"/>
    <w:rsid w:val="005F3724"/>
    <w:rsid w:val="00605B33"/>
    <w:rsid w:val="00611CE5"/>
    <w:rsid w:val="00616ECD"/>
    <w:rsid w:val="00623E88"/>
    <w:rsid w:val="00635625"/>
    <w:rsid w:val="00641C1A"/>
    <w:rsid w:val="00651B55"/>
    <w:rsid w:val="0065773A"/>
    <w:rsid w:val="0066629B"/>
    <w:rsid w:val="0067543C"/>
    <w:rsid w:val="00682682"/>
    <w:rsid w:val="0069622D"/>
    <w:rsid w:val="006A7447"/>
    <w:rsid w:val="006D1841"/>
    <w:rsid w:val="006F0F25"/>
    <w:rsid w:val="00701332"/>
    <w:rsid w:val="0071370D"/>
    <w:rsid w:val="00732F0B"/>
    <w:rsid w:val="00750BBD"/>
    <w:rsid w:val="007A3355"/>
    <w:rsid w:val="007A5540"/>
    <w:rsid w:val="007E486E"/>
    <w:rsid w:val="00835EA4"/>
    <w:rsid w:val="00853C42"/>
    <w:rsid w:val="008605C9"/>
    <w:rsid w:val="0086646F"/>
    <w:rsid w:val="00886B32"/>
    <w:rsid w:val="008C7460"/>
    <w:rsid w:val="008F5356"/>
    <w:rsid w:val="0095082C"/>
    <w:rsid w:val="009A0672"/>
    <w:rsid w:val="009B7FF8"/>
    <w:rsid w:val="009C2D52"/>
    <w:rsid w:val="009D556C"/>
    <w:rsid w:val="009D681E"/>
    <w:rsid w:val="00A04396"/>
    <w:rsid w:val="00A144D3"/>
    <w:rsid w:val="00A16209"/>
    <w:rsid w:val="00A23FAA"/>
    <w:rsid w:val="00A31D31"/>
    <w:rsid w:val="00A373FB"/>
    <w:rsid w:val="00A5598F"/>
    <w:rsid w:val="00A96127"/>
    <w:rsid w:val="00AD3B5A"/>
    <w:rsid w:val="00B32F0E"/>
    <w:rsid w:val="00B41A6A"/>
    <w:rsid w:val="00BE7FEC"/>
    <w:rsid w:val="00BF7E18"/>
    <w:rsid w:val="00C23BA6"/>
    <w:rsid w:val="00C4372A"/>
    <w:rsid w:val="00C50C1C"/>
    <w:rsid w:val="00C66330"/>
    <w:rsid w:val="00C71273"/>
    <w:rsid w:val="00C75D19"/>
    <w:rsid w:val="00C8417F"/>
    <w:rsid w:val="00CB119A"/>
    <w:rsid w:val="00CD2CFB"/>
    <w:rsid w:val="00CD2D09"/>
    <w:rsid w:val="00CD4DB0"/>
    <w:rsid w:val="00CF0C44"/>
    <w:rsid w:val="00D03F62"/>
    <w:rsid w:val="00D26614"/>
    <w:rsid w:val="00D43064"/>
    <w:rsid w:val="00D7557C"/>
    <w:rsid w:val="00DA304D"/>
    <w:rsid w:val="00DA4790"/>
    <w:rsid w:val="00DA6801"/>
    <w:rsid w:val="00DD44E8"/>
    <w:rsid w:val="00DF09A5"/>
    <w:rsid w:val="00DF0F2D"/>
    <w:rsid w:val="00E16DC0"/>
    <w:rsid w:val="00E16E61"/>
    <w:rsid w:val="00E247F0"/>
    <w:rsid w:val="00E44B9A"/>
    <w:rsid w:val="00E70C02"/>
    <w:rsid w:val="00E82B6E"/>
    <w:rsid w:val="00EA40AB"/>
    <w:rsid w:val="00EC71F2"/>
    <w:rsid w:val="00ED5E1A"/>
    <w:rsid w:val="00EE66CE"/>
    <w:rsid w:val="00EF3F6A"/>
    <w:rsid w:val="00F30925"/>
    <w:rsid w:val="00F318E8"/>
    <w:rsid w:val="00F3226B"/>
    <w:rsid w:val="00F563A6"/>
    <w:rsid w:val="00F667B5"/>
    <w:rsid w:val="00F712F6"/>
    <w:rsid w:val="00F72383"/>
    <w:rsid w:val="00F72FF6"/>
    <w:rsid w:val="00FA16B0"/>
    <w:rsid w:val="00FB139D"/>
    <w:rsid w:val="00FB7FD4"/>
    <w:rsid w:val="00FD64CA"/>
    <w:rsid w:val="00FE5215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779AD1"/>
  <w15:docId w15:val="{F431081E-62B7-47F4-AEAB-EB6FB152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before="0" w:after="0" w:line="240" w:lineRule="auto"/>
      <w:ind w:firstLine="720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styleId="1">
    <w:name w:val="heading 1"/>
    <w:basedOn w:val="a"/>
    <w:next w:val="a"/>
    <w:link w:val="10"/>
    <w:uiPriority w:val="9"/>
    <w:qFormat/>
    <w:pPr>
      <w:ind w:left="753" w:hanging="753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pPr>
      <w:widowControl w:val="0"/>
      <w:spacing w:before="120" w:line="360" w:lineRule="auto"/>
      <w:ind w:firstLine="0"/>
      <w:jc w:val="both"/>
      <w:outlineLvl w:val="1"/>
    </w:pPr>
    <w:rPr>
      <w:rFonts w:eastAsiaTheme="minorHAnsi"/>
      <w:b/>
      <w:bCs/>
      <w:caps/>
      <w:spacing w:val="15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widowControl w:val="0"/>
      <w:bidi w:val="0"/>
      <w:spacing w:before="300" w:line="360" w:lineRule="auto"/>
      <w:ind w:firstLine="0"/>
      <w:jc w:val="both"/>
      <w:outlineLvl w:val="2"/>
    </w:pPr>
    <w:rPr>
      <w:rFonts w:eastAsiaTheme="minorHAnsi"/>
      <w:bCs/>
      <w:caps/>
      <w:spacing w:val="1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bidi w:val="0"/>
      <w:spacing w:before="300" w:line="360" w:lineRule="auto"/>
      <w:ind w:firstLine="0"/>
      <w:jc w:val="both"/>
      <w:outlineLvl w:val="3"/>
    </w:pPr>
    <w:rPr>
      <w:rFonts w:eastAsiaTheme="minorHAnsi"/>
      <w:b/>
      <w:bCs/>
      <w:caps/>
      <w:spacing w:val="10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widowControl w:val="0"/>
      <w:bidi w:val="0"/>
      <w:spacing w:before="300" w:line="360" w:lineRule="auto"/>
      <w:ind w:firstLine="0"/>
      <w:jc w:val="both"/>
      <w:outlineLvl w:val="4"/>
    </w:pPr>
    <w:rPr>
      <w:rFonts w:eastAsiaTheme="minorHAnsi"/>
      <w:b/>
      <w:bCs/>
      <w:caps/>
      <w:spacing w:val="10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widowControl w:val="0"/>
      <w:bidi w:val="0"/>
      <w:spacing w:before="300" w:line="360" w:lineRule="auto"/>
      <w:ind w:firstLine="0"/>
      <w:jc w:val="both"/>
      <w:outlineLvl w:val="5"/>
    </w:pPr>
    <w:rPr>
      <w:rFonts w:eastAsiaTheme="minorHAnsi"/>
      <w:b/>
      <w:bCs/>
      <w:caps/>
      <w:spacing w:val="10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widowControl w:val="0"/>
      <w:bidi w:val="0"/>
      <w:spacing w:before="300" w:line="360" w:lineRule="auto"/>
      <w:ind w:firstLine="0"/>
      <w:jc w:val="both"/>
      <w:outlineLvl w:val="6"/>
    </w:pPr>
    <w:rPr>
      <w:rFonts w:eastAsiaTheme="minorHAnsi"/>
      <w:b/>
      <w:bCs/>
      <w:caps/>
      <w:spacing w:val="10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bidi w:val="0"/>
      <w:spacing w:before="300" w:line="360" w:lineRule="auto"/>
      <w:ind w:firstLine="0"/>
      <w:jc w:val="both"/>
      <w:outlineLvl w:val="7"/>
    </w:pPr>
    <w:rPr>
      <w:rFonts w:eastAsiaTheme="minorHAnsi"/>
      <w:caps/>
      <w:spacing w:val="10"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bidi w:val="0"/>
      <w:spacing w:before="300" w:line="360" w:lineRule="auto"/>
      <w:ind w:firstLine="0"/>
      <w:jc w:val="both"/>
      <w:outlineLvl w:val="8"/>
    </w:pPr>
    <w:rPr>
      <w:rFonts w:eastAsiaTheme="minorHAnsi"/>
      <w:i/>
      <w:caps/>
      <w:spacing w:val="1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Pr>
      <w:rFonts w:ascii="Times New Roman" w:eastAsia="Times New Roman" w:hAnsi="Times New Roman" w:cs="David"/>
      <w:b/>
      <w:bCs/>
      <w:sz w:val="24"/>
      <w:szCs w:val="24"/>
      <w:u w:val="single"/>
      <w:lang w:eastAsia="he-IL"/>
    </w:rPr>
  </w:style>
  <w:style w:type="paragraph" w:styleId="a3">
    <w:name w:val="Quote"/>
    <w:basedOn w:val="a"/>
    <w:next w:val="a"/>
    <w:link w:val="a4"/>
    <w:uiPriority w:val="29"/>
    <w:qFormat/>
    <w:pPr>
      <w:widowControl w:val="0"/>
      <w:spacing w:before="120" w:after="120" w:line="360" w:lineRule="auto"/>
      <w:ind w:left="567" w:right="567" w:firstLine="0"/>
      <w:jc w:val="both"/>
    </w:pPr>
    <w:rPr>
      <w:rFonts w:eastAsiaTheme="minorHAnsi"/>
      <w:i/>
      <w:iCs/>
      <w:sz w:val="24"/>
      <w:szCs w:val="24"/>
      <w:lang w:eastAsia="en-US"/>
    </w:rPr>
  </w:style>
  <w:style w:type="character" w:customStyle="1" w:styleId="a4">
    <w:name w:val="ציטוט תו"/>
    <w:basedOn w:val="a0"/>
    <w:link w:val="a3"/>
    <w:uiPriority w:val="29"/>
    <w:rPr>
      <w:rFonts w:ascii="Times New Roman" w:hAnsi="Times New Roman" w:cs="David"/>
      <w:i/>
      <w:iCs/>
      <w:sz w:val="24"/>
      <w:szCs w:val="24"/>
    </w:rPr>
  </w:style>
  <w:style w:type="character" w:customStyle="1" w:styleId="20">
    <w:name w:val="כותרת 2 תו"/>
    <w:basedOn w:val="a0"/>
    <w:link w:val="2"/>
    <w:uiPriority w:val="9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30">
    <w:name w:val="כותרת 3 תו"/>
    <w:basedOn w:val="a0"/>
    <w:link w:val="3"/>
    <w:uiPriority w:val="9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0">
    <w:name w:val="כותרת 4 תו"/>
    <w:basedOn w:val="a0"/>
    <w:link w:val="4"/>
    <w:uiPriority w:val="9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0">
    <w:name w:val="כותרת 5 תו"/>
    <w:basedOn w:val="a0"/>
    <w:link w:val="5"/>
    <w:uiPriority w:val="9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0">
    <w:name w:val="כותרת 6 תו"/>
    <w:basedOn w:val="a0"/>
    <w:link w:val="6"/>
    <w:uiPriority w:val="9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0">
    <w:name w:val="כותרת 7 תו"/>
    <w:basedOn w:val="a0"/>
    <w:link w:val="7"/>
    <w:uiPriority w:val="9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pPr>
      <w:bidi w:val="0"/>
      <w:spacing w:before="120" w:after="120" w:line="360" w:lineRule="auto"/>
      <w:ind w:firstLine="0"/>
      <w:jc w:val="both"/>
    </w:pPr>
    <w:rPr>
      <w:rFonts w:eastAsiaTheme="minorHAnsi"/>
      <w:b/>
      <w:bCs/>
      <w:color w:val="365F91" w:themeColor="accent1" w:themeShade="BF"/>
      <w:sz w:val="16"/>
      <w:szCs w:val="16"/>
      <w:lang w:eastAsia="en-US"/>
    </w:rPr>
  </w:style>
  <w:style w:type="paragraph" w:styleId="a6">
    <w:name w:val="TOC Heading"/>
    <w:basedOn w:val="1"/>
    <w:next w:val="a"/>
    <w:uiPriority w:val="39"/>
    <w:semiHidden/>
    <w:unhideWhenUsed/>
    <w:qFormat/>
    <w:pPr>
      <w:bidi w:val="0"/>
      <w:outlineLvl w:val="9"/>
    </w:pPr>
    <w:rPr>
      <w:lang w:bidi="en-US"/>
    </w:rPr>
  </w:style>
  <w:style w:type="paragraph" w:styleId="TOC3">
    <w:name w:val="toc 3"/>
    <w:basedOn w:val="a"/>
    <w:next w:val="a"/>
    <w:autoRedefine/>
    <w:uiPriority w:val="39"/>
    <w:unhideWhenUsed/>
    <w:pPr>
      <w:widowControl w:val="0"/>
      <w:tabs>
        <w:tab w:val="right" w:leader="dot" w:pos="8296"/>
      </w:tabs>
      <w:spacing w:before="100" w:after="100"/>
      <w:ind w:left="482" w:firstLine="0"/>
      <w:jc w:val="both"/>
    </w:pPr>
    <w:rPr>
      <w:rFonts w:eastAsiaTheme="minorHAnsi"/>
      <w:sz w:val="24"/>
      <w:szCs w:val="24"/>
      <w:lang w:eastAsia="en-US"/>
    </w:rPr>
  </w:style>
  <w:style w:type="paragraph" w:styleId="TOC1">
    <w:name w:val="toc 1"/>
    <w:basedOn w:val="a"/>
    <w:next w:val="a"/>
    <w:autoRedefine/>
    <w:uiPriority w:val="39"/>
    <w:unhideWhenUsed/>
    <w:pPr>
      <w:widowControl w:val="0"/>
      <w:tabs>
        <w:tab w:val="right" w:leader="dot" w:pos="8296"/>
      </w:tabs>
      <w:spacing w:before="100" w:after="100"/>
      <w:ind w:firstLine="0"/>
      <w:jc w:val="both"/>
    </w:pPr>
    <w:rPr>
      <w:rFonts w:eastAsiaTheme="minorHAnsi"/>
      <w:sz w:val="24"/>
      <w:szCs w:val="24"/>
      <w:lang w:eastAsia="en-US"/>
    </w:rPr>
  </w:style>
  <w:style w:type="paragraph" w:styleId="TOC2">
    <w:name w:val="toc 2"/>
    <w:basedOn w:val="a"/>
    <w:next w:val="a"/>
    <w:autoRedefine/>
    <w:uiPriority w:val="39"/>
    <w:unhideWhenUsed/>
    <w:pPr>
      <w:widowControl w:val="0"/>
      <w:tabs>
        <w:tab w:val="right" w:leader="dot" w:pos="8296"/>
      </w:tabs>
      <w:spacing w:before="100" w:after="100"/>
      <w:ind w:left="238" w:firstLine="0"/>
      <w:jc w:val="both"/>
    </w:pPr>
    <w:rPr>
      <w:rFonts w:eastAsiaTheme="minorHAnsi"/>
      <w:sz w:val="24"/>
      <w:szCs w:val="24"/>
      <w:lang w:eastAsia="en-US"/>
    </w:rPr>
  </w:style>
  <w:style w:type="paragraph" w:styleId="TOC7">
    <w:name w:val="toc 7"/>
    <w:basedOn w:val="a"/>
    <w:next w:val="a"/>
    <w:autoRedefine/>
    <w:uiPriority w:val="39"/>
    <w:unhideWhenUsed/>
    <w:pPr>
      <w:widowControl w:val="0"/>
      <w:tabs>
        <w:tab w:val="right" w:leader="dot" w:pos="8296"/>
      </w:tabs>
      <w:spacing w:before="100" w:after="100"/>
      <w:ind w:left="1440" w:firstLine="0"/>
      <w:jc w:val="both"/>
    </w:pPr>
    <w:rPr>
      <w:rFonts w:eastAsiaTheme="minorHAnsi"/>
      <w:sz w:val="24"/>
      <w:szCs w:val="24"/>
      <w:lang w:eastAsia="en-US"/>
    </w:rPr>
  </w:style>
  <w:style w:type="paragraph" w:styleId="TOC6">
    <w:name w:val="toc 6"/>
    <w:basedOn w:val="a"/>
    <w:next w:val="a"/>
    <w:autoRedefine/>
    <w:uiPriority w:val="39"/>
    <w:unhideWhenUsed/>
    <w:pPr>
      <w:widowControl w:val="0"/>
      <w:tabs>
        <w:tab w:val="right" w:leader="dot" w:pos="8296"/>
      </w:tabs>
      <w:spacing w:before="100" w:after="100"/>
      <w:ind w:left="1202" w:firstLine="0"/>
      <w:contextualSpacing/>
      <w:jc w:val="both"/>
    </w:pPr>
    <w:rPr>
      <w:rFonts w:eastAsiaTheme="minorHAnsi"/>
      <w:sz w:val="24"/>
      <w:szCs w:val="24"/>
      <w:lang w:eastAsia="en-US"/>
    </w:rPr>
  </w:style>
  <w:style w:type="paragraph" w:styleId="TOC5">
    <w:name w:val="toc 5"/>
    <w:basedOn w:val="a"/>
    <w:next w:val="a"/>
    <w:autoRedefine/>
    <w:uiPriority w:val="39"/>
    <w:unhideWhenUsed/>
    <w:pPr>
      <w:widowControl w:val="0"/>
      <w:tabs>
        <w:tab w:val="right" w:leader="dot" w:pos="8296"/>
      </w:tabs>
      <w:spacing w:before="100" w:after="100"/>
      <w:ind w:left="958" w:firstLine="0"/>
      <w:jc w:val="both"/>
    </w:pPr>
    <w:rPr>
      <w:rFonts w:eastAsiaTheme="minorHAnsi"/>
      <w:sz w:val="24"/>
      <w:szCs w:val="24"/>
      <w:lang w:eastAsia="en-US"/>
    </w:rPr>
  </w:style>
  <w:style w:type="paragraph" w:styleId="TOC4">
    <w:name w:val="toc 4"/>
    <w:basedOn w:val="a"/>
    <w:next w:val="a"/>
    <w:autoRedefine/>
    <w:uiPriority w:val="39"/>
    <w:unhideWhenUsed/>
    <w:pPr>
      <w:widowControl w:val="0"/>
      <w:spacing w:before="100" w:after="100"/>
      <w:ind w:left="720" w:firstLine="0"/>
      <w:jc w:val="both"/>
    </w:pPr>
    <w:rPr>
      <w:rFonts w:eastAsiaTheme="minorHAnsi"/>
      <w:sz w:val="24"/>
      <w:szCs w:val="24"/>
      <w:lang w:eastAsia="en-US"/>
    </w:rPr>
  </w:style>
  <w:style w:type="paragraph" w:styleId="a7">
    <w:name w:val="List Paragraph"/>
    <w:basedOn w:val="a"/>
    <w:uiPriority w:val="34"/>
    <w:pPr>
      <w:spacing w:before="120" w:after="120" w:line="360" w:lineRule="auto"/>
      <w:ind w:left="720" w:firstLine="0"/>
      <w:contextualSpacing/>
      <w:jc w:val="both"/>
    </w:pPr>
    <w:rPr>
      <w:rFonts w:eastAsiaTheme="minorHAnsi"/>
      <w:sz w:val="24"/>
      <w:szCs w:val="24"/>
      <w:lang w:eastAsia="en-US"/>
    </w:rPr>
  </w:style>
  <w:style w:type="numbering" w:customStyle="1" w:styleId="-">
    <w:name w:val="משרד האוצר - מדורג"/>
    <w:uiPriority w:val="99"/>
    <w:pPr>
      <w:numPr>
        <w:numId w:val="2"/>
      </w:numPr>
    </w:pPr>
  </w:style>
  <w:style w:type="numbering" w:customStyle="1" w:styleId="-0">
    <w:name w:val="משרד האוצר - מדורג קצר"/>
    <w:uiPriority w:val="99"/>
    <w:pPr>
      <w:numPr>
        <w:numId w:val="3"/>
      </w:numPr>
    </w:pPr>
  </w:style>
  <w:style w:type="paragraph" w:styleId="a8">
    <w:name w:val="footer"/>
    <w:basedOn w:val="a"/>
    <w:link w:val="a9"/>
    <w:pPr>
      <w:widowControl w:val="0"/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rPr>
      <w:rFonts w:ascii="Times New Roman" w:eastAsia="Times New Roman" w:hAnsi="Times New Roman" w:cs="David"/>
      <w:sz w:val="26"/>
      <w:szCs w:val="26"/>
      <w:lang w:eastAsia="he-IL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a"/>
    <w:pPr>
      <w:bidi w:val="0"/>
      <w:spacing w:before="100" w:beforeAutospacing="1" w:after="100" w:afterAutospacing="1"/>
    </w:pPr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Pr>
      <w:rFonts w:ascii="Tahoma" w:eastAsia="Times New Roman" w:hAnsi="Tahoma" w:cs="Tahoma"/>
      <w:sz w:val="16"/>
      <w:szCs w:val="16"/>
      <w:lang w:eastAsia="he-IL"/>
    </w:rPr>
  </w:style>
  <w:style w:type="paragraph" w:styleId="ac">
    <w:name w:val="header"/>
    <w:basedOn w:val="a"/>
    <w:link w:val="ad"/>
    <w:uiPriority w:val="99"/>
    <w:unhideWhenUsed/>
    <w:pPr>
      <w:tabs>
        <w:tab w:val="center" w:pos="4153"/>
        <w:tab w:val="right" w:pos="8306"/>
      </w:tabs>
    </w:pPr>
  </w:style>
  <w:style w:type="character" w:customStyle="1" w:styleId="ad">
    <w:name w:val="כותרת עליונה תו"/>
    <w:basedOn w:val="a0"/>
    <w:link w:val="ac"/>
    <w:uiPriority w:val="99"/>
    <w:rPr>
      <w:rFonts w:ascii="Times New Roman" w:eastAsia="Times New Roman" w:hAnsi="Times New Roman" w:cs="David"/>
      <w:sz w:val="26"/>
      <w:szCs w:val="26"/>
      <w:lang w:eastAsia="he-IL"/>
    </w:rPr>
  </w:style>
  <w:style w:type="paragraph" w:styleId="ae">
    <w:name w:val="footnote text"/>
    <w:basedOn w:val="a"/>
    <w:link w:val="af"/>
    <w:uiPriority w:val="99"/>
    <w:semiHidden/>
    <w:unhideWhenUsed/>
    <w:rsid w:val="00450860"/>
    <w:rPr>
      <w:sz w:val="20"/>
      <w:szCs w:val="20"/>
    </w:rPr>
  </w:style>
  <w:style w:type="character" w:customStyle="1" w:styleId="af">
    <w:name w:val="טקסט הערת שוליים תו"/>
    <w:basedOn w:val="a0"/>
    <w:link w:val="ae"/>
    <w:uiPriority w:val="99"/>
    <w:semiHidden/>
    <w:rsid w:val="00450860"/>
    <w:rPr>
      <w:rFonts w:ascii="Times New Roman" w:eastAsia="Times New Roman" w:hAnsi="Times New Roman" w:cs="David"/>
      <w:sz w:val="20"/>
      <w:szCs w:val="20"/>
      <w:lang w:eastAsia="he-IL"/>
    </w:rPr>
  </w:style>
  <w:style w:type="character" w:styleId="af0">
    <w:name w:val="footnote reference"/>
    <w:basedOn w:val="a0"/>
    <w:uiPriority w:val="99"/>
    <w:semiHidden/>
    <w:unhideWhenUsed/>
    <w:rsid w:val="00450860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C7127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1273"/>
    <w:rPr>
      <w:sz w:val="20"/>
      <w:szCs w:val="20"/>
    </w:rPr>
  </w:style>
  <w:style w:type="character" w:customStyle="1" w:styleId="af3">
    <w:name w:val="טקסט הערה תו"/>
    <w:basedOn w:val="a0"/>
    <w:link w:val="af2"/>
    <w:uiPriority w:val="99"/>
    <w:semiHidden/>
    <w:rsid w:val="00C71273"/>
    <w:rPr>
      <w:rFonts w:ascii="Times New Roman" w:eastAsia="Times New Roman" w:hAnsi="Times New Roman" w:cs="David"/>
      <w:sz w:val="20"/>
      <w:szCs w:val="20"/>
      <w:lang w:eastAsia="he-IL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1273"/>
    <w:rPr>
      <w:b/>
      <w:bCs/>
    </w:rPr>
  </w:style>
  <w:style w:type="character" w:customStyle="1" w:styleId="af5">
    <w:name w:val="נושא הערה תו"/>
    <w:basedOn w:val="af3"/>
    <w:link w:val="af4"/>
    <w:uiPriority w:val="99"/>
    <w:semiHidden/>
    <w:rsid w:val="00C71273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af6">
    <w:name w:val="Revision"/>
    <w:hidden/>
    <w:uiPriority w:val="99"/>
    <w:semiHidden/>
    <w:rsid w:val="00701332"/>
    <w:pPr>
      <w:spacing w:before="0" w:after="0" w:line="240" w:lineRule="auto"/>
    </w:pPr>
    <w:rPr>
      <w:rFonts w:ascii="Times New Roman" w:eastAsia="Times New Roman" w:hAnsi="Times New Roman" w:cs="David"/>
      <w:sz w:val="26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f.gov.il/hon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evo.co.il/law_html/law01/501_962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9487D-2D72-40CE-8FBF-EA58BAFF8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631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זאב תמיר</dc:creator>
  <cp:lastModifiedBy>טל קיציס</cp:lastModifiedBy>
  <cp:revision>4</cp:revision>
  <cp:lastPrinted>2021-02-21T10:15:00Z</cp:lastPrinted>
  <dcterms:created xsi:type="dcterms:W3CDTF">2021-08-01T07:25:00Z</dcterms:created>
  <dcterms:modified xsi:type="dcterms:W3CDTF">2021-08-03T07:05:00Z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notes://MAOR2/Doc/Shuk_hon/hondocNew4.nsf/0/62D7E457E36C6606C2258660003E44D0/?OpenDocument</vt:lpwstr>
  </property>
  <property fmtid="{D5CDD505-2E9C-101B-9397-08002B2CF9AE}" pid="3" name="MaorRecipients0">
    <vt:lpwstr>yafajo@mof.gov.il</vt:lpwstr>
  </property>
</Properties>
</file>