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8F" w:rsidRDefault="00E83F1B" w:rsidP="00A1416C">
      <w:pPr>
        <w:jc w:val="center"/>
      </w:pPr>
      <w:bookmarkStart w:id="0" w:name="_GoBack"/>
      <w:bookmarkEnd w:id="0"/>
      <w:r>
        <w:t xml:space="preserve">The Law </w:t>
      </w:r>
      <w:r w:rsidR="00A1416C">
        <w:t xml:space="preserve">for Promotion of </w:t>
      </w:r>
      <w:r>
        <w:t xml:space="preserve">Competition and </w:t>
      </w:r>
      <w:r w:rsidR="00A1416C">
        <w:t xml:space="preserve">Reduction of </w:t>
      </w:r>
      <w:r>
        <w:t>Concentration, 5774-2013</w:t>
      </w:r>
      <w:r w:rsidRPr="00E83F1B">
        <w:rPr>
          <w:rStyle w:val="a5"/>
        </w:rPr>
        <w:footnoteReference w:customMarkFollows="1" w:id="1"/>
        <w:sym w:font="Symbol" w:char="F02A"/>
      </w:r>
    </w:p>
    <w:p w:rsidR="00E83F1B" w:rsidRPr="00DD037C" w:rsidRDefault="00E83F1B" w:rsidP="00E83F1B">
      <w:pPr>
        <w:jc w:val="center"/>
      </w:pPr>
      <w:r w:rsidRPr="00DD037C">
        <w:t>Chapter A: Definitions</w:t>
      </w:r>
    </w:p>
    <w:p w:rsidR="00E83F1B" w:rsidRDefault="00E83F1B" w:rsidP="00E80636">
      <w:pPr>
        <w:pStyle w:val="a6"/>
        <w:numPr>
          <w:ilvl w:val="5"/>
          <w:numId w:val="1"/>
        </w:numPr>
        <w:ind w:left="426"/>
      </w:pPr>
      <w:r>
        <w:t>Definitions</w:t>
      </w:r>
    </w:p>
    <w:p w:rsidR="00E80636" w:rsidRDefault="00E83F1B" w:rsidP="00E80636">
      <w:pPr>
        <w:pStyle w:val="a6"/>
      </w:pPr>
      <w:r>
        <w:t>In this law –</w:t>
      </w:r>
    </w:p>
    <w:p w:rsidR="00E83F1B" w:rsidRDefault="00DD037C" w:rsidP="00DD037C">
      <w:pPr>
        <w:pStyle w:val="a6"/>
      </w:pPr>
      <w:r>
        <w:t xml:space="preserve"> </w:t>
      </w:r>
      <w:r w:rsidR="00E83F1B">
        <w:t>“</w:t>
      </w:r>
      <w:r w:rsidR="00903E5E">
        <w:t xml:space="preserve">Committee for the Reduction </w:t>
      </w:r>
      <w:proofErr w:type="gramStart"/>
      <w:r w:rsidR="00903E5E">
        <w:t xml:space="preserve">of </w:t>
      </w:r>
      <w:r w:rsidR="00E83F1B">
        <w:t xml:space="preserve"> </w:t>
      </w:r>
      <w:r w:rsidR="002E678C">
        <w:t>Concentration</w:t>
      </w:r>
      <w:proofErr w:type="gramEnd"/>
      <w:r w:rsidR="00E83F1B">
        <w:t xml:space="preserve">” – </w:t>
      </w:r>
      <w:r w:rsidR="00E80636">
        <w:t>t</w:t>
      </w:r>
      <w:r w:rsidR="00E83F1B">
        <w:t xml:space="preserve">he </w:t>
      </w:r>
      <w:r w:rsidR="00E80636">
        <w:t>c</w:t>
      </w:r>
      <w:r w:rsidR="00E83F1B">
        <w:t xml:space="preserve">ommittee established according to </w:t>
      </w:r>
      <w:r w:rsidR="00E80636">
        <w:t>p</w:t>
      </w:r>
      <w:r w:rsidR="00E83F1B">
        <w:t>aragraph 40;</w:t>
      </w:r>
    </w:p>
    <w:p w:rsidR="00E83F1B" w:rsidRDefault="00E83F1B">
      <w:pPr>
        <w:pStyle w:val="a6"/>
      </w:pPr>
      <w:r>
        <w:t xml:space="preserve">“Banking </w:t>
      </w:r>
      <w:r w:rsidR="00237F9E">
        <w:t xml:space="preserve">(Licensing) </w:t>
      </w:r>
      <w:r>
        <w:t xml:space="preserve">Law” – </w:t>
      </w:r>
      <w:r w:rsidR="00E80636">
        <w:t>t</w:t>
      </w:r>
      <w:r>
        <w:t xml:space="preserve">he Banking </w:t>
      </w:r>
      <w:r w:rsidR="00237F9E">
        <w:t xml:space="preserve">(Licensing) </w:t>
      </w:r>
      <w:r>
        <w:t>Law, 5741-1981;</w:t>
      </w:r>
    </w:p>
    <w:p w:rsidR="00E83F1B" w:rsidRDefault="00E83F1B" w:rsidP="00311544">
      <w:pPr>
        <w:pStyle w:val="a6"/>
      </w:pPr>
      <w:r>
        <w:t>“</w:t>
      </w:r>
      <w:r w:rsidR="00237F9E">
        <w:t>Restrictive Trade Practices Law</w:t>
      </w:r>
      <w:r>
        <w:t xml:space="preserve">” – </w:t>
      </w:r>
      <w:r w:rsidR="00E80636">
        <w:t>t</w:t>
      </w:r>
      <w:r>
        <w:t xml:space="preserve">he </w:t>
      </w:r>
      <w:r w:rsidR="00237F9E">
        <w:t>Restrictive Trade Practices Law</w:t>
      </w:r>
      <w:r>
        <w:t>, 5748-1988;</w:t>
      </w:r>
    </w:p>
    <w:p w:rsidR="00CD3CCE" w:rsidRDefault="00E83F1B">
      <w:pPr>
        <w:pStyle w:val="a6"/>
      </w:pPr>
      <w:r>
        <w:t xml:space="preserve">“Investment </w:t>
      </w:r>
      <w:r w:rsidR="00CD3CCE">
        <w:t xml:space="preserve">Advice </w:t>
      </w:r>
      <w:r>
        <w:t xml:space="preserve">Law” – </w:t>
      </w:r>
      <w:r w:rsidR="00E80636">
        <w:t>t</w:t>
      </w:r>
      <w:r>
        <w:t>he</w:t>
      </w:r>
      <w:r w:rsidR="00CD3CCE">
        <w:t xml:space="preserve"> Regulation of </w:t>
      </w:r>
      <w:r w:rsidR="002E678C">
        <w:t>Investment</w:t>
      </w:r>
      <w:r>
        <w:t xml:space="preserve"> </w:t>
      </w:r>
      <w:r w:rsidR="00CD3CCE">
        <w:t>Advice</w:t>
      </w:r>
      <w:r>
        <w:t xml:space="preserve">, Investment </w:t>
      </w:r>
      <w:r w:rsidR="00CD3CCE">
        <w:t xml:space="preserve">Marketing </w:t>
      </w:r>
      <w:r>
        <w:t xml:space="preserve">and Investment Portfolio </w:t>
      </w:r>
      <w:r w:rsidR="00CD3CCE">
        <w:t>Management Law</w:t>
      </w:r>
      <w:r>
        <w:t>, 5755-1995;</w:t>
      </w:r>
    </w:p>
    <w:p w:rsidR="00E83F1B" w:rsidRDefault="00E83F1B" w:rsidP="00E80636">
      <w:pPr>
        <w:pStyle w:val="a6"/>
      </w:pPr>
      <w:r>
        <w:t xml:space="preserve">“Companies Law” – </w:t>
      </w:r>
      <w:r w:rsidR="00E80636">
        <w:t>t</w:t>
      </w:r>
      <w:r>
        <w:t>he Companies Law, 5759-1999;</w:t>
      </w:r>
    </w:p>
    <w:p w:rsidR="00E83F1B" w:rsidRDefault="00E83F1B" w:rsidP="00E80636">
      <w:pPr>
        <w:pStyle w:val="a6"/>
      </w:pPr>
      <w:r>
        <w:t xml:space="preserve">“Government Companies Law” – </w:t>
      </w:r>
      <w:r w:rsidR="00E80636">
        <w:t>t</w:t>
      </w:r>
      <w:r>
        <w:t xml:space="preserve">he </w:t>
      </w:r>
      <w:r w:rsidR="002E678C">
        <w:t>Government</w:t>
      </w:r>
      <w:r>
        <w:t xml:space="preserve"> Companies Law, 5735-1975; </w:t>
      </w:r>
    </w:p>
    <w:p w:rsidR="00E83F1B" w:rsidRDefault="00E83F1B" w:rsidP="00E80636">
      <w:pPr>
        <w:pStyle w:val="a6"/>
      </w:pPr>
      <w:r>
        <w:t xml:space="preserve">“Freedom of Information Law” – </w:t>
      </w:r>
      <w:r w:rsidR="00E80636">
        <w:t>t</w:t>
      </w:r>
      <w:r>
        <w:t>he Freedom of Information Law, 5758-1998;</w:t>
      </w:r>
    </w:p>
    <w:p w:rsidR="00E83F1B" w:rsidRDefault="00E83F1B" w:rsidP="00E80636">
      <w:pPr>
        <w:pStyle w:val="a6"/>
      </w:pPr>
      <w:r>
        <w:t xml:space="preserve">“Securities Law” – </w:t>
      </w:r>
      <w:r w:rsidR="00E80636">
        <w:t>t</w:t>
      </w:r>
      <w:r>
        <w:t>he Securities Law, 5728-1968;</w:t>
      </w:r>
    </w:p>
    <w:p w:rsidR="00954026" w:rsidRDefault="00E83F1B" w:rsidP="00E80636">
      <w:pPr>
        <w:pStyle w:val="a6"/>
      </w:pPr>
      <w:r>
        <w:t>“</w:t>
      </w:r>
      <w:r w:rsidR="002E678C">
        <w:t>Communication</w:t>
      </w:r>
      <w:r>
        <w:t xml:space="preserve"> Law” – </w:t>
      </w:r>
      <w:r w:rsidR="00E80636">
        <w:t>t</w:t>
      </w:r>
      <w:r>
        <w:t>he Communication Law (telecommunications and broadcasting), 57</w:t>
      </w:r>
      <w:r w:rsidR="00954026">
        <w:t xml:space="preserve">52-1983; </w:t>
      </w:r>
    </w:p>
    <w:p w:rsidR="00954026" w:rsidRDefault="00954026" w:rsidP="00E80636">
      <w:pPr>
        <w:pStyle w:val="a6"/>
      </w:pPr>
      <w:r>
        <w:t>“</w:t>
      </w:r>
      <w:r w:rsidR="00E32F8D">
        <w:t xml:space="preserve">General </w:t>
      </w:r>
      <w:r>
        <w:t>Director</w:t>
      </w:r>
      <w:r w:rsidR="00E80636">
        <w:t xml:space="preserve"> of the Antitrust Authority</w:t>
      </w:r>
      <w:r>
        <w:t xml:space="preserve">” – </w:t>
      </w:r>
      <w:r w:rsidR="002E678C">
        <w:t>according</w:t>
      </w:r>
      <w:r>
        <w:t xml:space="preserve"> to its meaning in the </w:t>
      </w:r>
      <w:r w:rsidR="00237F9E">
        <w:t>Restrictive Trade Practices Law</w:t>
      </w:r>
      <w:r>
        <w:t>;</w:t>
      </w:r>
    </w:p>
    <w:p w:rsidR="00954026" w:rsidRDefault="00954026">
      <w:pPr>
        <w:pStyle w:val="a6"/>
      </w:pPr>
      <w:r>
        <w:t xml:space="preserve">“List of Major Financial Entities” – the list published by the Committee </w:t>
      </w:r>
      <w:r w:rsidR="00E01358">
        <w:t xml:space="preserve">for </w:t>
      </w:r>
      <w:r w:rsidR="00903E5E">
        <w:t xml:space="preserve">the </w:t>
      </w:r>
      <w:r w:rsidR="00E01358">
        <w:t xml:space="preserve">Reduction of </w:t>
      </w:r>
      <w:r>
        <w:t xml:space="preserve">Concentration according to </w:t>
      </w:r>
      <w:r w:rsidR="00E80636">
        <w:t>p</w:t>
      </w:r>
      <w:r>
        <w:t>aragraph 29;</w:t>
      </w:r>
    </w:p>
    <w:p w:rsidR="00954026" w:rsidRDefault="002E678C" w:rsidP="00E80636">
      <w:pPr>
        <w:pStyle w:val="a6"/>
      </w:pPr>
      <w:r>
        <w:t>“List of Concentrated</w:t>
      </w:r>
      <w:r w:rsidR="00954026">
        <w:t xml:space="preserve"> Entities” – the list published by the </w:t>
      </w:r>
      <w:r w:rsidR="00903E5E">
        <w:t xml:space="preserve">Committee for the Reduction </w:t>
      </w:r>
      <w:proofErr w:type="gramStart"/>
      <w:r w:rsidR="00903E5E">
        <w:t xml:space="preserve">of </w:t>
      </w:r>
      <w:r w:rsidR="00954026">
        <w:t xml:space="preserve"> Concentration</w:t>
      </w:r>
      <w:proofErr w:type="gramEnd"/>
      <w:r w:rsidR="00954026">
        <w:t xml:space="preserve"> </w:t>
      </w:r>
      <w:r>
        <w:t>according</w:t>
      </w:r>
      <w:r w:rsidR="00954026">
        <w:t xml:space="preserve"> to </w:t>
      </w:r>
      <w:r w:rsidR="00E80636">
        <w:t>p</w:t>
      </w:r>
      <w:r w:rsidR="00954026">
        <w:t xml:space="preserve">aragraph 4; </w:t>
      </w:r>
    </w:p>
    <w:p w:rsidR="00954026" w:rsidRDefault="00954026" w:rsidP="00DD037C">
      <w:pPr>
        <w:pStyle w:val="a6"/>
      </w:pPr>
      <w:r>
        <w:t>“</w:t>
      </w:r>
      <w:r w:rsidR="00DD037C">
        <w:t>L</w:t>
      </w:r>
      <w:r>
        <w:t xml:space="preserve">ist of Major Real Corporations” – </w:t>
      </w:r>
      <w:r w:rsidR="00DD037C">
        <w:t>t</w:t>
      </w:r>
      <w:r>
        <w:t xml:space="preserve">he list published by the </w:t>
      </w:r>
      <w:r w:rsidR="00903E5E">
        <w:t xml:space="preserve">Committee for the Reduction </w:t>
      </w:r>
      <w:proofErr w:type="gramStart"/>
      <w:r w:rsidR="00903E5E">
        <w:t xml:space="preserve">of </w:t>
      </w:r>
      <w:r>
        <w:t xml:space="preserve"> Concentration</w:t>
      </w:r>
      <w:proofErr w:type="gramEnd"/>
      <w:r>
        <w:t xml:space="preserve"> according to </w:t>
      </w:r>
      <w:r w:rsidR="00DD037C">
        <w:t>p</w:t>
      </w:r>
      <w:r w:rsidR="002E678C">
        <w:t>aragraph</w:t>
      </w:r>
      <w:r>
        <w:t xml:space="preserve"> 30.</w:t>
      </w:r>
    </w:p>
    <w:p w:rsidR="00E83F1B" w:rsidRDefault="00954026" w:rsidP="00954026">
      <w:pPr>
        <w:jc w:val="center"/>
      </w:pPr>
      <w:r w:rsidRPr="00954026">
        <w:t xml:space="preserve">Section a: </w:t>
      </w:r>
      <w:r w:rsidR="002E678C" w:rsidRPr="00954026">
        <w:t>Definitions</w:t>
      </w:r>
    </w:p>
    <w:p w:rsidR="00954026" w:rsidRDefault="00954026" w:rsidP="00DD037C">
      <w:pPr>
        <w:pStyle w:val="a6"/>
        <w:numPr>
          <w:ilvl w:val="5"/>
          <w:numId w:val="1"/>
        </w:numPr>
        <w:ind w:left="426"/>
      </w:pPr>
      <w:r>
        <w:t>Definitions – Chapter B</w:t>
      </w:r>
    </w:p>
    <w:p w:rsidR="00954026" w:rsidRDefault="00954026" w:rsidP="00DD037C">
      <w:pPr>
        <w:pStyle w:val="a6"/>
      </w:pPr>
      <w:r>
        <w:t xml:space="preserve">In this chapter – </w:t>
      </w:r>
    </w:p>
    <w:p w:rsidR="00954026" w:rsidRDefault="00954026" w:rsidP="00954026">
      <w:pPr>
        <w:pStyle w:val="a6"/>
      </w:pPr>
      <w:r>
        <w:t xml:space="preserve">“Means of control”, “holding” and “control” – according to their meaning in the Securities Law; </w:t>
      </w:r>
    </w:p>
    <w:p w:rsidR="00954026" w:rsidRDefault="00954026" w:rsidP="00DD037C">
      <w:pPr>
        <w:pStyle w:val="a6"/>
      </w:pPr>
      <w:r>
        <w:t>“</w:t>
      </w:r>
      <w:r w:rsidR="00DD037C">
        <w:t>S</w:t>
      </w:r>
      <w:r>
        <w:t xml:space="preserve">ignificant </w:t>
      </w:r>
      <w:r w:rsidR="001C1051">
        <w:t>holding</w:t>
      </w:r>
      <w:r>
        <w:t>” – each of</w:t>
      </w:r>
      <w:r w:rsidR="003105ED">
        <w:t xml:space="preserve"> </w:t>
      </w:r>
      <w:r>
        <w:t xml:space="preserve">the following: </w:t>
      </w:r>
    </w:p>
    <w:p w:rsidR="00954026" w:rsidRDefault="00954026">
      <w:pPr>
        <w:pStyle w:val="a6"/>
        <w:numPr>
          <w:ilvl w:val="0"/>
          <w:numId w:val="2"/>
        </w:numPr>
      </w:pPr>
      <w:r>
        <w:t xml:space="preserve">Control </w:t>
      </w:r>
      <w:r w:rsidR="00A253CC">
        <w:t xml:space="preserve">of a corporation owned by the </w:t>
      </w:r>
      <w:r w:rsidR="00F54919">
        <w:t>State</w:t>
      </w:r>
      <w:r w:rsidR="00A253CC">
        <w:t xml:space="preserve">, or </w:t>
      </w:r>
      <w:r w:rsidR="00CB1C3D">
        <w:t xml:space="preserve">of </w:t>
      </w:r>
      <w:r w:rsidR="00A253CC">
        <w:t xml:space="preserve">means of control in a corporation owned by the </w:t>
      </w:r>
      <w:r w:rsidR="00F54919">
        <w:t>State</w:t>
      </w:r>
      <w:r w:rsidR="00A253CC">
        <w:t>, whose transfer to another require</w:t>
      </w:r>
      <w:r w:rsidR="00CB1C3D">
        <w:t>s</w:t>
      </w:r>
      <w:r w:rsidR="00A253CC">
        <w:t xml:space="preserve"> a </w:t>
      </w:r>
      <w:r w:rsidR="002E678C">
        <w:t>procedure</w:t>
      </w:r>
      <w:r w:rsidR="00A253CC">
        <w:t xml:space="preserve"> </w:t>
      </w:r>
      <w:r w:rsidR="002E678C">
        <w:t>according</w:t>
      </w:r>
      <w:r w:rsidR="00A253CC">
        <w:t xml:space="preserve"> to the </w:t>
      </w:r>
      <w:r w:rsidR="002E678C">
        <w:t>Government</w:t>
      </w:r>
      <w:r w:rsidR="00A253CC">
        <w:t xml:space="preserve"> Companies Law; for the purposes of this </w:t>
      </w:r>
      <w:r w:rsidR="00822DCF">
        <w:t>clause</w:t>
      </w:r>
      <w:r w:rsidR="00A253CC">
        <w:t>, “means of control” – a share of</w:t>
      </w:r>
      <w:r w:rsidR="00DD037C">
        <w:t xml:space="preserve"> at least</w:t>
      </w:r>
      <w:r w:rsidR="00A253CC">
        <w:t xml:space="preserve"> 20 percent of that type of means of control, and if required by law or agreement, approval from the </w:t>
      </w:r>
      <w:r w:rsidR="002E678C">
        <w:t>Government</w:t>
      </w:r>
      <w:r w:rsidR="00A253CC">
        <w:t xml:space="preserve"> or from someone on its behalf as a condition for the </w:t>
      </w:r>
      <w:r w:rsidR="002E678C">
        <w:t>transfer</w:t>
      </w:r>
      <w:r w:rsidR="00A253CC">
        <w:t xml:space="preserve"> of means of control held by the </w:t>
      </w:r>
      <w:r w:rsidR="00F54919">
        <w:t>State</w:t>
      </w:r>
      <w:r w:rsidR="00A253CC">
        <w:t xml:space="preserve"> to another </w:t>
      </w:r>
      <w:r w:rsidR="00DD037C">
        <w:t>–</w:t>
      </w:r>
      <w:r w:rsidR="00CB1C3D">
        <w:t xml:space="preserve">a </w:t>
      </w:r>
      <w:r w:rsidR="00C23481">
        <w:t xml:space="preserve">share </w:t>
      </w:r>
      <w:r w:rsidR="00DD037C">
        <w:t>of at least</w:t>
      </w:r>
      <w:r w:rsidR="00A253CC">
        <w:t xml:space="preserve"> 5 percent of that type</w:t>
      </w:r>
      <w:r w:rsidR="003105ED">
        <w:t xml:space="preserve"> </w:t>
      </w:r>
      <w:r w:rsidR="00A253CC">
        <w:t>of means of control;</w:t>
      </w:r>
    </w:p>
    <w:p w:rsidR="00822DCF" w:rsidRDefault="001D4E03">
      <w:pPr>
        <w:pStyle w:val="a6"/>
        <w:numPr>
          <w:ilvl w:val="0"/>
          <w:numId w:val="2"/>
        </w:numPr>
      </w:pPr>
      <w:r>
        <w:lastRenderedPageBreak/>
        <w:t>A</w:t>
      </w:r>
      <w:r w:rsidR="00822DCF">
        <w:t xml:space="preserve">pproval required by the </w:t>
      </w:r>
      <w:r w:rsidR="00F54919">
        <w:t>State</w:t>
      </w:r>
      <w:r w:rsidR="00822DCF">
        <w:t xml:space="preserve"> or someone on its behalf, </w:t>
      </w:r>
      <w:r w:rsidR="002E678C">
        <w:t>according</w:t>
      </w:r>
      <w:r w:rsidR="00822DCF">
        <w:t xml:space="preserve"> to law or agreement, for the transfer of control in a corporation or transfer of means of control in a </w:t>
      </w:r>
      <w:r w:rsidR="002E678C">
        <w:t>corporation</w:t>
      </w:r>
      <w:r w:rsidR="00822DCF">
        <w:t xml:space="preserve">, according to their meaning in clause (1), from the holder to another, even if the control or means of control is not owned by the </w:t>
      </w:r>
      <w:r w:rsidR="00F54919">
        <w:t>State</w:t>
      </w:r>
      <w:r w:rsidR="00822DCF">
        <w:t xml:space="preserve"> or held by it and </w:t>
      </w:r>
      <w:r w:rsidR="0025331C">
        <w:t xml:space="preserve">provided </w:t>
      </w:r>
      <w:r w:rsidR="00822DCF">
        <w:t xml:space="preserve">that the corporation was at some time in the past a </w:t>
      </w:r>
      <w:r w:rsidR="002E678C">
        <w:t>government</w:t>
      </w:r>
      <w:r w:rsidR="00822DCF">
        <w:t xml:space="preserve"> company, a government subsidiary or a mixed </w:t>
      </w:r>
      <w:r w:rsidR="002E678C">
        <w:t>company</w:t>
      </w:r>
      <w:r w:rsidR="00822DCF">
        <w:t xml:space="preserve"> or a different corporation to which the instructions of the Government Companies Law</w:t>
      </w:r>
      <w:r>
        <w:t xml:space="preserve"> apply to</w:t>
      </w:r>
      <w:r w:rsidR="00822DCF">
        <w:t xml:space="preserve">, </w:t>
      </w:r>
      <w:r w:rsidR="002E678C">
        <w:t>according</w:t>
      </w:r>
      <w:r w:rsidR="00822DCF">
        <w:t xml:space="preserve"> to paragraph 60 of </w:t>
      </w:r>
      <w:r w:rsidR="00214644">
        <w:t>that</w:t>
      </w:r>
      <w:r w:rsidR="00822DCF">
        <w:t xml:space="preserve"> law; </w:t>
      </w:r>
    </w:p>
    <w:p w:rsidR="00822DCF" w:rsidRDefault="00822DCF" w:rsidP="001C1051">
      <w:pPr>
        <w:ind w:left="720"/>
      </w:pPr>
      <w:r>
        <w:t xml:space="preserve">“Allocation” of a right – as described below, </w:t>
      </w:r>
      <w:r w:rsidR="001C1051">
        <w:t>according to the circumstances</w:t>
      </w:r>
      <w:r>
        <w:t xml:space="preserve">: </w:t>
      </w:r>
    </w:p>
    <w:p w:rsidR="00822DCF" w:rsidRDefault="00303D92" w:rsidP="00E656A3">
      <w:pPr>
        <w:pStyle w:val="a6"/>
        <w:numPr>
          <w:ilvl w:val="0"/>
          <w:numId w:val="3"/>
        </w:numPr>
        <w:ind w:left="1440"/>
      </w:pPr>
      <w:r>
        <w:t xml:space="preserve">Grant </w:t>
      </w:r>
      <w:r w:rsidR="00822DCF">
        <w:t xml:space="preserve">of a </w:t>
      </w:r>
      <w:r w:rsidR="002E678C">
        <w:t>license</w:t>
      </w:r>
      <w:r w:rsidR="00822DCF">
        <w:t xml:space="preserve"> or approval as stated in the definition of a “license”; </w:t>
      </w:r>
    </w:p>
    <w:p w:rsidR="00A253CC" w:rsidRDefault="001D4E03">
      <w:pPr>
        <w:pStyle w:val="a6"/>
        <w:numPr>
          <w:ilvl w:val="0"/>
          <w:numId w:val="3"/>
        </w:numPr>
        <w:ind w:left="1440"/>
      </w:pPr>
      <w:r>
        <w:t xml:space="preserve">Engagement in a </w:t>
      </w:r>
      <w:r w:rsidR="001C1051">
        <w:t xml:space="preserve">contract or </w:t>
      </w:r>
      <w:r w:rsidR="00303D92">
        <w:t xml:space="preserve">grant </w:t>
      </w:r>
      <w:r>
        <w:t xml:space="preserve">of </w:t>
      </w:r>
      <w:r w:rsidR="00214644">
        <w:t xml:space="preserve">approval </w:t>
      </w:r>
      <w:r w:rsidR="001C1051">
        <w:t xml:space="preserve">as </w:t>
      </w:r>
      <w:r w:rsidR="00214644">
        <w:t>stated</w:t>
      </w:r>
      <w:r w:rsidR="001C1051">
        <w:t xml:space="preserve"> in the definition of a “contract”;</w:t>
      </w:r>
    </w:p>
    <w:p w:rsidR="001C1051" w:rsidRDefault="002E678C">
      <w:pPr>
        <w:pStyle w:val="a6"/>
        <w:numPr>
          <w:ilvl w:val="0"/>
          <w:numId w:val="3"/>
        </w:numPr>
        <w:ind w:left="1440"/>
      </w:pPr>
      <w:r>
        <w:t>Transfer</w:t>
      </w:r>
      <w:r w:rsidR="001C1051">
        <w:t xml:space="preserve"> of a significant share of a holding or </w:t>
      </w:r>
      <w:r w:rsidR="00303D92">
        <w:t xml:space="preserve">grant of </w:t>
      </w:r>
      <w:r w:rsidR="00214644">
        <w:t>approval</w:t>
      </w:r>
      <w:r w:rsidR="001C1051">
        <w:t xml:space="preserve"> as stated in the definition of a “significant holding”;</w:t>
      </w:r>
    </w:p>
    <w:p w:rsidR="001C1051" w:rsidRDefault="001C1051" w:rsidP="00E656A3">
      <w:pPr>
        <w:pStyle w:val="a6"/>
        <w:ind w:left="1440"/>
      </w:pPr>
      <w:r>
        <w:t xml:space="preserve">For the purpose of this definition, the share in the means of control will be calculated according to the accumulated </w:t>
      </w:r>
      <w:r w:rsidR="00214644">
        <w:t>share</w:t>
      </w:r>
      <w:r>
        <w:t xml:space="preserve"> possessed by a </w:t>
      </w:r>
      <w:r w:rsidR="00B774A9">
        <w:t>person</w:t>
      </w:r>
      <w:r>
        <w:t xml:space="preserve"> after the transfer of the holding; </w:t>
      </w:r>
    </w:p>
    <w:p w:rsidR="001C1051" w:rsidRDefault="001C1051" w:rsidP="001C1051">
      <w:r>
        <w:tab/>
        <w:t xml:space="preserve">“Right” – </w:t>
      </w:r>
      <w:r w:rsidR="002E678C">
        <w:t>license</w:t>
      </w:r>
      <w:r>
        <w:t>, cont</w:t>
      </w:r>
      <w:r w:rsidR="007B53D1">
        <w:t>r</w:t>
      </w:r>
      <w:r>
        <w:t>act or significant holding;</w:t>
      </w:r>
    </w:p>
    <w:p w:rsidR="001C1051" w:rsidRDefault="001C1051" w:rsidP="001C1051">
      <w:pPr>
        <w:ind w:left="709"/>
      </w:pPr>
      <w:r>
        <w:tab/>
        <w:t>“</w:t>
      </w:r>
      <w:r w:rsidR="002E678C">
        <w:t>Government</w:t>
      </w:r>
      <w:r>
        <w:t xml:space="preserve"> company”, “</w:t>
      </w:r>
      <w:r w:rsidR="002E678C">
        <w:t>government</w:t>
      </w:r>
      <w:r>
        <w:t xml:space="preserve"> subsidiary” “mixed company” and the “</w:t>
      </w:r>
      <w:r w:rsidR="002E678C">
        <w:t>Government</w:t>
      </w:r>
      <w:r>
        <w:t xml:space="preserve"> Companies Authority” – according to their meanings in the </w:t>
      </w:r>
      <w:r w:rsidR="002E678C">
        <w:t>Government</w:t>
      </w:r>
      <w:r>
        <w:t xml:space="preserve"> Companies Law;</w:t>
      </w:r>
    </w:p>
    <w:p w:rsidR="001C1051" w:rsidRDefault="001C1051">
      <w:pPr>
        <w:ind w:left="709"/>
      </w:pPr>
      <w:r>
        <w:t>“Contract” – an engagement for the execution</w:t>
      </w:r>
      <w:r w:rsidR="003105ED">
        <w:t xml:space="preserve"> </w:t>
      </w:r>
      <w:r>
        <w:t xml:space="preserve">of </w:t>
      </w:r>
      <w:r w:rsidR="00303D92">
        <w:t xml:space="preserve">an </w:t>
      </w:r>
      <w:r>
        <w:t xml:space="preserve">activity </w:t>
      </w:r>
      <w:r w:rsidR="003C3912">
        <w:t xml:space="preserve">that is one of the </w:t>
      </w:r>
      <w:r w:rsidR="00303D92">
        <w:t xml:space="preserve">areas of </w:t>
      </w:r>
      <w:r w:rsidR="003C3912">
        <w:t>essential infrastru</w:t>
      </w:r>
      <w:r w:rsidR="002E678C">
        <w:t>ctu</w:t>
      </w:r>
      <w:r w:rsidR="003C3912">
        <w:t xml:space="preserve">re </w:t>
      </w:r>
      <w:r w:rsidR="00214644">
        <w:t>areas of activity</w:t>
      </w:r>
      <w:r w:rsidR="003C3912">
        <w:t xml:space="preserve">, which is carried out in a procedure </w:t>
      </w:r>
      <w:r w:rsidR="002E678C">
        <w:t>according</w:t>
      </w:r>
      <w:r w:rsidR="003C3912">
        <w:t xml:space="preserve"> to the Obligatory Tender Law, 5752-1992, including the </w:t>
      </w:r>
      <w:r w:rsidR="00214644">
        <w:t>approval</w:t>
      </w:r>
      <w:r w:rsidR="003C3912">
        <w:t xml:space="preserve"> required </w:t>
      </w:r>
      <w:r w:rsidR="002E678C">
        <w:t>according</w:t>
      </w:r>
      <w:r w:rsidR="003C3912">
        <w:t xml:space="preserve"> to </w:t>
      </w:r>
      <w:r w:rsidR="00214644">
        <w:t>that</w:t>
      </w:r>
      <w:r w:rsidR="003C3912">
        <w:t xml:space="preserve"> engagement for its transfer to another, in whole or in part, and including the </w:t>
      </w:r>
      <w:r w:rsidR="00214644">
        <w:t>approval</w:t>
      </w:r>
      <w:r w:rsidR="003C3912">
        <w:t xml:space="preserve"> required to transfer control or means of control of the promiso</w:t>
      </w:r>
      <w:r w:rsidR="00F54919">
        <w:t xml:space="preserve">r or its holder at a </w:t>
      </w:r>
      <w:r w:rsidR="00303D92">
        <w:t xml:space="preserve">share </w:t>
      </w:r>
      <w:r w:rsidR="00F54919">
        <w:t>of at least 5%</w:t>
      </w:r>
      <w:r w:rsidR="00214644">
        <w:t xml:space="preserve"> </w:t>
      </w:r>
      <w:r w:rsidR="00F54919">
        <w:t>of that type of means of control</w:t>
      </w:r>
      <w:r w:rsidR="00840EC9">
        <w:t>,</w:t>
      </w:r>
      <w:r w:rsidR="00F54919">
        <w:t xml:space="preserve"> which </w:t>
      </w:r>
      <w:r w:rsidR="00CB1C3D">
        <w:t xml:space="preserve">is carried out </w:t>
      </w:r>
      <w:r w:rsidR="00F54919">
        <w:t xml:space="preserve">by one of the following: </w:t>
      </w:r>
    </w:p>
    <w:p w:rsidR="00F54919" w:rsidRDefault="00F54919" w:rsidP="00F54919">
      <w:pPr>
        <w:pStyle w:val="a6"/>
        <w:numPr>
          <w:ilvl w:val="0"/>
          <w:numId w:val="4"/>
        </w:numPr>
      </w:pPr>
      <w:r>
        <w:t xml:space="preserve">The State; </w:t>
      </w:r>
    </w:p>
    <w:p w:rsidR="00F54919" w:rsidRDefault="00F54919">
      <w:pPr>
        <w:pStyle w:val="a6"/>
        <w:numPr>
          <w:ilvl w:val="0"/>
          <w:numId w:val="4"/>
        </w:numPr>
      </w:pPr>
      <w:r>
        <w:t xml:space="preserve">A </w:t>
      </w:r>
      <w:r w:rsidR="002E678C">
        <w:t>government</w:t>
      </w:r>
      <w:r>
        <w:t xml:space="preserve"> company or corporation that </w:t>
      </w:r>
      <w:r w:rsidR="00840EC9">
        <w:t>was established by</w:t>
      </w:r>
      <w:r>
        <w:t xml:space="preserve"> law and </w:t>
      </w:r>
      <w:r w:rsidR="0025331C">
        <w:t xml:space="preserve">provided </w:t>
      </w:r>
      <w:r>
        <w:t xml:space="preserve">that the government has not </w:t>
      </w:r>
      <w:r w:rsidR="00CB1C3D">
        <w:t xml:space="preserve">determined </w:t>
      </w:r>
      <w:r>
        <w:t xml:space="preserve">an exemption for them in its decision according to paragraph 17 and subject to the conditions of the decision; </w:t>
      </w:r>
    </w:p>
    <w:p w:rsidR="00F54919" w:rsidRDefault="00F54919">
      <w:pPr>
        <w:ind w:left="709"/>
      </w:pPr>
      <w:r>
        <w:t xml:space="preserve">“Regulator” – the entity that has been granted </w:t>
      </w:r>
      <w:r w:rsidR="00303D92">
        <w:t xml:space="preserve">by law </w:t>
      </w:r>
      <w:r>
        <w:t>the power to alloca</w:t>
      </w:r>
      <w:r w:rsidR="002E678C">
        <w:t>te a right, including a government</w:t>
      </w:r>
      <w:r>
        <w:t xml:space="preserve"> minister and someone to </w:t>
      </w:r>
      <w:r w:rsidR="002E678C">
        <w:t>whom</w:t>
      </w:r>
      <w:r>
        <w:t xml:space="preserve"> the minister has allocated </w:t>
      </w:r>
      <w:r w:rsidR="00303D92">
        <w:t xml:space="preserve">his </w:t>
      </w:r>
      <w:r>
        <w:t>power</w:t>
      </w:r>
      <w:r w:rsidR="00CB1C3D">
        <w:t>,</w:t>
      </w:r>
      <w:r>
        <w:t xml:space="preserve"> and in the case of a contract – one of the following: </w:t>
      </w:r>
    </w:p>
    <w:p w:rsidR="00F54919" w:rsidRDefault="00F54919" w:rsidP="00CB1C3D">
      <w:pPr>
        <w:pStyle w:val="a6"/>
        <w:numPr>
          <w:ilvl w:val="0"/>
          <w:numId w:val="5"/>
        </w:numPr>
      </w:pPr>
      <w:r>
        <w:t xml:space="preserve">The Tenders Committee that carries out or approves the procedure according to the </w:t>
      </w:r>
      <w:r w:rsidR="002106B2">
        <w:t>Obligatory Tenders Law</w:t>
      </w:r>
      <w:r>
        <w:t xml:space="preserve">, 5752-1992, within which the engagement was </w:t>
      </w:r>
      <w:r w:rsidR="00CB1C3D">
        <w:t>entered into</w:t>
      </w:r>
      <w:r>
        <w:t>, whether by tender or by some other procedure, even if the procedure</w:t>
      </w:r>
      <w:r w:rsidR="003105ED">
        <w:t xml:space="preserve"> </w:t>
      </w:r>
      <w:r>
        <w:t>o</w:t>
      </w:r>
      <w:r w:rsidR="00840EC9">
        <w:t>r</w:t>
      </w:r>
      <w:r>
        <w:t xml:space="preserve"> part of it requires the approval of a</w:t>
      </w:r>
      <w:r w:rsidR="0004579B">
        <w:t xml:space="preserve"> different </w:t>
      </w:r>
      <w:r>
        <w:t xml:space="preserve">entity; </w:t>
      </w:r>
    </w:p>
    <w:p w:rsidR="00F54919" w:rsidRDefault="0004579B" w:rsidP="00CB1C3D">
      <w:pPr>
        <w:pStyle w:val="a6"/>
        <w:numPr>
          <w:ilvl w:val="0"/>
          <w:numId w:val="5"/>
        </w:numPr>
      </w:pPr>
      <w:r>
        <w:lastRenderedPageBreak/>
        <w:t xml:space="preserve">A different entity that is not the Tenders Committee, if it has been authorized to carry </w:t>
      </w:r>
      <w:r w:rsidR="00840EC9">
        <w:t xml:space="preserve">out </w:t>
      </w:r>
      <w:r>
        <w:t xml:space="preserve">a procedure according to the </w:t>
      </w:r>
      <w:r w:rsidR="002106B2">
        <w:t>Obligatory Tenders Law</w:t>
      </w:r>
      <w:r>
        <w:t xml:space="preserve">, 5752-1992, in place of the Tenders Committee; </w:t>
      </w:r>
    </w:p>
    <w:p w:rsidR="0004579B" w:rsidRDefault="0004579B" w:rsidP="00840EC9">
      <w:pPr>
        <w:ind w:left="709"/>
      </w:pPr>
      <w:r>
        <w:t xml:space="preserve">“Essential infrastructure category” – one of the </w:t>
      </w:r>
      <w:r w:rsidR="002E678C">
        <w:t>categories</w:t>
      </w:r>
      <w:r>
        <w:t xml:space="preserve"> in Column A of the Schedule</w:t>
      </w:r>
      <w:r w:rsidR="00840EC9">
        <w:t>, including one or more</w:t>
      </w:r>
      <w:r>
        <w:t xml:space="preserve"> </w:t>
      </w:r>
      <w:r w:rsidR="00840EC9">
        <w:t>areas of activity</w:t>
      </w:r>
      <w:r>
        <w:t xml:space="preserve">; </w:t>
      </w:r>
    </w:p>
    <w:p w:rsidR="0004579B" w:rsidRDefault="002E678C">
      <w:pPr>
        <w:ind w:left="709"/>
      </w:pPr>
      <w:r>
        <w:t xml:space="preserve">“License” – authorization, including a license, </w:t>
      </w:r>
      <w:r w:rsidR="002106B2">
        <w:t xml:space="preserve">franchise </w:t>
      </w:r>
      <w:r>
        <w:t xml:space="preserve">or permit where the area of activity it is required for is an essential infrastructure </w:t>
      </w:r>
      <w:r w:rsidR="00840EC9">
        <w:t>area of activity</w:t>
      </w:r>
      <w:r>
        <w:t xml:space="preserve">, and also </w:t>
      </w:r>
      <w:r w:rsidR="00840EC9">
        <w:t>approval</w:t>
      </w:r>
      <w:r>
        <w:t xml:space="preserve"> required by law or an agreement for transfer of </w:t>
      </w:r>
      <w:r w:rsidR="007B53D1">
        <w:t>that</w:t>
      </w:r>
      <w:r>
        <w:t xml:space="preserve"> </w:t>
      </w:r>
      <w:r w:rsidR="00840EC9">
        <w:t>approval</w:t>
      </w:r>
      <w:r>
        <w:t xml:space="preserve"> to another, in whole or in part, and including the </w:t>
      </w:r>
      <w:r w:rsidR="00840EC9">
        <w:t>aforementioned</w:t>
      </w:r>
      <w:r>
        <w:t xml:space="preserve"> </w:t>
      </w:r>
      <w:r w:rsidR="00840EC9">
        <w:t>approval</w:t>
      </w:r>
      <w:r>
        <w:t xml:space="preserve"> required for the transfer of control or means of control in the possessor of the authorization, with regard to </w:t>
      </w:r>
      <w:r w:rsidR="00332CF9">
        <w:t xml:space="preserve">a share of </w:t>
      </w:r>
      <w:r>
        <w:t>at least 5% of that type of means of control;</w:t>
      </w:r>
    </w:p>
    <w:p w:rsidR="0022250C" w:rsidRDefault="0022250C">
      <w:pPr>
        <w:ind w:left="709"/>
      </w:pPr>
      <w:r>
        <w:t>“</w:t>
      </w:r>
      <w:r w:rsidR="00D93C34">
        <w:t xml:space="preserve">Economy-wide </w:t>
      </w:r>
      <w:r>
        <w:t xml:space="preserve">concentration considerations” – according to their meaning in paragraph 5(d); </w:t>
      </w:r>
    </w:p>
    <w:p w:rsidR="0022250C" w:rsidRDefault="0022250C">
      <w:pPr>
        <w:ind w:left="709"/>
      </w:pPr>
      <w:r>
        <w:t>“An essential infrastru</w:t>
      </w:r>
      <w:r w:rsidR="002E678C">
        <w:t>ctu</w:t>
      </w:r>
      <w:r>
        <w:t xml:space="preserve">re </w:t>
      </w:r>
      <w:r w:rsidR="00D91913">
        <w:t>area of activity</w:t>
      </w:r>
      <w:r>
        <w:t>” – a</w:t>
      </w:r>
      <w:r w:rsidR="00D91913">
        <w:t xml:space="preserve">n area </w:t>
      </w:r>
      <w:r>
        <w:t xml:space="preserve">of activity in which use is made of an essential infrastructure or a </w:t>
      </w:r>
      <w:r w:rsidR="00D93C34">
        <w:t xml:space="preserve">public </w:t>
      </w:r>
      <w:r>
        <w:t xml:space="preserve">resource or which involves an essential service to the public, which is listed in Column B of the Schedule. </w:t>
      </w:r>
    </w:p>
    <w:p w:rsidR="0022250C" w:rsidRDefault="0022250C" w:rsidP="0022250C">
      <w:pPr>
        <w:jc w:val="center"/>
      </w:pPr>
      <w:r>
        <w:t xml:space="preserve">Section B: </w:t>
      </w:r>
      <w:r w:rsidR="00D93C34">
        <w:t>Economy-wide</w:t>
      </w:r>
      <w:r>
        <w:t xml:space="preserve"> Concentration Considerations in the Allocation of Rights</w:t>
      </w:r>
    </w:p>
    <w:p w:rsidR="007A3AC6" w:rsidRDefault="002E678C" w:rsidP="00D91913">
      <w:pPr>
        <w:pStyle w:val="a6"/>
        <w:numPr>
          <w:ilvl w:val="5"/>
          <w:numId w:val="1"/>
        </w:numPr>
        <w:ind w:left="426"/>
      </w:pPr>
      <w:r>
        <w:t>Definitions</w:t>
      </w:r>
      <w:r w:rsidR="0022250C">
        <w:t xml:space="preserve"> – Section B</w:t>
      </w:r>
    </w:p>
    <w:p w:rsidR="007A3AC6" w:rsidRDefault="007A3AC6" w:rsidP="00D91913">
      <w:pPr>
        <w:pStyle w:val="a6"/>
      </w:pPr>
      <w:r>
        <w:t xml:space="preserve">In this section - </w:t>
      </w:r>
    </w:p>
    <w:p w:rsidR="0022250C" w:rsidRDefault="005F485D" w:rsidP="008A63D7">
      <w:pPr>
        <w:pStyle w:val="a6"/>
      </w:pPr>
      <w:r>
        <w:t>“Concentrat</w:t>
      </w:r>
      <w:r w:rsidR="001715AA">
        <w:t>ed</w:t>
      </w:r>
      <w:r>
        <w:t xml:space="preserve"> entity” – one of the entities in the list of </w:t>
      </w:r>
      <w:r w:rsidR="001715AA">
        <w:t>concentrated entities</w:t>
      </w:r>
      <w:r>
        <w:t xml:space="preserve">; </w:t>
      </w:r>
    </w:p>
    <w:p w:rsidR="008A63D7" w:rsidRDefault="008A63D7" w:rsidP="008A63D7">
      <w:pPr>
        <w:pStyle w:val="a6"/>
      </w:pPr>
      <w:r>
        <w:t xml:space="preserve">“Allocation of a right”, to a </w:t>
      </w:r>
      <w:r w:rsidR="001715AA">
        <w:t>concentrated entity</w:t>
      </w:r>
      <w:r>
        <w:t xml:space="preserve"> – allocation of a right as </w:t>
      </w:r>
      <w:r w:rsidR="002E678C">
        <w:t>described</w:t>
      </w:r>
      <w:r>
        <w:t xml:space="preserve"> below, </w:t>
      </w:r>
      <w:r w:rsidR="002E678C">
        <w:t>according</w:t>
      </w:r>
      <w:r>
        <w:t xml:space="preserve"> to the circumstance</w:t>
      </w:r>
      <w:r w:rsidR="00D91913">
        <w:t>s</w:t>
      </w:r>
      <w:r>
        <w:t xml:space="preserve">: </w:t>
      </w:r>
    </w:p>
    <w:p w:rsidR="008A63D7" w:rsidRDefault="008A63D7" w:rsidP="00CB1C3D">
      <w:pPr>
        <w:pStyle w:val="a6"/>
        <w:numPr>
          <w:ilvl w:val="0"/>
          <w:numId w:val="6"/>
        </w:numPr>
      </w:pPr>
      <w:r>
        <w:t xml:space="preserve">To a </w:t>
      </w:r>
      <w:r w:rsidR="001715AA">
        <w:t>concentrated entity</w:t>
      </w:r>
      <w:r>
        <w:t xml:space="preserve"> as stated in paragraph 4(a)(1) or (3) – allocation of a right in an </w:t>
      </w:r>
      <w:r w:rsidR="002E678C">
        <w:t>essential</w:t>
      </w:r>
      <w:r>
        <w:t xml:space="preserve"> infrastructure </w:t>
      </w:r>
      <w:r w:rsidR="00CB1C3D">
        <w:t>area of activity</w:t>
      </w:r>
      <w:r>
        <w:t>;</w:t>
      </w:r>
    </w:p>
    <w:p w:rsidR="008A63D7" w:rsidRDefault="008A63D7">
      <w:pPr>
        <w:pStyle w:val="a6"/>
        <w:numPr>
          <w:ilvl w:val="0"/>
          <w:numId w:val="6"/>
        </w:numPr>
      </w:pPr>
      <w:r>
        <w:t xml:space="preserve">To a </w:t>
      </w:r>
      <w:r w:rsidR="001715AA">
        <w:t>concentrated entity</w:t>
      </w:r>
      <w:r>
        <w:t xml:space="preserve"> as stated in paragraph 4(a)(2) and for </w:t>
      </w:r>
      <w:r w:rsidR="002E678C">
        <w:t>whom</w:t>
      </w:r>
      <w:r>
        <w:t xml:space="preserve"> no other condition </w:t>
      </w:r>
      <w:r w:rsidR="002E678C">
        <w:t>according</w:t>
      </w:r>
      <w:r>
        <w:t xml:space="preserve"> to paragraph 4(a) is </w:t>
      </w:r>
      <w:r w:rsidR="00882065">
        <w:t>fulfi</w:t>
      </w:r>
      <w:r w:rsidR="00CE50DB">
        <w:t>ll</w:t>
      </w:r>
      <w:r>
        <w:t xml:space="preserve">ed – allocation of </w:t>
      </w:r>
      <w:r w:rsidR="007B53D1">
        <w:t xml:space="preserve">a </w:t>
      </w:r>
      <w:r>
        <w:t xml:space="preserve">right in an essential infrastructure </w:t>
      </w:r>
      <w:r w:rsidR="00D91913">
        <w:t>area of activity</w:t>
      </w:r>
      <w:r>
        <w:t xml:space="preserve"> in addition to </w:t>
      </w:r>
      <w:r w:rsidR="001715AA">
        <w:t xml:space="preserve">the </w:t>
      </w:r>
      <w:r w:rsidR="00D91913">
        <w:t>area of activity</w:t>
      </w:r>
      <w:r>
        <w:t xml:space="preserve"> in which its accumulated scope of activity exceeds one half of the activity in that </w:t>
      </w:r>
      <w:r w:rsidR="00D91913">
        <w:t>area</w:t>
      </w:r>
      <w:r>
        <w:t xml:space="preserve">, and </w:t>
      </w:r>
      <w:r w:rsidR="0025331C">
        <w:t>provided</w:t>
      </w:r>
      <w:r>
        <w:t xml:space="preserve"> that the </w:t>
      </w:r>
      <w:r w:rsidR="002E678C">
        <w:t>additional</w:t>
      </w:r>
      <w:r>
        <w:t xml:space="preserve"> </w:t>
      </w:r>
      <w:r w:rsidR="00D91913">
        <w:t>area</w:t>
      </w:r>
      <w:r>
        <w:t xml:space="preserve"> is included in a different </w:t>
      </w:r>
      <w:r w:rsidR="002E678C">
        <w:t>essential</w:t>
      </w:r>
      <w:r>
        <w:t xml:space="preserve"> infrastructure category </w:t>
      </w:r>
      <w:r w:rsidR="001715AA">
        <w:t xml:space="preserve">than </w:t>
      </w:r>
      <w:r>
        <w:t xml:space="preserve">the essential infrastructure category which includes the </w:t>
      </w:r>
      <w:r w:rsidR="00D91913">
        <w:t>area</w:t>
      </w:r>
      <w:r>
        <w:t xml:space="preserve"> in which </w:t>
      </w:r>
      <w:r w:rsidR="00D91913">
        <w:t>the accumulated</w:t>
      </w:r>
      <w:r>
        <w:t xml:space="preserve"> scope of activity exceeds the aforementioned </w:t>
      </w:r>
      <w:r w:rsidR="00193DD2">
        <w:t>share</w:t>
      </w:r>
      <w:r>
        <w:t xml:space="preserve">; </w:t>
      </w:r>
    </w:p>
    <w:p w:rsidR="008A63D7" w:rsidRDefault="008A63D7" w:rsidP="008A63D7">
      <w:pPr>
        <w:pStyle w:val="a6"/>
        <w:numPr>
          <w:ilvl w:val="0"/>
          <w:numId w:val="6"/>
        </w:numPr>
      </w:pPr>
      <w:r>
        <w:t xml:space="preserve">To any </w:t>
      </w:r>
      <w:r w:rsidR="001715AA">
        <w:t>concentrated entity</w:t>
      </w:r>
      <w:r>
        <w:t xml:space="preserve"> – allocation of a significant share of a holding; </w:t>
      </w:r>
    </w:p>
    <w:p w:rsidR="00E95884" w:rsidRDefault="008A63D7">
      <w:pPr>
        <w:pStyle w:val="a6"/>
        <w:ind w:left="709"/>
      </w:pPr>
      <w:r>
        <w:t xml:space="preserve">For the purpose of this definition, if for a particular essential infrastructure </w:t>
      </w:r>
      <w:r w:rsidR="00D91913">
        <w:t>area of activity</w:t>
      </w:r>
      <w:r>
        <w:t xml:space="preserve"> a minimal scope of activity or other </w:t>
      </w:r>
      <w:r w:rsidR="00D91913">
        <w:t>restriction</w:t>
      </w:r>
      <w:r>
        <w:t xml:space="preserve"> has been specified for allocations, in Column C of the Schedule, </w:t>
      </w:r>
      <w:r w:rsidR="00636824">
        <w:t xml:space="preserve">only an allocation of a right </w:t>
      </w:r>
      <w:r w:rsidR="00193DD2">
        <w:t xml:space="preserve">that meets </w:t>
      </w:r>
      <w:r w:rsidR="00636824">
        <w:t xml:space="preserve">the minimal scope of activity or </w:t>
      </w:r>
      <w:r w:rsidR="00B61F94">
        <w:t xml:space="preserve">the other </w:t>
      </w:r>
      <w:r w:rsidR="00D91913">
        <w:t>restriction</w:t>
      </w:r>
      <w:r w:rsidR="00636824">
        <w:t xml:space="preserve">, will be viewed as </w:t>
      </w:r>
      <w:r>
        <w:t>the al</w:t>
      </w:r>
      <w:r w:rsidR="007A3AC6">
        <w:t xml:space="preserve">location of a right in that </w:t>
      </w:r>
      <w:r w:rsidR="00D91913">
        <w:t>area of activity</w:t>
      </w:r>
      <w:r w:rsidR="00B61F94">
        <w:t xml:space="preserve"> in regard to paragraphs (1) and (2) of this definition</w:t>
      </w:r>
      <w:r w:rsidR="007A3AC6">
        <w:t xml:space="preserve">. </w:t>
      </w:r>
    </w:p>
    <w:p w:rsidR="00E95884" w:rsidRDefault="00E95884" w:rsidP="00E95884">
      <w:pPr>
        <w:pStyle w:val="a6"/>
        <w:ind w:left="709"/>
      </w:pPr>
    </w:p>
    <w:p w:rsidR="007A3AC6" w:rsidRDefault="007A3AC6" w:rsidP="00D91913">
      <w:pPr>
        <w:pStyle w:val="a6"/>
        <w:numPr>
          <w:ilvl w:val="5"/>
          <w:numId w:val="1"/>
        </w:numPr>
        <w:ind w:left="426"/>
      </w:pPr>
      <w:r>
        <w:t xml:space="preserve">List of the </w:t>
      </w:r>
      <w:r w:rsidR="001715AA">
        <w:t>concentrated entities</w:t>
      </w:r>
    </w:p>
    <w:p w:rsidR="00D460CA" w:rsidRDefault="00D460CA" w:rsidP="00BD2815">
      <w:pPr>
        <w:pStyle w:val="a6"/>
        <w:numPr>
          <w:ilvl w:val="0"/>
          <w:numId w:val="11"/>
        </w:numPr>
      </w:pPr>
      <w:r>
        <w:lastRenderedPageBreak/>
        <w:t xml:space="preserve"> The </w:t>
      </w:r>
      <w:r w:rsidR="00903E5E">
        <w:t xml:space="preserve">Committee for the Reduction of </w:t>
      </w:r>
      <w:r>
        <w:t xml:space="preserve"> </w:t>
      </w:r>
      <w:r w:rsidR="002E678C">
        <w:t>Competition</w:t>
      </w:r>
      <w:r>
        <w:t xml:space="preserve"> will publish in </w:t>
      </w:r>
      <w:r w:rsidR="00DA0C74">
        <w:t xml:space="preserve">the </w:t>
      </w:r>
      <w:r w:rsidR="002B59FD" w:rsidRPr="00311544">
        <w:t>Official Gazette</w:t>
      </w:r>
      <w:r>
        <w:t xml:space="preserve"> and on the Ministry of Finance </w:t>
      </w:r>
      <w:r w:rsidR="002E678C">
        <w:t>website</w:t>
      </w:r>
      <w:r>
        <w:t xml:space="preserve"> the</w:t>
      </w:r>
      <w:r w:rsidR="003105ED">
        <w:t xml:space="preserve"> </w:t>
      </w:r>
      <w:r>
        <w:t xml:space="preserve">list of </w:t>
      </w:r>
      <w:r w:rsidR="001715AA">
        <w:t>concentrated entities</w:t>
      </w:r>
      <w:r>
        <w:t xml:space="preserve"> which will include any entity that </w:t>
      </w:r>
      <w:r w:rsidR="00882065">
        <w:t>fulfill</w:t>
      </w:r>
      <w:r>
        <w:t>s one of the following conditions:</w:t>
      </w:r>
    </w:p>
    <w:p w:rsidR="00D460CA" w:rsidRDefault="00D460CA" w:rsidP="00D460CA">
      <w:pPr>
        <w:pStyle w:val="a6"/>
        <w:numPr>
          <w:ilvl w:val="0"/>
          <w:numId w:val="8"/>
        </w:numPr>
      </w:pPr>
      <w:r>
        <w:t>One of</w:t>
      </w:r>
      <w:r w:rsidR="003105ED">
        <w:t xml:space="preserve"> </w:t>
      </w:r>
      <w:r>
        <w:t xml:space="preserve">the following two: </w:t>
      </w:r>
    </w:p>
    <w:p w:rsidR="00D460CA" w:rsidRDefault="00D460CA" w:rsidP="00D460CA">
      <w:pPr>
        <w:pStyle w:val="a6"/>
        <w:numPr>
          <w:ilvl w:val="0"/>
          <w:numId w:val="9"/>
        </w:numPr>
      </w:pPr>
      <w:r>
        <w:t xml:space="preserve">It is one of the following: </w:t>
      </w:r>
    </w:p>
    <w:p w:rsidR="00D460CA" w:rsidRDefault="00D460CA" w:rsidP="00BD5DE3">
      <w:pPr>
        <w:pStyle w:val="a6"/>
        <w:numPr>
          <w:ilvl w:val="0"/>
          <w:numId w:val="10"/>
        </w:numPr>
      </w:pPr>
      <w:r>
        <w:t xml:space="preserve">A major financial </w:t>
      </w:r>
      <w:r w:rsidR="00BD5DE3">
        <w:t>body</w:t>
      </w:r>
      <w:r>
        <w:t xml:space="preserve">; </w:t>
      </w:r>
    </w:p>
    <w:p w:rsidR="00D460CA" w:rsidRDefault="00D460CA" w:rsidP="00BD5DE3">
      <w:pPr>
        <w:pStyle w:val="a6"/>
        <w:numPr>
          <w:ilvl w:val="0"/>
          <w:numId w:val="10"/>
        </w:numPr>
      </w:pPr>
      <w:r>
        <w:t xml:space="preserve">A major real </w:t>
      </w:r>
      <w:r w:rsidR="00BD5DE3">
        <w:t>corporation</w:t>
      </w:r>
      <w:r>
        <w:t xml:space="preserve">; </w:t>
      </w:r>
    </w:p>
    <w:p w:rsidR="00D460CA" w:rsidRDefault="00D460CA">
      <w:pPr>
        <w:pStyle w:val="a6"/>
        <w:numPr>
          <w:ilvl w:val="0"/>
          <w:numId w:val="10"/>
        </w:numPr>
      </w:pPr>
      <w:r>
        <w:t>An entity with influence in the</w:t>
      </w:r>
      <w:r w:rsidR="003105ED">
        <w:t xml:space="preserve"> </w:t>
      </w:r>
      <w:r>
        <w:t xml:space="preserve">area of broadcasting or </w:t>
      </w:r>
      <w:r w:rsidR="00DA0C74">
        <w:t xml:space="preserve">written </w:t>
      </w:r>
      <w:r>
        <w:t xml:space="preserve">press; </w:t>
      </w:r>
    </w:p>
    <w:p w:rsidR="00D460CA" w:rsidRDefault="00D460CA" w:rsidP="00D460CA">
      <w:pPr>
        <w:pStyle w:val="a6"/>
        <w:numPr>
          <w:ilvl w:val="0"/>
          <w:numId w:val="9"/>
        </w:numPr>
      </w:pPr>
      <w:r>
        <w:t xml:space="preserve">It belongs to a group of holders, and </w:t>
      </w:r>
      <w:r w:rsidR="0025331C">
        <w:t>provided</w:t>
      </w:r>
      <w:r>
        <w:t xml:space="preserve"> that it includes at least one of those listed in sub-clause (a);</w:t>
      </w:r>
    </w:p>
    <w:p w:rsidR="0004355E" w:rsidRDefault="0004355E" w:rsidP="00BD5DE3">
      <w:pPr>
        <w:pStyle w:val="a6"/>
        <w:numPr>
          <w:ilvl w:val="0"/>
          <w:numId w:val="8"/>
        </w:numPr>
      </w:pPr>
      <w:r>
        <w:t>Its</w:t>
      </w:r>
      <w:r w:rsidR="00B41E77">
        <w:t xml:space="preserve"> cumulative scope of activity</w:t>
      </w:r>
      <w:r>
        <w:t xml:space="preserve"> or that of a group of holders to which it belongs, in an essential infrastructure </w:t>
      </w:r>
      <w:r w:rsidR="00BD5DE3">
        <w:t>area of activity</w:t>
      </w:r>
      <w:r>
        <w:t xml:space="preserve">, exceeds one half of total activity in that </w:t>
      </w:r>
      <w:r w:rsidR="00BD5DE3">
        <w:t>area of activity</w:t>
      </w:r>
      <w:r>
        <w:t xml:space="preserve">; </w:t>
      </w:r>
    </w:p>
    <w:p w:rsidR="0004355E" w:rsidRDefault="0004355E" w:rsidP="00BD5DE3">
      <w:pPr>
        <w:pStyle w:val="a6"/>
        <w:numPr>
          <w:ilvl w:val="0"/>
          <w:numId w:val="8"/>
        </w:numPr>
      </w:pPr>
      <w:r>
        <w:t xml:space="preserve">It or a </w:t>
      </w:r>
      <w:r w:rsidR="002E678C">
        <w:t>group</w:t>
      </w:r>
      <w:r>
        <w:t xml:space="preserve"> of holders to which it belongs possess</w:t>
      </w:r>
      <w:r w:rsidR="00BD5DE3">
        <w:t>es</w:t>
      </w:r>
      <w:r>
        <w:t xml:space="preserve"> a right in </w:t>
      </w:r>
      <w:r w:rsidR="002E678C">
        <w:t>at</w:t>
      </w:r>
      <w:r>
        <w:t xml:space="preserve"> least four essential infrastructure </w:t>
      </w:r>
      <w:r w:rsidR="00BD5DE3">
        <w:t>areas of activity</w:t>
      </w:r>
      <w:r>
        <w:t xml:space="preserve">, by means of at least ten licenses or contracts. </w:t>
      </w:r>
    </w:p>
    <w:p w:rsidR="00D460CA" w:rsidRDefault="0004355E">
      <w:pPr>
        <w:pStyle w:val="a6"/>
        <w:numPr>
          <w:ilvl w:val="0"/>
          <w:numId w:val="11"/>
        </w:numPr>
      </w:pPr>
      <w:r>
        <w:t>If a mi</w:t>
      </w:r>
      <w:r w:rsidR="002E678C">
        <w:t>nimal scope of activity or other</w:t>
      </w:r>
      <w:r>
        <w:t xml:space="preserve"> </w:t>
      </w:r>
      <w:r w:rsidR="00BD5DE3">
        <w:t>restriction</w:t>
      </w:r>
      <w:r>
        <w:t xml:space="preserve"> with regard to a right holder in that essential infrastructure </w:t>
      </w:r>
      <w:r w:rsidR="00BD5DE3">
        <w:t>area of activity</w:t>
      </w:r>
      <w:r>
        <w:t xml:space="preserve"> has been </w:t>
      </w:r>
      <w:r w:rsidR="00BD5DE3">
        <w:t>determined</w:t>
      </w:r>
      <w:r>
        <w:t xml:space="preserve"> for a particular essential infrastructure </w:t>
      </w:r>
      <w:r w:rsidR="00BD5DE3">
        <w:t>area of activity</w:t>
      </w:r>
      <w:r>
        <w:t xml:space="preserve">, in Column C of the Schedule, only someone who owns a right </w:t>
      </w:r>
      <w:r w:rsidR="00BD5DE3">
        <w:t>to</w:t>
      </w:r>
      <w:r>
        <w:t xml:space="preserve"> at </w:t>
      </w:r>
      <w:r w:rsidR="002E678C">
        <w:t>least</w:t>
      </w:r>
      <w:r>
        <w:t xml:space="preserve"> the minimal scope of activity or according to </w:t>
      </w:r>
      <w:r w:rsidR="00DA0C74">
        <w:t xml:space="preserve">the other </w:t>
      </w:r>
      <w:r w:rsidR="00BD5DE3">
        <w:t>restriction</w:t>
      </w:r>
      <w:r>
        <w:t>, which has been determined in Column C of the Schedule,</w:t>
      </w:r>
      <w:r w:rsidR="00BD5DE3">
        <w:t xml:space="preserve"> according to the circumstances,</w:t>
      </w:r>
      <w:r>
        <w:t xml:space="preserve"> will be viewed as a right holder in that </w:t>
      </w:r>
      <w:r w:rsidR="00BD5DE3">
        <w:t>area of activity according to this paragraph</w:t>
      </w:r>
      <w:r>
        <w:t xml:space="preserve">. </w:t>
      </w:r>
    </w:p>
    <w:p w:rsidR="0004355E" w:rsidRDefault="0004355E" w:rsidP="0050787C">
      <w:pPr>
        <w:pStyle w:val="a6"/>
        <w:numPr>
          <w:ilvl w:val="0"/>
          <w:numId w:val="11"/>
        </w:numPr>
      </w:pPr>
      <w:r>
        <w:t xml:space="preserve">The list of </w:t>
      </w:r>
      <w:r w:rsidR="001715AA">
        <w:t>concentrated entities</w:t>
      </w:r>
      <w:r>
        <w:t xml:space="preserve"> will not include the State, a </w:t>
      </w:r>
      <w:r w:rsidR="002E678C">
        <w:t>corporation</w:t>
      </w:r>
      <w:r>
        <w:t xml:space="preserve"> established in law or a local authority and in the case of a group of holders – the State will not be viewed as possessing control. </w:t>
      </w:r>
    </w:p>
    <w:p w:rsidR="00BD2815" w:rsidRDefault="0004355E" w:rsidP="00BD2815">
      <w:pPr>
        <w:pStyle w:val="a6"/>
        <w:numPr>
          <w:ilvl w:val="0"/>
          <w:numId w:val="11"/>
        </w:numPr>
      </w:pPr>
      <w:r>
        <w:t>The</w:t>
      </w:r>
      <w:r w:rsidR="00BD2815">
        <w:t xml:space="preserve"> </w:t>
      </w:r>
      <w:r w:rsidR="00903E5E">
        <w:t xml:space="preserve">Committee for the Reduction of </w:t>
      </w:r>
      <w:r w:rsidR="00BD2815">
        <w:t xml:space="preserve"> Concentration will create the list of </w:t>
      </w:r>
      <w:r w:rsidR="001715AA">
        <w:t>concentrated entities</w:t>
      </w:r>
      <w:r w:rsidR="00BD2815">
        <w:t xml:space="preserve"> in accordance with the following instructions: </w:t>
      </w:r>
    </w:p>
    <w:p w:rsidR="00BD2815" w:rsidRDefault="00BD2815">
      <w:pPr>
        <w:pStyle w:val="a6"/>
        <w:numPr>
          <w:ilvl w:val="0"/>
          <w:numId w:val="12"/>
        </w:numPr>
      </w:pPr>
      <w:r>
        <w:t xml:space="preserve">The </w:t>
      </w:r>
      <w:r w:rsidR="00E32F8D">
        <w:t xml:space="preserve">General </w:t>
      </w:r>
      <w:r>
        <w:t xml:space="preserve">Director of the Antitrust Authority will determine the </w:t>
      </w:r>
      <w:r w:rsidR="001715AA">
        <w:t>concentrated entities</w:t>
      </w:r>
      <w:r>
        <w:t xml:space="preserve"> according to, among other things, information </w:t>
      </w:r>
      <w:r w:rsidR="00E17B27">
        <w:t xml:space="preserve">submitted </w:t>
      </w:r>
      <w:r w:rsidR="00CD7A57">
        <w:t xml:space="preserve">to him </w:t>
      </w:r>
      <w:r>
        <w:t>by the regulators;</w:t>
      </w:r>
    </w:p>
    <w:p w:rsidR="00BD2815" w:rsidRDefault="00BD2815">
      <w:pPr>
        <w:pStyle w:val="a6"/>
        <w:numPr>
          <w:ilvl w:val="0"/>
          <w:numId w:val="12"/>
        </w:numPr>
      </w:pPr>
      <w:r>
        <w:t xml:space="preserve">The regulators will make </w:t>
      </w:r>
      <w:r w:rsidR="002E678C">
        <w:t>available</w:t>
      </w:r>
      <w:r>
        <w:t xml:space="preserve"> to the </w:t>
      </w:r>
      <w:r w:rsidR="00E32F8D">
        <w:t xml:space="preserve">General </w:t>
      </w:r>
      <w:r>
        <w:t>Director of the Antitrust Authority the information require</w:t>
      </w:r>
      <w:r w:rsidR="00CD7A57">
        <w:t>d</w:t>
      </w:r>
      <w:r>
        <w:t xml:space="preserve"> in order to identify the </w:t>
      </w:r>
      <w:r w:rsidR="001715AA">
        <w:t>concentrated entities</w:t>
      </w:r>
      <w:r>
        <w:t xml:space="preserve"> and the information needed in order to </w:t>
      </w:r>
      <w:r w:rsidR="00BD5DE3">
        <w:t>re</w:t>
      </w:r>
      <w:r>
        <w:t xml:space="preserve">examine his determination according to clause (3). </w:t>
      </w:r>
    </w:p>
    <w:p w:rsidR="00BD2815" w:rsidRDefault="00BD2815" w:rsidP="003105ED">
      <w:pPr>
        <w:pStyle w:val="a6"/>
        <w:numPr>
          <w:ilvl w:val="0"/>
          <w:numId w:val="12"/>
        </w:numPr>
      </w:pPr>
      <w:r>
        <w:t xml:space="preserve">The </w:t>
      </w:r>
      <w:r w:rsidR="00E32F8D">
        <w:t xml:space="preserve">General </w:t>
      </w:r>
      <w:r>
        <w:t xml:space="preserve">Director of the Antitrust Authority will </w:t>
      </w:r>
      <w:r w:rsidR="003105ED">
        <w:t xml:space="preserve">annually </w:t>
      </w:r>
      <w:r>
        <w:t xml:space="preserve">reexamine his determination according to clause (1); </w:t>
      </w:r>
    </w:p>
    <w:p w:rsidR="00BD2815" w:rsidRDefault="00BD2815" w:rsidP="00BD2815">
      <w:pPr>
        <w:pStyle w:val="a6"/>
        <w:numPr>
          <w:ilvl w:val="0"/>
          <w:numId w:val="12"/>
        </w:numPr>
      </w:pPr>
      <w:r>
        <w:t xml:space="preserve">The </w:t>
      </w:r>
      <w:r w:rsidR="00E32F8D">
        <w:t xml:space="preserve">General </w:t>
      </w:r>
      <w:r>
        <w:t xml:space="preserve">Director of the Antitrust Authority will submit the list of </w:t>
      </w:r>
      <w:r w:rsidR="001715AA">
        <w:t>concentrated entities</w:t>
      </w:r>
      <w:r>
        <w:t xml:space="preserve"> he has determined according to clause (1), and any revision of it, to the </w:t>
      </w:r>
      <w:r w:rsidR="00903E5E">
        <w:t xml:space="preserve">Committee for the Reduction of </w:t>
      </w:r>
      <w:r>
        <w:t>Concentration.</w:t>
      </w:r>
    </w:p>
    <w:p w:rsidR="000A0654" w:rsidRDefault="00F90BDF">
      <w:pPr>
        <w:pStyle w:val="a6"/>
        <w:numPr>
          <w:ilvl w:val="0"/>
          <w:numId w:val="11"/>
        </w:numPr>
      </w:pPr>
      <w:r>
        <w:t xml:space="preserve">The list of </w:t>
      </w:r>
      <w:r w:rsidR="001715AA">
        <w:t>concentrated entities</w:t>
      </w:r>
      <w:r>
        <w:t xml:space="preserve"> will include the name of the </w:t>
      </w:r>
      <w:r w:rsidR="001715AA">
        <w:t>concentrated entity</w:t>
      </w:r>
      <w:r>
        <w:t xml:space="preserve">, the </w:t>
      </w:r>
      <w:r w:rsidR="002E678C">
        <w:t>condition</w:t>
      </w:r>
      <w:r>
        <w:t xml:space="preserve"> according to sub-paragraph (</w:t>
      </w:r>
      <w:r w:rsidR="00E17B27">
        <w:t>a</w:t>
      </w:r>
      <w:r>
        <w:t xml:space="preserve">) due to which it is included in the list, the relevant essential infrastructure </w:t>
      </w:r>
      <w:r w:rsidR="003105ED">
        <w:t>area of activity</w:t>
      </w:r>
      <w:r>
        <w:t xml:space="preserve"> and any additional details to be determined by the Minister of Finance, in consultation with the </w:t>
      </w:r>
      <w:r w:rsidR="00E32F8D">
        <w:t xml:space="preserve">General </w:t>
      </w:r>
      <w:r w:rsidR="002E678C">
        <w:t>Director</w:t>
      </w:r>
      <w:r>
        <w:t xml:space="preserve"> of the Antitrust Authority and with the approval of the Government, and </w:t>
      </w:r>
      <w:r w:rsidR="0025331C">
        <w:t>provided</w:t>
      </w:r>
      <w:r>
        <w:t xml:space="preserve"> that the list does not include </w:t>
      </w:r>
      <w:r w:rsidR="000A0654">
        <w:t>information that is not to</w:t>
      </w:r>
      <w:r w:rsidR="007B53D1">
        <w:t xml:space="preserve"> be</w:t>
      </w:r>
      <w:r w:rsidR="000A0654">
        <w:t xml:space="preserve"> submitted according to paragraph 9(a) of the Freedom of Information Law, and the </w:t>
      </w:r>
      <w:r w:rsidR="00903E5E">
        <w:lastRenderedPageBreak/>
        <w:t xml:space="preserve">Committee for the Reduction of </w:t>
      </w:r>
      <w:r w:rsidR="000A0654">
        <w:t xml:space="preserve"> Concentration has the right not to include in that list </w:t>
      </w:r>
      <w:r w:rsidR="00E17B27">
        <w:t xml:space="preserve">information </w:t>
      </w:r>
      <w:r w:rsidR="000A0654">
        <w:t xml:space="preserve">which is not </w:t>
      </w:r>
      <w:r w:rsidR="002E678C">
        <w:t>required</w:t>
      </w:r>
      <w:r w:rsidR="000A0654">
        <w:t xml:space="preserve"> to be submitted </w:t>
      </w:r>
      <w:r w:rsidR="002E678C">
        <w:t>according</w:t>
      </w:r>
      <w:r w:rsidR="000A0654">
        <w:t xml:space="preserve"> to paragraph 9(b) of that law. </w:t>
      </w:r>
    </w:p>
    <w:p w:rsidR="000A0654" w:rsidRDefault="000A0654" w:rsidP="00BD2815">
      <w:pPr>
        <w:pStyle w:val="a6"/>
        <w:numPr>
          <w:ilvl w:val="0"/>
          <w:numId w:val="11"/>
        </w:numPr>
      </w:pPr>
      <w:r>
        <w:t xml:space="preserve">In this paragraph – </w:t>
      </w:r>
    </w:p>
    <w:p w:rsidR="000A0654" w:rsidRDefault="000A0654" w:rsidP="003105ED">
      <w:pPr>
        <w:pStyle w:val="a6"/>
      </w:pPr>
      <w:r>
        <w:t xml:space="preserve">“A major financial </w:t>
      </w:r>
      <w:r w:rsidR="003105ED">
        <w:t>body</w:t>
      </w:r>
      <w:r>
        <w:t xml:space="preserve">” – a financial entity appearing in the list of major financial </w:t>
      </w:r>
      <w:r w:rsidR="003105ED">
        <w:t>bodies</w:t>
      </w:r>
      <w:r>
        <w:t xml:space="preserve">; </w:t>
      </w:r>
    </w:p>
    <w:p w:rsidR="000A0654" w:rsidRDefault="000A0654" w:rsidP="000A0654">
      <w:pPr>
        <w:pStyle w:val="a6"/>
      </w:pPr>
      <w:r>
        <w:t>“An entity</w:t>
      </w:r>
      <w:r w:rsidR="003105ED">
        <w:t xml:space="preserve"> </w:t>
      </w:r>
      <w:r>
        <w:t xml:space="preserve">with influence in the area of broadcasting or the </w:t>
      </w:r>
      <w:r w:rsidR="00574D4E">
        <w:t xml:space="preserve">written </w:t>
      </w:r>
      <w:r>
        <w:t xml:space="preserve">press” – one of the following: </w:t>
      </w:r>
    </w:p>
    <w:p w:rsidR="000A0654" w:rsidRDefault="000A0654" w:rsidP="007F35DD">
      <w:pPr>
        <w:pStyle w:val="a6"/>
        <w:numPr>
          <w:ilvl w:val="0"/>
          <w:numId w:val="13"/>
        </w:numPr>
      </w:pPr>
      <w:r>
        <w:t xml:space="preserve">A daily newspaper distributed in most parts of the country and also any </w:t>
      </w:r>
      <w:r w:rsidR="00B774A9">
        <w:t>person</w:t>
      </w:r>
      <w:r>
        <w:t xml:space="preserve"> who publishes such a newspaper; </w:t>
      </w:r>
    </w:p>
    <w:p w:rsidR="000A0654" w:rsidRDefault="000A0654">
      <w:pPr>
        <w:pStyle w:val="a6"/>
        <w:numPr>
          <w:ilvl w:val="0"/>
          <w:numId w:val="13"/>
        </w:numPr>
      </w:pPr>
      <w:r>
        <w:t xml:space="preserve">Owner of </w:t>
      </w:r>
      <w:r w:rsidR="003105ED">
        <w:t xml:space="preserve">a </w:t>
      </w:r>
      <w:r w:rsidR="007F35DD">
        <w:t xml:space="preserve"> </w:t>
      </w:r>
      <w:r>
        <w:t xml:space="preserve">broadcasting </w:t>
      </w:r>
      <w:r w:rsidR="00DA4813">
        <w:t xml:space="preserve">franchise </w:t>
      </w:r>
      <w:r>
        <w:t xml:space="preserve">or </w:t>
      </w:r>
      <w:r w:rsidR="00DA4813">
        <w:t xml:space="preserve">owner </w:t>
      </w:r>
      <w:r>
        <w:t xml:space="preserve">of a </w:t>
      </w:r>
      <w:r w:rsidR="00DA4813">
        <w:t xml:space="preserve">broadcasting </w:t>
      </w:r>
      <w:r>
        <w:t xml:space="preserve">license according to the Law </w:t>
      </w:r>
      <w:r w:rsidR="007F35DD">
        <w:t xml:space="preserve">of </w:t>
      </w:r>
      <w:r>
        <w:t>the Second</w:t>
      </w:r>
      <w:r w:rsidR="00DA4813">
        <w:t xml:space="preserve"> Authority for</w:t>
      </w:r>
      <w:r>
        <w:t xml:space="preserve"> </w:t>
      </w:r>
      <w:r w:rsidR="002E678C">
        <w:t>Television</w:t>
      </w:r>
      <w:r>
        <w:t xml:space="preserve"> and</w:t>
      </w:r>
      <w:r w:rsidR="003105ED">
        <w:t xml:space="preserve"> </w:t>
      </w:r>
      <w:r>
        <w:t xml:space="preserve">Radio, 5750-1990 (in this chapter – the Second Authority Law); </w:t>
      </w:r>
    </w:p>
    <w:p w:rsidR="000A0654" w:rsidRDefault="000A0654">
      <w:pPr>
        <w:pStyle w:val="a6"/>
        <w:numPr>
          <w:ilvl w:val="0"/>
          <w:numId w:val="13"/>
        </w:numPr>
      </w:pPr>
      <w:r>
        <w:t xml:space="preserve">A </w:t>
      </w:r>
      <w:r w:rsidR="00C52DEA">
        <w:t xml:space="preserve">Dedicated Channel Broadcaster </w:t>
      </w:r>
      <w:r>
        <w:t xml:space="preserve">as defined in </w:t>
      </w:r>
      <w:r w:rsidR="002E678C">
        <w:t>paragraph</w:t>
      </w:r>
      <w:r>
        <w:t xml:space="preserve"> 6a of the </w:t>
      </w:r>
      <w:r w:rsidR="002E678C">
        <w:t>Communication</w:t>
      </w:r>
      <w:r>
        <w:t xml:space="preserve"> Law, who broadcast</w:t>
      </w:r>
      <w:r w:rsidR="003105ED">
        <w:t>s</w:t>
      </w:r>
      <w:r>
        <w:t xml:space="preserve"> new</w:t>
      </w:r>
      <w:r w:rsidR="003105ED">
        <w:t>s</w:t>
      </w:r>
      <w:r>
        <w:t xml:space="preserve"> or current affairs programs; </w:t>
      </w:r>
    </w:p>
    <w:p w:rsidR="000A0654" w:rsidRDefault="000A0654">
      <w:pPr>
        <w:pStyle w:val="a6"/>
        <w:numPr>
          <w:ilvl w:val="0"/>
          <w:numId w:val="13"/>
        </w:numPr>
      </w:pPr>
      <w:r>
        <w:t xml:space="preserve">An independent </w:t>
      </w:r>
      <w:r w:rsidR="00EF67FC">
        <w:t xml:space="preserve">news </w:t>
      </w:r>
      <w:r>
        <w:t xml:space="preserve">producer as defined in </w:t>
      </w:r>
      <w:r w:rsidR="002E678C">
        <w:t>paragraph</w:t>
      </w:r>
      <w:r>
        <w:t xml:space="preserve"> </w:t>
      </w:r>
      <w:r w:rsidR="00C52DEA">
        <w:t>6T2</w:t>
      </w:r>
      <w:r>
        <w:t xml:space="preserve">(a)(1) of the Communication Law; </w:t>
      </w:r>
    </w:p>
    <w:p w:rsidR="00FD2697" w:rsidRPr="00146BFF" w:rsidRDefault="000A0654" w:rsidP="00146BFF">
      <w:pPr>
        <w:pStyle w:val="a6"/>
        <w:numPr>
          <w:ilvl w:val="0"/>
          <w:numId w:val="13"/>
        </w:numPr>
      </w:pPr>
      <w:r w:rsidRPr="00FD2697">
        <w:t xml:space="preserve">A </w:t>
      </w:r>
      <w:r w:rsidR="00FD2697">
        <w:t xml:space="preserve">specialty </w:t>
      </w:r>
      <w:r w:rsidR="00FD2697" w:rsidRPr="00311544">
        <w:t xml:space="preserve">channel </w:t>
      </w:r>
      <w:r w:rsidRPr="00FD2697">
        <w:t xml:space="preserve">broadcaster </w:t>
      </w:r>
      <w:r w:rsidR="00FD2697" w:rsidRPr="00311544">
        <w:t xml:space="preserve">of news </w:t>
      </w:r>
      <w:r w:rsidRPr="00FD2697">
        <w:t>according to the</w:t>
      </w:r>
      <w:r w:rsidR="003105ED" w:rsidRPr="00FD2697">
        <w:t xml:space="preserve"> </w:t>
      </w:r>
      <w:r w:rsidRPr="00FD2697">
        <w:t xml:space="preserve">instructions of paragraph 13 of the Broadcasting </w:t>
      </w:r>
      <w:r w:rsidR="00146BFF">
        <w:t xml:space="preserve">Transmission </w:t>
      </w:r>
      <w:r w:rsidRPr="00FD2697">
        <w:t xml:space="preserve">by Means of Digital Broadcast </w:t>
      </w:r>
      <w:r w:rsidR="002E678C" w:rsidRPr="00FD2697">
        <w:t>Stations</w:t>
      </w:r>
      <w:r w:rsidR="007F35DD" w:rsidRPr="00FD2697">
        <w:t xml:space="preserve"> Law</w:t>
      </w:r>
      <w:r w:rsidRPr="00FD2697">
        <w:t xml:space="preserve">, 5772-2012; </w:t>
      </w:r>
    </w:p>
    <w:p w:rsidR="00E95884" w:rsidRDefault="00E95884" w:rsidP="00EF67FC">
      <w:pPr>
        <w:pStyle w:val="a6"/>
        <w:numPr>
          <w:ilvl w:val="0"/>
          <w:numId w:val="13"/>
        </w:numPr>
      </w:pPr>
      <w:r>
        <w:t xml:space="preserve">Holder of a general </w:t>
      </w:r>
      <w:r w:rsidR="00EF67FC">
        <w:t xml:space="preserve">cable broadcasting </w:t>
      </w:r>
      <w:r>
        <w:t xml:space="preserve">license </w:t>
      </w:r>
      <w:r w:rsidR="002E678C">
        <w:t>according</w:t>
      </w:r>
      <w:r>
        <w:t xml:space="preserve"> to </w:t>
      </w:r>
      <w:r w:rsidR="003105ED">
        <w:t>c</w:t>
      </w:r>
      <w:r w:rsidR="002E678C">
        <w:t>hapter</w:t>
      </w:r>
      <w:r>
        <w:t xml:space="preserve"> B1 of the </w:t>
      </w:r>
      <w:r w:rsidR="002E678C">
        <w:t>Communication</w:t>
      </w:r>
      <w:r>
        <w:t xml:space="preserve"> Law; </w:t>
      </w:r>
    </w:p>
    <w:p w:rsidR="00E95884" w:rsidRDefault="00E95884">
      <w:pPr>
        <w:pStyle w:val="a6"/>
        <w:numPr>
          <w:ilvl w:val="0"/>
          <w:numId w:val="13"/>
        </w:numPr>
      </w:pPr>
      <w:r>
        <w:t xml:space="preserve">Holder of a </w:t>
      </w:r>
      <w:r w:rsidR="002E678C">
        <w:t>license</w:t>
      </w:r>
      <w:r>
        <w:t xml:space="preserve"> for </w:t>
      </w:r>
      <w:r w:rsidR="00EF67FC">
        <w:t>s</w:t>
      </w:r>
      <w:r w:rsidR="00EF67FC" w:rsidRPr="00EF67FC">
        <w:t xml:space="preserve">atellite </w:t>
      </w:r>
      <w:r>
        <w:t xml:space="preserve">television broadcasts according to </w:t>
      </w:r>
      <w:r w:rsidR="003105ED">
        <w:t>c</w:t>
      </w:r>
      <w:r>
        <w:t xml:space="preserve">hapter B2 of the </w:t>
      </w:r>
      <w:r w:rsidR="002E678C">
        <w:t>Communication</w:t>
      </w:r>
      <w:r>
        <w:t xml:space="preserve"> Law; </w:t>
      </w:r>
    </w:p>
    <w:p w:rsidR="00E95884" w:rsidRDefault="00E95884" w:rsidP="001947D1">
      <w:pPr>
        <w:ind w:left="720"/>
      </w:pPr>
      <w:r>
        <w:t xml:space="preserve">“A group of holders” – a corporation, </w:t>
      </w:r>
      <w:r w:rsidR="001947D1">
        <w:t>a controlling shareholder</w:t>
      </w:r>
      <w:r>
        <w:t xml:space="preserve"> of a corporation or a corporation </w:t>
      </w:r>
      <w:r w:rsidR="002E678C">
        <w:t>controlled</w:t>
      </w:r>
      <w:r>
        <w:t xml:space="preserve"> by either of them; </w:t>
      </w:r>
    </w:p>
    <w:p w:rsidR="00E95884" w:rsidRDefault="00E95884" w:rsidP="007B53D1">
      <w:pPr>
        <w:ind w:left="720"/>
      </w:pPr>
      <w:r>
        <w:t>“A major real corporation”</w:t>
      </w:r>
      <w:r w:rsidR="003105ED">
        <w:t xml:space="preserve"> </w:t>
      </w:r>
      <w:r w:rsidR="007B53D1">
        <w:t>–</w:t>
      </w:r>
      <w:r>
        <w:t xml:space="preserve"> a real corporation included in the list of major real corporations. </w:t>
      </w:r>
    </w:p>
    <w:p w:rsidR="00E95884" w:rsidRDefault="00E95884" w:rsidP="001947D1">
      <w:pPr>
        <w:pStyle w:val="a6"/>
        <w:numPr>
          <w:ilvl w:val="5"/>
          <w:numId w:val="1"/>
        </w:numPr>
        <w:ind w:left="426"/>
      </w:pPr>
      <w:r>
        <w:t xml:space="preserve">Concentration considerations in the allocation of a right to a </w:t>
      </w:r>
      <w:r w:rsidR="001715AA">
        <w:t>concentrated entity</w:t>
      </w:r>
    </w:p>
    <w:p w:rsidR="00E95884" w:rsidRDefault="00E95884">
      <w:pPr>
        <w:pStyle w:val="a6"/>
        <w:numPr>
          <w:ilvl w:val="0"/>
          <w:numId w:val="14"/>
        </w:numPr>
      </w:pPr>
      <w:r>
        <w:t xml:space="preserve">Without detracting from the instructions of subparagraph (b), a regulator has the right not to </w:t>
      </w:r>
      <w:r w:rsidR="00551579">
        <w:t>allocate</w:t>
      </w:r>
      <w:r>
        <w:t xml:space="preserve"> a right to a </w:t>
      </w:r>
      <w:r w:rsidR="001715AA">
        <w:t>concentrated entity</w:t>
      </w:r>
      <w:r>
        <w:t xml:space="preserve">, if he has determined that it </w:t>
      </w:r>
      <w:r w:rsidR="00B24CCA">
        <w:t xml:space="preserve">is not </w:t>
      </w:r>
      <w:r>
        <w:t xml:space="preserve">likely </w:t>
      </w:r>
      <w:r w:rsidR="00B24CCA">
        <w:t xml:space="preserve">to </w:t>
      </w:r>
      <w:r>
        <w:t xml:space="preserve">cause real harm to the area </w:t>
      </w:r>
      <w:r w:rsidR="001947D1">
        <w:t xml:space="preserve">of activity </w:t>
      </w:r>
      <w:r>
        <w:t xml:space="preserve">in which </w:t>
      </w:r>
      <w:r w:rsidR="001947D1">
        <w:t xml:space="preserve">the </w:t>
      </w:r>
      <w:r>
        <w:t xml:space="preserve">right is being </w:t>
      </w:r>
      <w:r w:rsidR="00551579">
        <w:t>allocate</w:t>
      </w:r>
      <w:r>
        <w:t xml:space="preserve">d or to the regulation of </w:t>
      </w:r>
      <w:r w:rsidR="001947D1">
        <w:t>that</w:t>
      </w:r>
      <w:r>
        <w:t xml:space="preserve"> area</w:t>
      </w:r>
      <w:r w:rsidR="001947D1">
        <w:t xml:space="preserve"> of activity</w:t>
      </w:r>
      <w:r>
        <w:t xml:space="preserve"> due to </w:t>
      </w:r>
      <w:r w:rsidR="001947D1">
        <w:t xml:space="preserve">the </w:t>
      </w:r>
      <w:r>
        <w:t>non-</w:t>
      </w:r>
      <w:r w:rsidR="00551579">
        <w:t>allocation</w:t>
      </w:r>
      <w:r>
        <w:t xml:space="preserve">. </w:t>
      </w:r>
    </w:p>
    <w:p w:rsidR="001303FC" w:rsidRDefault="001303FC">
      <w:pPr>
        <w:pStyle w:val="a6"/>
        <w:numPr>
          <w:ilvl w:val="0"/>
          <w:numId w:val="14"/>
        </w:numPr>
      </w:pPr>
      <w:r>
        <w:t xml:space="preserve">A regulator that wishes to </w:t>
      </w:r>
      <w:r w:rsidR="00551579">
        <w:t>allocate</w:t>
      </w:r>
      <w:r>
        <w:t xml:space="preserve"> a right to a </w:t>
      </w:r>
      <w:r w:rsidR="001715AA">
        <w:t>concentrated entity</w:t>
      </w:r>
      <w:r>
        <w:t xml:space="preserve"> will not do so, </w:t>
      </w:r>
      <w:r w:rsidR="00B24CCA">
        <w:t xml:space="preserve">and will not </w:t>
      </w:r>
      <w:r>
        <w:t xml:space="preserve">allow a </w:t>
      </w:r>
      <w:r w:rsidR="001715AA">
        <w:t>concentrated entity</w:t>
      </w:r>
      <w:r>
        <w:t xml:space="preserve"> to participate in the </w:t>
      </w:r>
      <w:r w:rsidR="00551579">
        <w:t>allocation</w:t>
      </w:r>
      <w:r>
        <w:t xml:space="preserve"> procedure of </w:t>
      </w:r>
      <w:r w:rsidR="001947D1">
        <w:t xml:space="preserve">that </w:t>
      </w:r>
      <w:r w:rsidR="002E678C">
        <w:t>right</w:t>
      </w:r>
      <w:r w:rsidR="001947D1">
        <w:t>,</w:t>
      </w:r>
      <w:r>
        <w:t xml:space="preserve"> and will not specify conditions that facilitate the </w:t>
      </w:r>
      <w:r w:rsidR="00551579">
        <w:t>allocation</w:t>
      </w:r>
      <w:r>
        <w:t xml:space="preserve"> of the right to a </w:t>
      </w:r>
      <w:r w:rsidR="001715AA">
        <w:t>concentrated entity</w:t>
      </w:r>
      <w:r>
        <w:t xml:space="preserve">, unless he has taken into account the </w:t>
      </w:r>
      <w:r w:rsidR="00D93C34">
        <w:t>economy-wide</w:t>
      </w:r>
      <w:r>
        <w:t xml:space="preserve"> concentration considerations, in consultation with the </w:t>
      </w:r>
      <w:r w:rsidR="00903E5E">
        <w:t xml:space="preserve">Committee for the Reduction </w:t>
      </w:r>
      <w:proofErr w:type="gramStart"/>
      <w:r w:rsidR="00903E5E">
        <w:t xml:space="preserve">of </w:t>
      </w:r>
      <w:r>
        <w:t xml:space="preserve"> Concentration</w:t>
      </w:r>
      <w:proofErr w:type="gramEnd"/>
      <w:r>
        <w:t xml:space="preserve">. </w:t>
      </w:r>
    </w:p>
    <w:p w:rsidR="00176E71" w:rsidRDefault="001303FC">
      <w:pPr>
        <w:pStyle w:val="a6"/>
        <w:numPr>
          <w:ilvl w:val="0"/>
          <w:numId w:val="14"/>
        </w:numPr>
      </w:pPr>
      <w:r>
        <w:t xml:space="preserve">(1) </w:t>
      </w:r>
      <w:r w:rsidR="001947D1">
        <w:t>The entity</w:t>
      </w:r>
      <w:r w:rsidR="001C2D46">
        <w:t xml:space="preserve"> which possesses</w:t>
      </w:r>
      <w:r>
        <w:t xml:space="preserve"> the authority</w:t>
      </w:r>
      <w:r w:rsidR="001947D1">
        <w:t>,</w:t>
      </w:r>
      <w:r>
        <w:t xml:space="preserve"> according to the law that applies</w:t>
      </w:r>
      <w:r w:rsidR="003105ED">
        <w:t xml:space="preserve"> </w:t>
      </w:r>
      <w:r>
        <w:t>to the</w:t>
      </w:r>
      <w:r w:rsidR="003105ED">
        <w:t xml:space="preserve"> </w:t>
      </w:r>
      <w:r w:rsidR="00551579">
        <w:t>allocation</w:t>
      </w:r>
      <w:r w:rsidR="001947D1">
        <w:t>,</w:t>
      </w:r>
      <w:r>
        <w:t xml:space="preserve"> to determine rules in </w:t>
      </w:r>
      <w:r w:rsidR="00B24CCA">
        <w:t xml:space="preserve">that </w:t>
      </w:r>
      <w:r>
        <w:t>matter</w:t>
      </w:r>
      <w:r w:rsidR="00B24CCA">
        <w:t>,</w:t>
      </w:r>
      <w:r>
        <w:t xml:space="preserve"> has the right, by the</w:t>
      </w:r>
      <w:r w:rsidR="003105ED">
        <w:t xml:space="preserve"> </w:t>
      </w:r>
      <w:r>
        <w:t xml:space="preserve">means specified </w:t>
      </w:r>
      <w:r w:rsidR="001947D1">
        <w:t>in</w:t>
      </w:r>
      <w:r>
        <w:t xml:space="preserve"> that law, after taking into account </w:t>
      </w:r>
      <w:r w:rsidR="00D93C34">
        <w:t>economy-wide</w:t>
      </w:r>
      <w:r>
        <w:t xml:space="preserve"> </w:t>
      </w:r>
      <w:r w:rsidR="002E678C">
        <w:t>concentration</w:t>
      </w:r>
      <w:r>
        <w:t xml:space="preserve"> considerations in </w:t>
      </w:r>
      <w:r w:rsidR="002E678C">
        <w:t>consultation</w:t>
      </w:r>
      <w:r>
        <w:t xml:space="preserve"> with the </w:t>
      </w:r>
      <w:r w:rsidR="00903E5E">
        <w:t xml:space="preserve">Committee for the Reduction of </w:t>
      </w:r>
      <w:r>
        <w:t xml:space="preserve"> Concentration, to determine </w:t>
      </w:r>
      <w:r w:rsidR="00B24CCA">
        <w:t xml:space="preserve">in </w:t>
      </w:r>
      <w:r>
        <w:t xml:space="preserve">rules that reflect </w:t>
      </w:r>
      <w:r w:rsidR="00D93C34">
        <w:t>economy-wide</w:t>
      </w:r>
      <w:r>
        <w:t xml:space="preserve"> concentration considerations, instructions and conditions regarding the</w:t>
      </w:r>
      <w:r w:rsidR="003105ED">
        <w:t xml:space="preserve"> </w:t>
      </w:r>
      <w:r w:rsidR="00551579">
        <w:t>allocation</w:t>
      </w:r>
      <w:r>
        <w:t xml:space="preserve"> of the right to a </w:t>
      </w:r>
      <w:r w:rsidR="001715AA">
        <w:t>concentrated entity</w:t>
      </w:r>
      <w:r>
        <w:t xml:space="preserve">, </w:t>
      </w:r>
      <w:r w:rsidR="002E678C">
        <w:t>including</w:t>
      </w:r>
      <w:r>
        <w:t xml:space="preserve"> prohibiting </w:t>
      </w:r>
      <w:r w:rsidR="00176E71">
        <w:t xml:space="preserve">such an </w:t>
      </w:r>
      <w:r w:rsidR="00551579">
        <w:t>allocation</w:t>
      </w:r>
      <w:r w:rsidR="00176E71">
        <w:t xml:space="preserve">; </w:t>
      </w:r>
    </w:p>
    <w:p w:rsidR="00176E71" w:rsidRDefault="00176E71" w:rsidP="00551579">
      <w:pPr>
        <w:pStyle w:val="a6"/>
      </w:pPr>
      <w:r>
        <w:lastRenderedPageBreak/>
        <w:t>(2) If rules have been instituted according to clause (1), the</w:t>
      </w:r>
      <w:r w:rsidR="002E678C">
        <w:t xml:space="preserve"> regulator</w:t>
      </w:r>
      <w:r>
        <w:t xml:space="preserve"> has the right to </w:t>
      </w:r>
      <w:r w:rsidR="00551579">
        <w:t>allocate</w:t>
      </w:r>
      <w:r>
        <w:t xml:space="preserve"> a right to a </w:t>
      </w:r>
      <w:r w:rsidR="001715AA">
        <w:t>concentrated entity</w:t>
      </w:r>
      <w:r>
        <w:t xml:space="preserve"> as mentioned in subparagraph (b), in accordance with the rules, even without consulting with the </w:t>
      </w:r>
      <w:r w:rsidR="00903E5E">
        <w:t xml:space="preserve">Committee for the Reduction of </w:t>
      </w:r>
      <w:r>
        <w:t xml:space="preserve"> Concentration; if the regulator has </w:t>
      </w:r>
      <w:r w:rsidR="00551579">
        <w:t>allocat</w:t>
      </w:r>
      <w:r>
        <w:t xml:space="preserve">ed a right to a </w:t>
      </w:r>
      <w:r w:rsidR="001715AA">
        <w:t>concentrated entity</w:t>
      </w:r>
      <w:r>
        <w:t xml:space="preserve"> as mentioned in subparagraph (b), based on the rules, without consulting with the </w:t>
      </w:r>
      <w:r w:rsidR="00903E5E">
        <w:t xml:space="preserve">Committee for the Reduction of </w:t>
      </w:r>
      <w:r>
        <w:t xml:space="preserve"> Concentration, he </w:t>
      </w:r>
      <w:r w:rsidR="000D6268">
        <w:t xml:space="preserve">will </w:t>
      </w:r>
      <w:r>
        <w:t>report this to the Committee;</w:t>
      </w:r>
    </w:p>
    <w:p w:rsidR="006559FC" w:rsidRDefault="00176E71">
      <w:pPr>
        <w:pStyle w:val="a6"/>
      </w:pPr>
      <w:r>
        <w:t>(3)</w:t>
      </w:r>
      <w:r w:rsidR="003105ED">
        <w:t xml:space="preserve"> </w:t>
      </w:r>
      <w:r w:rsidR="006559FC">
        <w:t xml:space="preserve">If the </w:t>
      </w:r>
      <w:r w:rsidR="00903E5E">
        <w:t xml:space="preserve">Committee for the Reduction of </w:t>
      </w:r>
      <w:r w:rsidR="006559FC">
        <w:t xml:space="preserve"> Concentration finds that the allocation mentioned in subparagraph (b), which was carried out without consulting it, justifies a reexamination of the rules according to this subparagraph </w:t>
      </w:r>
      <w:r w:rsidR="000D6268">
        <w:t xml:space="preserve">for reasons of reducing </w:t>
      </w:r>
      <w:r w:rsidR="006559FC">
        <w:t xml:space="preserve">concentration, it will notify the regulator of this and will hold a renewed </w:t>
      </w:r>
      <w:r w:rsidR="00B24CCA">
        <w:t xml:space="preserve">consultation </w:t>
      </w:r>
      <w:r w:rsidR="00D513EA">
        <w:t xml:space="preserve">regarding </w:t>
      </w:r>
      <w:r w:rsidR="006559FC">
        <w:t xml:space="preserve">the rules; </w:t>
      </w:r>
    </w:p>
    <w:p w:rsidR="006559FC" w:rsidRDefault="006559FC" w:rsidP="000D6268">
      <w:pPr>
        <w:pStyle w:val="a6"/>
      </w:pPr>
      <w:r>
        <w:t xml:space="preserve">(4) The rules according to this subparagraph will be in effect not more than three years or a shorter period to be determined </w:t>
      </w:r>
      <w:r w:rsidR="002E678C">
        <w:t>acc</w:t>
      </w:r>
      <w:r w:rsidR="000D6268">
        <w:t>or</w:t>
      </w:r>
      <w:r w:rsidR="002E678C">
        <w:t>ding</w:t>
      </w:r>
      <w:r>
        <w:t xml:space="preserve"> to the </w:t>
      </w:r>
      <w:r w:rsidR="002E678C">
        <w:t>instructions</w:t>
      </w:r>
      <w:r>
        <w:t xml:space="preserve"> of</w:t>
      </w:r>
      <w:r w:rsidR="003105ED">
        <w:t xml:space="preserve"> </w:t>
      </w:r>
      <w:r>
        <w:t xml:space="preserve">the </w:t>
      </w:r>
      <w:r w:rsidR="00903E5E">
        <w:t xml:space="preserve">Committee for the Reduction of </w:t>
      </w:r>
      <w:r>
        <w:t xml:space="preserve">Concentration. </w:t>
      </w:r>
    </w:p>
    <w:p w:rsidR="006559FC" w:rsidRDefault="006559FC">
      <w:pPr>
        <w:pStyle w:val="a6"/>
        <w:numPr>
          <w:ilvl w:val="0"/>
          <w:numId w:val="14"/>
        </w:numPr>
      </w:pPr>
      <w:r>
        <w:t xml:space="preserve">The regulator, </w:t>
      </w:r>
      <w:r w:rsidR="008E1147">
        <w:t xml:space="preserve">the entity </w:t>
      </w:r>
      <w:r>
        <w:t xml:space="preserve">who has the authority to determine rules as </w:t>
      </w:r>
      <w:r w:rsidR="000D6268">
        <w:t>stated</w:t>
      </w:r>
      <w:r>
        <w:t xml:space="preserve"> in subparagraph </w:t>
      </w:r>
      <w:r w:rsidR="000D6268">
        <w:t>(c)</w:t>
      </w:r>
      <w:r>
        <w:t xml:space="preserve">, even if he is not the regulator, and also the </w:t>
      </w:r>
      <w:r w:rsidR="00903E5E">
        <w:t xml:space="preserve">Committee for the Reduction of </w:t>
      </w:r>
      <w:r>
        <w:t xml:space="preserve"> Concentration, will take into account, in accordance with subparagraphs (a) and (c), in addition to any consideration that they should take into account </w:t>
      </w:r>
      <w:r w:rsidR="002E678C">
        <w:t>according</w:t>
      </w:r>
      <w:r>
        <w:t xml:space="preserve"> to law with respect to the </w:t>
      </w:r>
      <w:r w:rsidR="002E678C">
        <w:t>allocation</w:t>
      </w:r>
      <w:r>
        <w:t xml:space="preserve">, considerations of preventing the expansion of activity of a </w:t>
      </w:r>
      <w:r w:rsidR="001715AA">
        <w:t>concentrated entity</w:t>
      </w:r>
      <w:r>
        <w:t xml:space="preserve">, with </w:t>
      </w:r>
      <w:r w:rsidR="00D461C9">
        <w:t xml:space="preserve">respect to </w:t>
      </w:r>
      <w:r w:rsidR="002E678C">
        <w:t>relevant</w:t>
      </w:r>
      <w:r>
        <w:t xml:space="preserve"> areas of </w:t>
      </w:r>
      <w:r w:rsidR="002E678C">
        <w:t>activity</w:t>
      </w:r>
      <w:r>
        <w:t xml:space="preserve"> and taking into consideration the connection between them. </w:t>
      </w:r>
    </w:p>
    <w:p w:rsidR="006559FC" w:rsidRDefault="00D52345" w:rsidP="00D461C9">
      <w:pPr>
        <w:pStyle w:val="a6"/>
        <w:numPr>
          <w:ilvl w:val="0"/>
          <w:numId w:val="14"/>
        </w:numPr>
      </w:pPr>
      <w:r>
        <w:t xml:space="preserve">The instructions of this paragraph will apply notwithstanding what is stated in any other law, and </w:t>
      </w:r>
      <w:r w:rsidR="0025331C">
        <w:t>provided</w:t>
      </w:r>
      <w:r>
        <w:t xml:space="preserve"> that the exercise of authority </w:t>
      </w:r>
      <w:r w:rsidR="002E678C">
        <w:t>according</w:t>
      </w:r>
      <w:r>
        <w:t xml:space="preserve"> to them will be in a manner that will ensure that there </w:t>
      </w:r>
      <w:proofErr w:type="gramStart"/>
      <w:r>
        <w:t xml:space="preserve">is </w:t>
      </w:r>
      <w:r w:rsidR="00D461C9">
        <w:t xml:space="preserve"> </w:t>
      </w:r>
      <w:r>
        <w:t>no</w:t>
      </w:r>
      <w:proofErr w:type="gramEnd"/>
      <w:r>
        <w:t xml:space="preserve"> sig</w:t>
      </w:r>
      <w:r w:rsidR="002E678C">
        <w:t>ni</w:t>
      </w:r>
      <w:r>
        <w:t xml:space="preserve">ficant harm to the welfare of consumers. </w:t>
      </w:r>
    </w:p>
    <w:p w:rsidR="00D52345" w:rsidRDefault="00D52345" w:rsidP="00D52345">
      <w:pPr>
        <w:pStyle w:val="a6"/>
      </w:pPr>
    </w:p>
    <w:p w:rsidR="00D52345" w:rsidRDefault="00D52345" w:rsidP="000D6268">
      <w:pPr>
        <w:pStyle w:val="a6"/>
        <w:numPr>
          <w:ilvl w:val="5"/>
          <w:numId w:val="1"/>
        </w:numPr>
        <w:ind w:left="426"/>
      </w:pPr>
      <w:r>
        <w:t xml:space="preserve">Request for a ruling from the </w:t>
      </w:r>
      <w:r w:rsidR="00903E5E">
        <w:t xml:space="preserve">Committee for the Reduction of </w:t>
      </w:r>
      <w:r>
        <w:t xml:space="preserve"> Concentration</w:t>
      </w:r>
    </w:p>
    <w:p w:rsidR="00D52345" w:rsidRDefault="00D52345" w:rsidP="000D6268">
      <w:pPr>
        <w:pStyle w:val="a6"/>
        <w:numPr>
          <w:ilvl w:val="0"/>
          <w:numId w:val="15"/>
        </w:numPr>
      </w:pPr>
      <w:r>
        <w:t xml:space="preserve"> </w:t>
      </w:r>
      <w:r w:rsidR="00D63E9B">
        <w:t xml:space="preserve">A regulator seeking to </w:t>
      </w:r>
      <w:r w:rsidR="00551579">
        <w:t>allocate</w:t>
      </w:r>
      <w:r w:rsidR="00D63E9B">
        <w:t xml:space="preserve"> a right to a </w:t>
      </w:r>
      <w:r w:rsidR="001715AA">
        <w:t>concentrated entity</w:t>
      </w:r>
      <w:r w:rsidR="00D63E9B">
        <w:t xml:space="preserve"> will notify the </w:t>
      </w:r>
      <w:r w:rsidR="00903E5E">
        <w:t xml:space="preserve">Committee for the Reduction </w:t>
      </w:r>
      <w:proofErr w:type="gramStart"/>
      <w:r w:rsidR="00903E5E">
        <w:t xml:space="preserve">of </w:t>
      </w:r>
      <w:r w:rsidR="00D63E9B">
        <w:t xml:space="preserve"> Concentration</w:t>
      </w:r>
      <w:proofErr w:type="gramEnd"/>
      <w:r w:rsidR="00D63E9B">
        <w:t xml:space="preserve"> in writing, including justifications, for the purpose of consultation according to paragraph 5(b), </w:t>
      </w:r>
      <w:r w:rsidR="000D6268">
        <w:t>at</w:t>
      </w:r>
      <w:r w:rsidR="00D63E9B">
        <w:t xml:space="preserve"> the stage </w:t>
      </w:r>
      <w:r w:rsidR="000D6268">
        <w:t>in which</w:t>
      </w:r>
      <w:r w:rsidR="00D63E9B">
        <w:t xml:space="preserve"> the conditions for allowing the </w:t>
      </w:r>
      <w:r w:rsidR="00551579">
        <w:t>allocation</w:t>
      </w:r>
      <w:r w:rsidR="00D63E9B">
        <w:t xml:space="preserve"> are being decided on or </w:t>
      </w:r>
      <w:r w:rsidR="00532BF3">
        <w:t xml:space="preserve">at </w:t>
      </w:r>
      <w:r w:rsidR="00D63E9B">
        <w:t xml:space="preserve">a different stage which will be as early as possible. </w:t>
      </w:r>
    </w:p>
    <w:p w:rsidR="00D63E9B" w:rsidRDefault="00D63E9B">
      <w:pPr>
        <w:pStyle w:val="a6"/>
        <w:numPr>
          <w:ilvl w:val="0"/>
          <w:numId w:val="15"/>
        </w:numPr>
      </w:pPr>
      <w:r>
        <w:t xml:space="preserve">If the regulator has notified the </w:t>
      </w:r>
      <w:r w:rsidR="00903E5E">
        <w:t xml:space="preserve">Committee for the Reduction of </w:t>
      </w:r>
      <w:r w:rsidR="000D6268">
        <w:t>C</w:t>
      </w:r>
      <w:r>
        <w:t xml:space="preserve">oncentration </w:t>
      </w:r>
      <w:r w:rsidR="002E678C">
        <w:t>according</w:t>
      </w:r>
      <w:r>
        <w:t xml:space="preserve"> to </w:t>
      </w:r>
      <w:r w:rsidR="002E678C">
        <w:t>subparagraph</w:t>
      </w:r>
      <w:r>
        <w:t xml:space="preserve"> (a), the Committee will notify him in writing, within 20 days, if it is </w:t>
      </w:r>
      <w:r w:rsidR="00E24B6B">
        <w:t xml:space="preserve">its </w:t>
      </w:r>
      <w:r>
        <w:t xml:space="preserve">intention to </w:t>
      </w:r>
      <w:r w:rsidR="002E678C">
        <w:t>advise</w:t>
      </w:r>
      <w:r>
        <w:t xml:space="preserve"> him regarding the </w:t>
      </w:r>
      <w:r w:rsidR="00551579">
        <w:t>allocation</w:t>
      </w:r>
      <w:r>
        <w:t xml:space="preserve"> that is the subject of his notification. </w:t>
      </w:r>
    </w:p>
    <w:p w:rsidR="00D63E9B" w:rsidRDefault="00D63E9B">
      <w:pPr>
        <w:pStyle w:val="a6"/>
        <w:numPr>
          <w:ilvl w:val="0"/>
          <w:numId w:val="15"/>
        </w:numPr>
      </w:pPr>
      <w:r>
        <w:t xml:space="preserve">If the </w:t>
      </w:r>
      <w:r w:rsidR="00903E5E">
        <w:t xml:space="preserve">Committee for the Reduction of </w:t>
      </w:r>
      <w:r>
        <w:t>Concentration has notified the regulator within the period mentioned in subparagraph (b)</w:t>
      </w:r>
      <w:r w:rsidR="00E24B6B">
        <w:t>,</w:t>
      </w:r>
      <w:r>
        <w:t xml:space="preserve"> that it intends to advise him, it will provide him with </w:t>
      </w:r>
      <w:r w:rsidR="0095273C">
        <w:t xml:space="preserve">its opinion on </w:t>
      </w:r>
      <w:r>
        <w:t xml:space="preserve">the matter of the </w:t>
      </w:r>
      <w:r w:rsidR="00551579">
        <w:t>allocation</w:t>
      </w:r>
      <w:r>
        <w:t xml:space="preserve">, in writing, as early as possible and not later than 60 days from the day of the aforementioned notification; the </w:t>
      </w:r>
      <w:r w:rsidR="0095273C">
        <w:t xml:space="preserve">opinion </w:t>
      </w:r>
      <w:r>
        <w:t>of the Committee will include the</w:t>
      </w:r>
      <w:r w:rsidR="003105ED">
        <w:t xml:space="preserve"> </w:t>
      </w:r>
      <w:r w:rsidR="00DB0540">
        <w:t xml:space="preserve">reasoned </w:t>
      </w:r>
      <w:r>
        <w:t xml:space="preserve">conclusions of its examination </w:t>
      </w:r>
      <w:r w:rsidR="00DB0540">
        <w:t xml:space="preserve">as well as it reasoned </w:t>
      </w:r>
      <w:r>
        <w:t xml:space="preserve">recommendations. </w:t>
      </w:r>
    </w:p>
    <w:p w:rsidR="00D63E9B" w:rsidRDefault="00D63E9B">
      <w:pPr>
        <w:pStyle w:val="a6"/>
        <w:numPr>
          <w:ilvl w:val="0"/>
          <w:numId w:val="15"/>
        </w:numPr>
      </w:pPr>
      <w:r>
        <w:t xml:space="preserve">The </w:t>
      </w:r>
      <w:r w:rsidR="00903E5E">
        <w:t xml:space="preserve">Committee for the Reduction </w:t>
      </w:r>
      <w:proofErr w:type="gramStart"/>
      <w:r w:rsidR="00903E5E">
        <w:t xml:space="preserve">of </w:t>
      </w:r>
      <w:r>
        <w:t xml:space="preserve"> </w:t>
      </w:r>
      <w:r w:rsidR="002E678C">
        <w:t>Concentration</w:t>
      </w:r>
      <w:proofErr w:type="gramEnd"/>
      <w:r>
        <w:t xml:space="preserve"> will publish its </w:t>
      </w:r>
      <w:r w:rsidR="0095273C">
        <w:t xml:space="preserve">opinion </w:t>
      </w:r>
      <w:r w:rsidR="002E678C">
        <w:t>according</w:t>
      </w:r>
      <w:r>
        <w:t xml:space="preserve"> to this paragraph on the Ministry of Finance</w:t>
      </w:r>
      <w:r w:rsidR="0095273C">
        <w:t xml:space="preserve"> website</w:t>
      </w:r>
      <w:r>
        <w:t xml:space="preserve">, </w:t>
      </w:r>
      <w:r w:rsidR="0025331C">
        <w:t>provided</w:t>
      </w:r>
      <w:r>
        <w:t xml:space="preserve"> that the information to be published does not include </w:t>
      </w:r>
      <w:r w:rsidR="002E678C">
        <w:t>information</w:t>
      </w:r>
      <w:r>
        <w:t xml:space="preserve"> that is not to be conveyed </w:t>
      </w:r>
      <w:r w:rsidR="002E678C">
        <w:t>according</w:t>
      </w:r>
      <w:r>
        <w:t xml:space="preserve"> to </w:t>
      </w:r>
      <w:r w:rsidR="002E678C">
        <w:t>paragraph</w:t>
      </w:r>
      <w:r>
        <w:t xml:space="preserve"> 9(a) of the Freedom of Information Law</w:t>
      </w:r>
      <w:r w:rsidR="0095273C">
        <w:t>,</w:t>
      </w:r>
      <w:r>
        <w:t xml:space="preserve"> and has the right not to include in the </w:t>
      </w:r>
      <w:r>
        <w:lastRenderedPageBreak/>
        <w:t xml:space="preserve">aforementioned published </w:t>
      </w:r>
      <w:r w:rsidR="0095273C">
        <w:t xml:space="preserve">opinion </w:t>
      </w:r>
      <w:r>
        <w:t xml:space="preserve">information that is not required </w:t>
      </w:r>
      <w:r w:rsidR="000D6268">
        <w:t xml:space="preserve">to be published </w:t>
      </w:r>
      <w:r>
        <w:t xml:space="preserve">by paragraph 9(b) of that law. </w:t>
      </w:r>
    </w:p>
    <w:p w:rsidR="00D63E9B" w:rsidRDefault="00C37121" w:rsidP="0095273C">
      <w:pPr>
        <w:pStyle w:val="a6"/>
        <w:numPr>
          <w:ilvl w:val="0"/>
          <w:numId w:val="15"/>
        </w:numPr>
      </w:pPr>
      <w:r>
        <w:t xml:space="preserve">If the </w:t>
      </w:r>
      <w:r w:rsidR="00903E5E">
        <w:t xml:space="preserve">Committee for the Reduction of </w:t>
      </w:r>
      <w:r>
        <w:t xml:space="preserve"> Concentration has not provided </w:t>
      </w:r>
      <w:r w:rsidR="002E678C">
        <w:t>notification of</w:t>
      </w:r>
      <w:r>
        <w:t xml:space="preserve"> its intention to advise the regulator within the</w:t>
      </w:r>
      <w:r w:rsidR="003105ED">
        <w:t xml:space="preserve"> </w:t>
      </w:r>
      <w:r>
        <w:t xml:space="preserve">period </w:t>
      </w:r>
      <w:r w:rsidR="002E678C">
        <w:t>mentioned</w:t>
      </w:r>
      <w:r>
        <w:t xml:space="preserve"> in subparagraph (b) or has given notification that it does not intend to provide such advice, or has not provided the regulator with its </w:t>
      </w:r>
      <w:r w:rsidR="0095273C">
        <w:t xml:space="preserve">opinion </w:t>
      </w:r>
      <w:r w:rsidR="002E678C">
        <w:t>within</w:t>
      </w:r>
      <w:r>
        <w:t xml:space="preserve"> the period mentioned in subparagraph (c), the</w:t>
      </w:r>
      <w:r w:rsidR="003105ED">
        <w:t xml:space="preserve"> </w:t>
      </w:r>
      <w:r>
        <w:t xml:space="preserve">regulator will continue with the procedure to </w:t>
      </w:r>
      <w:r w:rsidR="00551579">
        <w:t>allocate</w:t>
      </w:r>
      <w:r>
        <w:t xml:space="preserve"> the right and </w:t>
      </w:r>
      <w:r w:rsidR="000D6268">
        <w:t xml:space="preserve">will </w:t>
      </w:r>
      <w:r w:rsidR="002E678C">
        <w:t>comply</w:t>
      </w:r>
      <w:r>
        <w:t xml:space="preserve"> with the </w:t>
      </w:r>
      <w:r w:rsidR="002E678C">
        <w:t>instruction</w:t>
      </w:r>
      <w:r w:rsidR="000D6268">
        <w:t>s</w:t>
      </w:r>
      <w:r>
        <w:t xml:space="preserve"> of </w:t>
      </w:r>
      <w:r w:rsidR="002E678C">
        <w:t>paragraph</w:t>
      </w:r>
      <w:r>
        <w:t xml:space="preserve"> 5(b), even without the advice of the Committee, or will act in accordance with the instructions of </w:t>
      </w:r>
      <w:r w:rsidR="002E678C">
        <w:t>paragraph</w:t>
      </w:r>
      <w:r>
        <w:t xml:space="preserve"> 5(a), unless the regulator has decided otherwise, based on special </w:t>
      </w:r>
      <w:r w:rsidR="00AA6721">
        <w:t>considerations</w:t>
      </w:r>
      <w:r>
        <w:t xml:space="preserve">. </w:t>
      </w:r>
    </w:p>
    <w:p w:rsidR="00C37121" w:rsidRDefault="00C37121" w:rsidP="0095273C">
      <w:pPr>
        <w:pStyle w:val="a6"/>
        <w:numPr>
          <w:ilvl w:val="0"/>
          <w:numId w:val="15"/>
        </w:numPr>
      </w:pPr>
      <w:r>
        <w:t xml:space="preserve">If the law applying to the </w:t>
      </w:r>
      <w:r w:rsidR="00551579">
        <w:t>allocation</w:t>
      </w:r>
      <w:r>
        <w:t xml:space="preserve"> has specified time limits for the </w:t>
      </w:r>
      <w:r w:rsidR="00551579">
        <w:t>allocation</w:t>
      </w:r>
      <w:r>
        <w:t xml:space="preserve"> procedure, the period in which the regulator waits for the notification or </w:t>
      </w:r>
      <w:r w:rsidR="0095273C">
        <w:t xml:space="preserve">opinion </w:t>
      </w:r>
      <w:r>
        <w:t xml:space="preserve">of the </w:t>
      </w:r>
      <w:r w:rsidR="00903E5E">
        <w:t xml:space="preserve">Committee for the Reduction of </w:t>
      </w:r>
      <w:r>
        <w:t xml:space="preserve">Concentration according to this paragraph will not be included in the </w:t>
      </w:r>
      <w:r w:rsidR="002E678C">
        <w:t>calculation</w:t>
      </w:r>
      <w:r>
        <w:t xml:space="preserve"> of the</w:t>
      </w:r>
      <w:r w:rsidR="003105ED">
        <w:t xml:space="preserve"> </w:t>
      </w:r>
      <w:r>
        <w:t xml:space="preserve">time </w:t>
      </w:r>
      <w:r w:rsidR="002E678C">
        <w:t>limit</w:t>
      </w:r>
      <w:r>
        <w:t xml:space="preserve"> specified in the</w:t>
      </w:r>
      <w:r w:rsidR="003105ED">
        <w:t xml:space="preserve"> </w:t>
      </w:r>
      <w:r>
        <w:t>aforementioned law.</w:t>
      </w:r>
    </w:p>
    <w:p w:rsidR="00C37121" w:rsidRDefault="00C37121" w:rsidP="00C37121">
      <w:pPr>
        <w:pStyle w:val="a6"/>
        <w:ind w:left="1080"/>
      </w:pPr>
    </w:p>
    <w:p w:rsidR="00C37121" w:rsidRDefault="00C37121" w:rsidP="0095273C">
      <w:pPr>
        <w:pStyle w:val="a6"/>
        <w:numPr>
          <w:ilvl w:val="5"/>
          <w:numId w:val="1"/>
        </w:numPr>
        <w:ind w:left="426"/>
      </w:pPr>
      <w:r>
        <w:t>Formulation of a</w:t>
      </w:r>
      <w:r w:rsidR="0095273C">
        <w:t>n</w:t>
      </w:r>
      <w:r>
        <w:t xml:space="preserve"> </w:t>
      </w:r>
      <w:r w:rsidR="0095273C">
        <w:t xml:space="preserve">opinion </w:t>
      </w:r>
      <w:r>
        <w:t xml:space="preserve">by the </w:t>
      </w:r>
      <w:r w:rsidR="00903E5E">
        <w:t xml:space="preserve">Committee for the Reduction of </w:t>
      </w:r>
      <w:r>
        <w:t xml:space="preserve"> Concentration</w:t>
      </w:r>
    </w:p>
    <w:p w:rsidR="003F2015" w:rsidRDefault="001B4871" w:rsidP="00B2262B">
      <w:pPr>
        <w:pStyle w:val="a6"/>
        <w:numPr>
          <w:ilvl w:val="0"/>
          <w:numId w:val="16"/>
        </w:numPr>
      </w:pPr>
      <w:r>
        <w:t xml:space="preserve">The </w:t>
      </w:r>
      <w:r w:rsidR="00903E5E">
        <w:t xml:space="preserve">Committee for the Reduction of </w:t>
      </w:r>
      <w:r>
        <w:t xml:space="preserve"> Concentration will formulate it</w:t>
      </w:r>
      <w:r w:rsidR="00034EFF">
        <w:t>s</w:t>
      </w:r>
      <w:r>
        <w:t xml:space="preserve"> </w:t>
      </w:r>
      <w:r w:rsidR="0095273C">
        <w:t xml:space="preserve">opinion </w:t>
      </w:r>
      <w:r>
        <w:t xml:space="preserve">with respect to </w:t>
      </w:r>
      <w:r w:rsidR="00034EFF">
        <w:t>p</w:t>
      </w:r>
      <w:r w:rsidR="002E678C">
        <w:t>aragraph</w:t>
      </w:r>
      <w:r>
        <w:t xml:space="preserve"> 5 after considering the arguments of the regulator in this matter and has the right to request the positions of additional regulators, to the extent that the matter is related to their area of responsibility; </w:t>
      </w:r>
      <w:r w:rsidR="006C4BBF">
        <w:t xml:space="preserve">if the </w:t>
      </w:r>
      <w:r w:rsidR="00B2262B">
        <w:t xml:space="preserve">opinion </w:t>
      </w:r>
      <w:r w:rsidR="006C4BBF">
        <w:t xml:space="preserve">is with regard to a </w:t>
      </w:r>
      <w:r w:rsidR="001715AA">
        <w:t>concentrated entity</w:t>
      </w:r>
      <w:r w:rsidR="006C4BBF">
        <w:t xml:space="preserve"> that is a corporation to which applies the Government Companies Law, the Committee </w:t>
      </w:r>
      <w:r w:rsidR="002E678C">
        <w:t>will</w:t>
      </w:r>
      <w:r w:rsidR="006C4BBF">
        <w:t xml:space="preserve"> also request the </w:t>
      </w:r>
      <w:r w:rsidR="002E678C">
        <w:t>position</w:t>
      </w:r>
      <w:r w:rsidR="006C4BBF">
        <w:t xml:space="preserve"> of the </w:t>
      </w:r>
      <w:r w:rsidR="002E678C">
        <w:t>Government</w:t>
      </w:r>
      <w:r w:rsidR="006C4BBF">
        <w:t xml:space="preserve"> Companies Authority. </w:t>
      </w:r>
    </w:p>
    <w:p w:rsidR="003F2015" w:rsidRDefault="003F2015">
      <w:pPr>
        <w:pStyle w:val="a6"/>
        <w:numPr>
          <w:ilvl w:val="0"/>
          <w:numId w:val="16"/>
        </w:numPr>
      </w:pPr>
      <w:r>
        <w:t xml:space="preserve">The </w:t>
      </w:r>
      <w:r w:rsidR="00903E5E">
        <w:t>Committee for the Reduction o</w:t>
      </w:r>
      <w:r w:rsidR="00B2262B">
        <w:t xml:space="preserve">f </w:t>
      </w:r>
      <w:r>
        <w:t xml:space="preserve">Concentration has the right to request from regulators </w:t>
      </w:r>
      <w:r w:rsidR="00B2262B">
        <w:t xml:space="preserve">information </w:t>
      </w:r>
      <w:r>
        <w:t>that i</w:t>
      </w:r>
      <w:r w:rsidR="00B2262B">
        <w:t>s</w:t>
      </w:r>
      <w:r>
        <w:t xml:space="preserve"> require</w:t>
      </w:r>
      <w:r w:rsidR="00B2262B">
        <w:t>d</w:t>
      </w:r>
      <w:r>
        <w:t xml:space="preserve"> </w:t>
      </w:r>
      <w:r w:rsidR="00B2262B">
        <w:t xml:space="preserve">for </w:t>
      </w:r>
      <w:r w:rsidR="00034EFF">
        <w:t xml:space="preserve">carrying out </w:t>
      </w:r>
      <w:r>
        <w:t xml:space="preserve">its function </w:t>
      </w:r>
      <w:r w:rsidR="002E678C">
        <w:t>according</w:t>
      </w:r>
      <w:r>
        <w:t xml:space="preserve"> to this section, in addition to the list of </w:t>
      </w:r>
      <w:r w:rsidR="001715AA">
        <w:t>concentrated entities</w:t>
      </w:r>
      <w:r>
        <w:t xml:space="preserve"> provided to it by the </w:t>
      </w:r>
      <w:r w:rsidR="00E32F8D">
        <w:t xml:space="preserve">General </w:t>
      </w:r>
      <w:r>
        <w:t xml:space="preserve">Director of the Antitrust Authority according to </w:t>
      </w:r>
      <w:r w:rsidR="002E678C">
        <w:t>paragraph</w:t>
      </w:r>
      <w:r>
        <w:t xml:space="preserve"> 4(d</w:t>
      </w:r>
      <w:proofErr w:type="gramStart"/>
      <w:r>
        <w:t>)(</w:t>
      </w:r>
      <w:proofErr w:type="gramEnd"/>
      <w:r>
        <w:t xml:space="preserve">4); </w:t>
      </w:r>
      <w:r w:rsidR="00B2262B">
        <w:t xml:space="preserve">nothing in </w:t>
      </w:r>
      <w:r>
        <w:t xml:space="preserve">the instructions of this </w:t>
      </w:r>
      <w:r w:rsidR="002E678C">
        <w:t>subparagraph</w:t>
      </w:r>
      <w:r>
        <w:t xml:space="preserve"> </w:t>
      </w:r>
      <w:r w:rsidR="00B2262B">
        <w:t xml:space="preserve">come to </w:t>
      </w:r>
      <w:r>
        <w:t xml:space="preserve">obligate the </w:t>
      </w:r>
      <w:r w:rsidR="00E32F8D">
        <w:t xml:space="preserve">General </w:t>
      </w:r>
      <w:r>
        <w:t xml:space="preserve">Director of the Antitrust Authority to </w:t>
      </w:r>
      <w:r w:rsidR="002E678C">
        <w:t>submit</w:t>
      </w:r>
      <w:r>
        <w:t xml:space="preserve"> any additional information to the Committee. </w:t>
      </w:r>
    </w:p>
    <w:p w:rsidR="000C052E" w:rsidRDefault="000C052E" w:rsidP="000C052E">
      <w:pPr>
        <w:pStyle w:val="a6"/>
        <w:ind w:left="1080"/>
      </w:pPr>
    </w:p>
    <w:p w:rsidR="003F2015" w:rsidRDefault="003F2015" w:rsidP="00034EFF">
      <w:pPr>
        <w:pStyle w:val="a6"/>
        <w:numPr>
          <w:ilvl w:val="5"/>
          <w:numId w:val="1"/>
        </w:numPr>
        <w:ind w:left="426"/>
      </w:pPr>
      <w:r>
        <w:t>Concentration consideration</w:t>
      </w:r>
      <w:r w:rsidR="00034EFF">
        <w:t>s</w:t>
      </w:r>
      <w:r>
        <w:t xml:space="preserve"> in procedures according to the </w:t>
      </w:r>
      <w:r w:rsidR="002E678C">
        <w:t>Government</w:t>
      </w:r>
      <w:r>
        <w:t xml:space="preserve"> Companies Law</w:t>
      </w:r>
    </w:p>
    <w:p w:rsidR="00C37121" w:rsidRDefault="003F2015">
      <w:pPr>
        <w:pStyle w:val="a6"/>
        <w:numPr>
          <w:ilvl w:val="0"/>
          <w:numId w:val="20"/>
        </w:numPr>
      </w:pPr>
      <w:r>
        <w:t xml:space="preserve">The Government Companies Authority will consult with the </w:t>
      </w:r>
      <w:r w:rsidR="00903E5E">
        <w:t xml:space="preserve">Committee for the Reduction of </w:t>
      </w:r>
      <w:r w:rsidR="00276F17">
        <w:t xml:space="preserve">Concentration prior to the </w:t>
      </w:r>
      <w:r w:rsidR="002E678C">
        <w:t xml:space="preserve">Authority formulating its </w:t>
      </w:r>
      <w:r w:rsidR="000422AF">
        <w:t xml:space="preserve">opinion </w:t>
      </w:r>
      <w:r w:rsidR="00276F17">
        <w:t xml:space="preserve">for the Government </w:t>
      </w:r>
      <w:r w:rsidR="002E678C">
        <w:t>according</w:t>
      </w:r>
      <w:r w:rsidR="00276F17">
        <w:t xml:space="preserve"> to </w:t>
      </w:r>
      <w:r w:rsidR="00CD716A">
        <w:t>p</w:t>
      </w:r>
      <w:r w:rsidR="002E678C">
        <w:t>aragraph</w:t>
      </w:r>
      <w:r w:rsidR="00276F17">
        <w:t xml:space="preserve"> 11(b) of the </w:t>
      </w:r>
      <w:r w:rsidR="002E678C">
        <w:t>Government</w:t>
      </w:r>
      <w:r w:rsidR="00276F17">
        <w:t xml:space="preserve"> Companies Law, with regard to a proposal to </w:t>
      </w:r>
      <w:r w:rsidR="002E678C">
        <w:t>approve</w:t>
      </w:r>
      <w:r w:rsidR="00276F17">
        <w:t xml:space="preserve"> a decision of a </w:t>
      </w:r>
      <w:r w:rsidR="002E678C">
        <w:t>government</w:t>
      </w:r>
      <w:r w:rsidR="00276F17">
        <w:t xml:space="preserve"> company included in the list of </w:t>
      </w:r>
      <w:r w:rsidR="001715AA">
        <w:t>concentrated entities</w:t>
      </w:r>
      <w:r w:rsidR="00276F17">
        <w:t xml:space="preserve">, without which the government company will not be able to operate in </w:t>
      </w:r>
      <w:r w:rsidR="00CD716A">
        <w:t>an</w:t>
      </w:r>
      <w:r w:rsidR="00276F17">
        <w:t xml:space="preserve"> additional essential infrastructure</w:t>
      </w:r>
      <w:r w:rsidR="00CD716A">
        <w:t xml:space="preserve"> area of activity</w:t>
      </w:r>
      <w:r w:rsidR="00276F17">
        <w:t xml:space="preserve">. </w:t>
      </w:r>
    </w:p>
    <w:p w:rsidR="00276F17" w:rsidRDefault="00276F17">
      <w:pPr>
        <w:pStyle w:val="a6"/>
        <w:numPr>
          <w:ilvl w:val="0"/>
          <w:numId w:val="20"/>
        </w:numPr>
      </w:pPr>
      <w:r>
        <w:t xml:space="preserve">The Government Companies Authority will consult with the </w:t>
      </w:r>
      <w:r w:rsidR="00903E5E">
        <w:t xml:space="preserve">Committee for the Reduction of </w:t>
      </w:r>
      <w:r>
        <w:t xml:space="preserve"> Concentration prior to formulating a</w:t>
      </w:r>
      <w:r w:rsidR="000422AF">
        <w:t>n</w:t>
      </w:r>
      <w:r>
        <w:t xml:space="preserve"> </w:t>
      </w:r>
      <w:r w:rsidR="000422AF">
        <w:t xml:space="preserve">opinion </w:t>
      </w:r>
      <w:r>
        <w:t xml:space="preserve">or memorandum according to paragraph 59b of the Government Companies Law, with regard to the possibility of </w:t>
      </w:r>
      <w:r w:rsidR="00551579">
        <w:t>allocat</w:t>
      </w:r>
      <w:r>
        <w:t xml:space="preserve">ing a right to a concentrated entity within the framework of privatization and with regard to the relevant conditions; the </w:t>
      </w:r>
      <w:r w:rsidR="000422AF">
        <w:t xml:space="preserve">opinion </w:t>
      </w:r>
      <w:r>
        <w:t xml:space="preserve">of the Committee will be attached to the </w:t>
      </w:r>
      <w:r w:rsidR="000422AF">
        <w:t xml:space="preserve">opinion </w:t>
      </w:r>
      <w:r>
        <w:t xml:space="preserve">or memorandum of the </w:t>
      </w:r>
      <w:r w:rsidR="002E678C">
        <w:t>Government</w:t>
      </w:r>
      <w:r>
        <w:t xml:space="preserve"> Companies Authority</w:t>
      </w:r>
      <w:r w:rsidR="000422AF">
        <w:t>,</w:t>
      </w:r>
      <w:r>
        <w:t xml:space="preserve"> and </w:t>
      </w:r>
      <w:r w:rsidR="000422AF">
        <w:t xml:space="preserve">a </w:t>
      </w:r>
      <w:r>
        <w:t xml:space="preserve">privatization decision according to </w:t>
      </w:r>
      <w:r>
        <w:lastRenderedPageBreak/>
        <w:t xml:space="preserve">paragraph 59b of the </w:t>
      </w:r>
      <w:r w:rsidR="002E678C">
        <w:t>Government</w:t>
      </w:r>
      <w:r>
        <w:t xml:space="preserve"> Companies Law which was reached in accordance with the instructions of this subparagraph</w:t>
      </w:r>
      <w:r w:rsidR="000422AF">
        <w:t>,</w:t>
      </w:r>
      <w:r>
        <w:t xml:space="preserve"> will be viewed as a decision that was reached in accordance with the instructions of </w:t>
      </w:r>
      <w:r w:rsidR="002E678C">
        <w:t>paragraph</w:t>
      </w:r>
      <w:r>
        <w:t xml:space="preserve"> 5. </w:t>
      </w:r>
    </w:p>
    <w:p w:rsidR="00406B92" w:rsidRDefault="00276F17">
      <w:pPr>
        <w:pStyle w:val="a6"/>
        <w:numPr>
          <w:ilvl w:val="0"/>
          <w:numId w:val="20"/>
        </w:numPr>
      </w:pPr>
      <w:r>
        <w:t xml:space="preserve">The Government Companies Authority will consult with the </w:t>
      </w:r>
      <w:r w:rsidR="00903E5E">
        <w:t xml:space="preserve">Committee for the Reduction of </w:t>
      </w:r>
      <w:r>
        <w:t xml:space="preserve"> Concentration prior to formulatin</w:t>
      </w:r>
      <w:r w:rsidR="008F5A05">
        <w:t>g</w:t>
      </w:r>
      <w:r>
        <w:t xml:space="preserve"> </w:t>
      </w:r>
      <w:r w:rsidR="000422AF">
        <w:t xml:space="preserve">its </w:t>
      </w:r>
      <w:r>
        <w:t xml:space="preserve">position </w:t>
      </w:r>
      <w:r w:rsidR="002E678C">
        <w:t>according</w:t>
      </w:r>
      <w:r>
        <w:t xml:space="preserve"> to </w:t>
      </w:r>
      <w:r w:rsidR="008F5A05">
        <w:t>p</w:t>
      </w:r>
      <w:r w:rsidR="002E678C">
        <w:t>aragraph</w:t>
      </w:r>
      <w:r>
        <w:t xml:space="preserve"> 59h(a) of the </w:t>
      </w:r>
      <w:r w:rsidR="002E678C">
        <w:t>Government</w:t>
      </w:r>
      <w:r>
        <w:t xml:space="preserve"> Companies Law, with regard to a declaration or order </w:t>
      </w:r>
      <w:r w:rsidR="008F5A05">
        <w:t>in which</w:t>
      </w:r>
      <w:r>
        <w:t xml:space="preserve"> the State has an essential interest as </w:t>
      </w:r>
      <w:r w:rsidR="00D20C2E">
        <w:t>stat</w:t>
      </w:r>
      <w:r>
        <w:t xml:space="preserve">ed </w:t>
      </w:r>
      <w:r w:rsidR="00406B92">
        <w:t xml:space="preserve">in </w:t>
      </w:r>
      <w:r>
        <w:t>clause (4) of the definition of “essential interest”</w:t>
      </w:r>
      <w:r w:rsidR="00406B92">
        <w:t xml:space="preserve"> of that paragraph; however, if the </w:t>
      </w:r>
      <w:r w:rsidR="000422AF">
        <w:t xml:space="preserve">opinion </w:t>
      </w:r>
      <w:r w:rsidR="00406B92">
        <w:t xml:space="preserve">of the </w:t>
      </w:r>
      <w:r w:rsidR="008F5A05">
        <w:t>C</w:t>
      </w:r>
      <w:r w:rsidR="00406B92">
        <w:t xml:space="preserve">ommittee </w:t>
      </w:r>
      <w:r w:rsidR="002E678C">
        <w:t>according</w:t>
      </w:r>
      <w:r w:rsidR="00406B92">
        <w:t xml:space="preserve"> to subparagraph (b) also included </w:t>
      </w:r>
      <w:r w:rsidR="000422AF">
        <w:t xml:space="preserve">an opinion </w:t>
      </w:r>
      <w:r w:rsidR="002E678C">
        <w:t>regarding</w:t>
      </w:r>
      <w:r w:rsidR="00406B92">
        <w:t xml:space="preserve"> a declaration by order that the State has such an essential interest, additional consultation will not be required in this matter, according to the instructions of this subparagraph. </w:t>
      </w:r>
    </w:p>
    <w:p w:rsidR="00406B92" w:rsidRDefault="00406B92" w:rsidP="00D20C2E">
      <w:pPr>
        <w:pStyle w:val="a6"/>
        <w:numPr>
          <w:ilvl w:val="0"/>
          <w:numId w:val="20"/>
        </w:numPr>
      </w:pPr>
      <w:r>
        <w:t xml:space="preserve">If the order </w:t>
      </w:r>
      <w:r w:rsidR="002E678C">
        <w:t>according</w:t>
      </w:r>
      <w:r>
        <w:t xml:space="preserve"> </w:t>
      </w:r>
      <w:r w:rsidR="00D20C2E">
        <w:t xml:space="preserve">to </w:t>
      </w:r>
      <w:r>
        <w:t xml:space="preserve">the instructions of </w:t>
      </w:r>
      <w:r w:rsidR="002E678C">
        <w:t>paragraph</w:t>
      </w:r>
      <w:r>
        <w:t xml:space="preserve"> 59h of the </w:t>
      </w:r>
      <w:r w:rsidR="002E678C">
        <w:t>Government</w:t>
      </w:r>
      <w:r>
        <w:t xml:space="preserve"> Companies Law stipulates that the State has an essential interest as mentioned in subparagraph (c), the ministers will approve transfer of control </w:t>
      </w:r>
      <w:r w:rsidR="002E678C">
        <w:t>according</w:t>
      </w:r>
      <w:r>
        <w:t xml:space="preserve"> to paragraph </w:t>
      </w:r>
      <w:proofErr w:type="gramStart"/>
      <w:r>
        <w:t>59j(</w:t>
      </w:r>
      <w:proofErr w:type="gramEnd"/>
      <w:r>
        <w:t xml:space="preserve">a)(1) of the aforementioned law only after consultation with the </w:t>
      </w:r>
      <w:r w:rsidR="00903E5E">
        <w:t xml:space="preserve">Committee for the Reduction of </w:t>
      </w:r>
      <w:r>
        <w:t xml:space="preserve">Concentration; </w:t>
      </w:r>
      <w:r w:rsidR="00D20C2E">
        <w:t>i</w:t>
      </w:r>
      <w:r>
        <w:t xml:space="preserve">n this paragraph, “ministers” – according to their definition </w:t>
      </w:r>
      <w:r w:rsidR="008F5A05">
        <w:t>in</w:t>
      </w:r>
      <w:r>
        <w:t xml:space="preserve"> paragraph 59g of the aforementioned law.</w:t>
      </w:r>
    </w:p>
    <w:p w:rsidR="004D7331" w:rsidRDefault="004D7331" w:rsidP="00D20C2E">
      <w:pPr>
        <w:pStyle w:val="a6"/>
        <w:numPr>
          <w:ilvl w:val="0"/>
          <w:numId w:val="20"/>
        </w:numPr>
      </w:pPr>
      <w:r>
        <w:t xml:space="preserve">In exercising their authority according to this paragraph, the Government Companies Authority, the ministers and the </w:t>
      </w:r>
      <w:r w:rsidR="00903E5E">
        <w:t xml:space="preserve">Committee for the Reduction of </w:t>
      </w:r>
      <w:r>
        <w:t xml:space="preserve">Concentration will take into account </w:t>
      </w:r>
      <w:r w:rsidR="00D93C34">
        <w:t>economy-wide</w:t>
      </w:r>
      <w:r>
        <w:t xml:space="preserve"> concentration </w:t>
      </w:r>
      <w:r w:rsidR="002E678C">
        <w:t>considerations</w:t>
      </w:r>
      <w:r>
        <w:t>, and the instruction</w:t>
      </w:r>
      <w:r w:rsidR="008F5A05">
        <w:t>s</w:t>
      </w:r>
      <w:r>
        <w:t xml:space="preserve"> of paragraphs 5(e), 6 and 7 will apply </w:t>
      </w:r>
      <w:r w:rsidR="00D20C2E">
        <w:t>in</w:t>
      </w:r>
      <w:r>
        <w:t xml:space="preserve"> this matter, with the necessary modifications. </w:t>
      </w:r>
    </w:p>
    <w:p w:rsidR="004D7331" w:rsidRDefault="004D7331" w:rsidP="004D7331">
      <w:pPr>
        <w:pStyle w:val="a6"/>
        <w:ind w:left="1080"/>
      </w:pPr>
    </w:p>
    <w:p w:rsidR="004D7331" w:rsidRDefault="004D7331" w:rsidP="008F5A05">
      <w:pPr>
        <w:pStyle w:val="a6"/>
        <w:numPr>
          <w:ilvl w:val="5"/>
          <w:numId w:val="1"/>
        </w:numPr>
        <w:ind w:left="426"/>
      </w:pPr>
      <w:r>
        <w:t xml:space="preserve">Concentration considerations in </w:t>
      </w:r>
      <w:r w:rsidR="00AE482D">
        <w:t>procedure</w:t>
      </w:r>
      <w:r>
        <w:t xml:space="preserve">s according to the Water </w:t>
      </w:r>
      <w:r w:rsidR="008F5A05">
        <w:t xml:space="preserve">and </w:t>
      </w:r>
      <w:r>
        <w:t>Sew</w:t>
      </w:r>
      <w:r w:rsidR="00D21F26">
        <w:t>era</w:t>
      </w:r>
      <w:r>
        <w:t>ge Corporations Law</w:t>
      </w:r>
    </w:p>
    <w:p w:rsidR="00276F17" w:rsidRDefault="0088761B">
      <w:pPr>
        <w:pStyle w:val="a6"/>
        <w:numPr>
          <w:ilvl w:val="0"/>
          <w:numId w:val="21"/>
        </w:numPr>
      </w:pPr>
      <w:r>
        <w:t xml:space="preserve">The </w:t>
      </w:r>
      <w:r w:rsidR="008F5A05">
        <w:t xml:space="preserve">Authority Council </w:t>
      </w:r>
      <w:r>
        <w:t xml:space="preserve">will </w:t>
      </w:r>
      <w:r w:rsidR="002E678C">
        <w:t>consult</w:t>
      </w:r>
      <w:r>
        <w:t xml:space="preserve"> with the </w:t>
      </w:r>
      <w:r w:rsidR="00903E5E">
        <w:t>Committee for the Reduction of</w:t>
      </w:r>
      <w:r>
        <w:t xml:space="preserve"> Concentration prior to formulating its ruling according to </w:t>
      </w:r>
      <w:r w:rsidR="002E678C">
        <w:t>paragraphs</w:t>
      </w:r>
      <w:r>
        <w:t xml:space="preserve"> 74 and 75(c) of the Water and </w:t>
      </w:r>
      <w:r w:rsidR="00EC321D">
        <w:t xml:space="preserve">Sewerage </w:t>
      </w:r>
      <w:r>
        <w:t xml:space="preserve">Corporations Law, 5761-2001, regarding the </w:t>
      </w:r>
      <w:r w:rsidR="002E678C">
        <w:t>possibility</w:t>
      </w:r>
      <w:r>
        <w:t xml:space="preserve"> of transferring control</w:t>
      </w:r>
      <w:r w:rsidR="003105ED">
        <w:t xml:space="preserve"> </w:t>
      </w:r>
      <w:r>
        <w:t xml:space="preserve">or means of control in a </w:t>
      </w:r>
      <w:r w:rsidR="002E678C">
        <w:t>company</w:t>
      </w:r>
      <w:r>
        <w:t xml:space="preserve"> to a </w:t>
      </w:r>
      <w:r w:rsidR="001715AA">
        <w:t>concentrated entity</w:t>
      </w:r>
      <w:r>
        <w:t xml:space="preserve"> and regarding its conditions; the ruling of the Committee will be attached to the ruling of the Authority Council and the government approval according to the aforementioned paragraphs, which was received in accordance with the instructions of this subparagraph, will be viewed as approval that was received </w:t>
      </w:r>
      <w:r w:rsidR="002E678C">
        <w:t>according</w:t>
      </w:r>
      <w:r>
        <w:t xml:space="preserve"> to the instructions of </w:t>
      </w:r>
      <w:r w:rsidR="002E678C">
        <w:t>paragraph</w:t>
      </w:r>
      <w:r>
        <w:t xml:space="preserve"> 5; in this paragraph, the “Authority Council” and “Company” – according to their definitions in the Water and </w:t>
      </w:r>
      <w:r w:rsidR="00EC321D">
        <w:t xml:space="preserve">Sewerage </w:t>
      </w:r>
      <w:r>
        <w:t>Sewage Corporations Law, 5761-2001.</w:t>
      </w:r>
    </w:p>
    <w:p w:rsidR="0088761B" w:rsidRDefault="0088761B" w:rsidP="004D7331">
      <w:pPr>
        <w:pStyle w:val="a6"/>
        <w:numPr>
          <w:ilvl w:val="0"/>
          <w:numId w:val="21"/>
        </w:numPr>
      </w:pPr>
      <w:r>
        <w:t xml:space="preserve">In exercising their </w:t>
      </w:r>
      <w:r w:rsidR="002E678C">
        <w:t>authorities</w:t>
      </w:r>
      <w:r>
        <w:t xml:space="preserve"> according to this paragraph, the Authority Council and the </w:t>
      </w:r>
      <w:r w:rsidR="00903E5E">
        <w:t xml:space="preserve">Committee for the Reduction of </w:t>
      </w:r>
      <w:r>
        <w:t xml:space="preserve">Concentration will take into account </w:t>
      </w:r>
      <w:r w:rsidR="00D93C34">
        <w:t>economy-wide</w:t>
      </w:r>
      <w:r>
        <w:t xml:space="preserve"> considerations of concentration and the instructions of paragraphs 5(e), 6 and 7 will apply in this matter, with the necessary modifications. </w:t>
      </w:r>
    </w:p>
    <w:p w:rsidR="0088761B" w:rsidRDefault="0088761B" w:rsidP="0088761B">
      <w:pPr>
        <w:jc w:val="center"/>
      </w:pPr>
      <w:r>
        <w:t>Section C: Industry-Specific Competition Considerations</w:t>
      </w:r>
    </w:p>
    <w:p w:rsidR="0088761B" w:rsidRDefault="0088761B" w:rsidP="008F5A05">
      <w:pPr>
        <w:pStyle w:val="a6"/>
        <w:numPr>
          <w:ilvl w:val="5"/>
          <w:numId w:val="1"/>
        </w:numPr>
        <w:ind w:left="426"/>
      </w:pPr>
      <w:r>
        <w:t>Definitions – Section C</w:t>
      </w:r>
    </w:p>
    <w:p w:rsidR="0088761B" w:rsidRDefault="0088761B" w:rsidP="0088761B">
      <w:pPr>
        <w:pStyle w:val="a6"/>
      </w:pPr>
      <w:r>
        <w:lastRenderedPageBreak/>
        <w:t xml:space="preserve">In this section – </w:t>
      </w:r>
    </w:p>
    <w:p w:rsidR="0088761B" w:rsidRDefault="0088761B" w:rsidP="00551579">
      <w:pPr>
        <w:pStyle w:val="a6"/>
      </w:pPr>
      <w:r>
        <w:t xml:space="preserve">“Right” </w:t>
      </w:r>
      <w:r w:rsidR="00933291">
        <w:t xml:space="preserve">– as defined in paragraph 2, including a </w:t>
      </w:r>
      <w:r w:rsidR="002E678C">
        <w:t>license</w:t>
      </w:r>
      <w:r w:rsidR="00933291">
        <w:t xml:space="preserve"> required for an area of activity that is not an essential infrastructure </w:t>
      </w:r>
      <w:r w:rsidR="00996147">
        <w:t>area of activity</w:t>
      </w:r>
      <w:r w:rsidR="00933291">
        <w:t xml:space="preserve">, and </w:t>
      </w:r>
      <w:r w:rsidR="0025331C">
        <w:t>provided</w:t>
      </w:r>
      <w:r w:rsidR="00933291">
        <w:t xml:space="preserve"> that due to </w:t>
      </w:r>
      <w:r w:rsidR="00996147">
        <w:t xml:space="preserve">its </w:t>
      </w:r>
      <w:r w:rsidR="00933291">
        <w:t xml:space="preserve">nature, </w:t>
      </w:r>
      <w:r w:rsidR="00996147">
        <w:t xml:space="preserve">its </w:t>
      </w:r>
      <w:r w:rsidR="00933291">
        <w:t xml:space="preserve">economic </w:t>
      </w:r>
      <w:r w:rsidR="002E678C">
        <w:t>value</w:t>
      </w:r>
      <w:r w:rsidR="00933291">
        <w:t xml:space="preserve"> or the law that applies to it, the number of operators in the industry in which</w:t>
      </w:r>
      <w:r w:rsidR="003105ED">
        <w:t xml:space="preserve"> </w:t>
      </w:r>
      <w:r w:rsidR="00933291">
        <w:t xml:space="preserve">the right is being </w:t>
      </w:r>
      <w:r w:rsidR="00551579">
        <w:t>allocat</w:t>
      </w:r>
      <w:r w:rsidR="00933291">
        <w:t xml:space="preserve">ed is </w:t>
      </w:r>
      <w:r w:rsidR="002E678C">
        <w:t>limited</w:t>
      </w:r>
      <w:r w:rsidR="00933291">
        <w:t xml:space="preserve">; </w:t>
      </w:r>
    </w:p>
    <w:p w:rsidR="00933291" w:rsidRDefault="00996147" w:rsidP="0088761B">
      <w:pPr>
        <w:pStyle w:val="a6"/>
      </w:pPr>
      <w:r>
        <w:t>“L</w:t>
      </w:r>
      <w:r w:rsidR="00933291">
        <w:t xml:space="preserve">ist of rights” – the list of rights published by the </w:t>
      </w:r>
      <w:r w:rsidR="00E32F8D">
        <w:t xml:space="preserve">General </w:t>
      </w:r>
      <w:r w:rsidR="00933291">
        <w:t xml:space="preserve">Director of the Antitrust Authority </w:t>
      </w:r>
      <w:r w:rsidR="002E678C">
        <w:t>according</w:t>
      </w:r>
      <w:r w:rsidR="00933291">
        <w:t xml:space="preserve"> to paragraph 13. </w:t>
      </w:r>
    </w:p>
    <w:p w:rsidR="00933291" w:rsidRDefault="00933291" w:rsidP="0088761B">
      <w:pPr>
        <w:pStyle w:val="a6"/>
      </w:pPr>
    </w:p>
    <w:p w:rsidR="00933291" w:rsidRDefault="00090A83" w:rsidP="00996147">
      <w:pPr>
        <w:pStyle w:val="a6"/>
        <w:numPr>
          <w:ilvl w:val="5"/>
          <w:numId w:val="1"/>
        </w:numPr>
        <w:ind w:left="426"/>
      </w:pPr>
      <w:r>
        <w:t xml:space="preserve">Competitiveness </w:t>
      </w:r>
      <w:r w:rsidR="00933291">
        <w:t xml:space="preserve">considerations in the </w:t>
      </w:r>
      <w:r w:rsidR="00551579">
        <w:t>allocation</w:t>
      </w:r>
      <w:r w:rsidR="00933291">
        <w:t xml:space="preserve"> of a right</w:t>
      </w:r>
    </w:p>
    <w:p w:rsidR="00933291" w:rsidRDefault="00933291">
      <w:pPr>
        <w:pStyle w:val="a6"/>
        <w:numPr>
          <w:ilvl w:val="0"/>
          <w:numId w:val="22"/>
        </w:numPr>
      </w:pPr>
      <w:r>
        <w:t xml:space="preserve">In the </w:t>
      </w:r>
      <w:r w:rsidR="00551579">
        <w:t>allocation</w:t>
      </w:r>
      <w:r>
        <w:t xml:space="preserve"> of a right and the </w:t>
      </w:r>
      <w:r w:rsidR="002E678C">
        <w:t>determination of</w:t>
      </w:r>
      <w:r>
        <w:t xml:space="preserve"> </w:t>
      </w:r>
      <w:r w:rsidR="002E678C">
        <w:t>conditions</w:t>
      </w:r>
      <w:r>
        <w:t xml:space="preserve"> for that right, the regulator will take into account, in addition to any other consideration he </w:t>
      </w:r>
      <w:r w:rsidR="00D20C2E">
        <w:t>is required to t</w:t>
      </w:r>
      <w:r>
        <w:t xml:space="preserve">ake into account according to law in the matter of the allocation, considerations </w:t>
      </w:r>
      <w:r w:rsidR="002E678C">
        <w:t>related</w:t>
      </w:r>
      <w:r>
        <w:t xml:space="preserve"> to the </w:t>
      </w:r>
      <w:r w:rsidR="00837D15">
        <w:t xml:space="preserve">promotion </w:t>
      </w:r>
      <w:r>
        <w:t xml:space="preserve">of </w:t>
      </w:r>
      <w:r w:rsidR="00837D15">
        <w:t xml:space="preserve">industry </w:t>
      </w:r>
      <w:r w:rsidR="00090A83">
        <w:t xml:space="preserve">competitiveness </w:t>
      </w:r>
      <w:r>
        <w:t xml:space="preserve">. </w:t>
      </w:r>
    </w:p>
    <w:p w:rsidR="006F4575" w:rsidRDefault="006F4575">
      <w:pPr>
        <w:pStyle w:val="a6"/>
        <w:numPr>
          <w:ilvl w:val="0"/>
          <w:numId w:val="22"/>
        </w:numPr>
      </w:pPr>
      <w:r>
        <w:t>If the right mentioned in subparagraph (a) is included in the list of rights, the regulator will</w:t>
      </w:r>
      <w:r w:rsidR="003105ED">
        <w:t xml:space="preserve"> </w:t>
      </w:r>
      <w:r w:rsidR="00551579">
        <w:t>allocate</w:t>
      </w:r>
      <w:r>
        <w:t xml:space="preserve"> </w:t>
      </w:r>
      <w:r w:rsidR="00DA5B4B">
        <w:t>that</w:t>
      </w:r>
      <w:r>
        <w:t xml:space="preserve"> right only after he has taken into account considerations of industry </w:t>
      </w:r>
      <w:r w:rsidR="00090A83">
        <w:t xml:space="preserve">competitiveness </w:t>
      </w:r>
      <w:r>
        <w:t xml:space="preserve">as mentioned in subparagraph (a), in consultation with the </w:t>
      </w:r>
      <w:r w:rsidR="00E32F8D">
        <w:t xml:space="preserve">General </w:t>
      </w:r>
      <w:r>
        <w:t xml:space="preserve">Director of the Antitrust Authority. </w:t>
      </w:r>
    </w:p>
    <w:p w:rsidR="00382888" w:rsidRDefault="006F4575">
      <w:pPr>
        <w:pStyle w:val="a6"/>
        <w:numPr>
          <w:ilvl w:val="0"/>
          <w:numId w:val="22"/>
        </w:numPr>
      </w:pPr>
      <w:r>
        <w:t xml:space="preserve">(1) </w:t>
      </w:r>
      <w:r w:rsidR="00382888">
        <w:t xml:space="preserve">The entity that is authorized according to the law that applies to the </w:t>
      </w:r>
      <w:r w:rsidR="00551579">
        <w:t>allocation</w:t>
      </w:r>
      <w:r w:rsidR="00382888">
        <w:t xml:space="preserve"> to determine rules in this matter, has the right, in the manner determined in that law, after he has taken into account industry </w:t>
      </w:r>
      <w:r w:rsidR="000860FC">
        <w:t xml:space="preserve">competitiveness </w:t>
      </w:r>
      <w:r w:rsidR="00382888">
        <w:t xml:space="preserve">considerations as mentioned in subparagraph (a), to determined rules, instructions and </w:t>
      </w:r>
      <w:r w:rsidR="002E678C">
        <w:t>conditions</w:t>
      </w:r>
      <w:r w:rsidR="00382888">
        <w:t xml:space="preserve"> in the matter of the </w:t>
      </w:r>
      <w:r w:rsidR="00551579">
        <w:t>allocation</w:t>
      </w:r>
      <w:r w:rsidR="00382888">
        <w:t xml:space="preserve"> of the right which </w:t>
      </w:r>
      <w:r w:rsidR="000860FC">
        <w:t xml:space="preserve">can </w:t>
      </w:r>
      <w:r w:rsidR="00382888">
        <w:t xml:space="preserve">encourage industry </w:t>
      </w:r>
      <w:r w:rsidR="000860FC">
        <w:t>competitiveness</w:t>
      </w:r>
      <w:r w:rsidR="00382888">
        <w:t xml:space="preserve">; </w:t>
      </w:r>
    </w:p>
    <w:p w:rsidR="00EE7C52" w:rsidRDefault="00EE7C52" w:rsidP="00EE7C52">
      <w:pPr>
        <w:pStyle w:val="a6"/>
        <w:ind w:left="1080"/>
      </w:pPr>
      <w:r>
        <w:t>(2) If the right mentioned in clause (1) is a license appearing in the list of rights, which because of it</w:t>
      </w:r>
      <w:r w:rsidR="00DA5B4B">
        <w:t>s</w:t>
      </w:r>
      <w:r>
        <w:t xml:space="preserve"> nature, </w:t>
      </w:r>
      <w:r w:rsidR="00DA5B4B">
        <w:t xml:space="preserve">its </w:t>
      </w:r>
      <w:r>
        <w:t xml:space="preserve">economic value or </w:t>
      </w:r>
      <w:r w:rsidR="002E678C">
        <w:t>the law</w:t>
      </w:r>
      <w:r>
        <w:t xml:space="preserve"> which applies to it</w:t>
      </w:r>
      <w:r w:rsidR="006F2215">
        <w:t>,</w:t>
      </w:r>
      <w:r>
        <w:t xml:space="preserve"> is being granted to at least five different applicants annually, and rules </w:t>
      </w:r>
      <w:r w:rsidR="002E678C">
        <w:t>according</w:t>
      </w:r>
      <w:r>
        <w:t xml:space="preserve"> to that clause have been established in consultation with the </w:t>
      </w:r>
      <w:r w:rsidR="00E32F8D">
        <w:t xml:space="preserve">General </w:t>
      </w:r>
      <w:r>
        <w:t xml:space="preserve">Director of the Antitrust Authority, the regulator has the right to </w:t>
      </w:r>
      <w:r w:rsidR="00551579">
        <w:t>allocate</w:t>
      </w:r>
      <w:r>
        <w:t xml:space="preserve"> the right, even without consulting with the </w:t>
      </w:r>
      <w:r w:rsidR="00E32F8D">
        <w:t xml:space="preserve">General </w:t>
      </w:r>
      <w:r>
        <w:t xml:space="preserve">Director </w:t>
      </w:r>
      <w:r w:rsidR="002E678C">
        <w:t>according</w:t>
      </w:r>
      <w:r>
        <w:t xml:space="preserve"> to subparagraph (b); </w:t>
      </w:r>
    </w:p>
    <w:p w:rsidR="00EE7C52" w:rsidRDefault="00EE7C52" w:rsidP="00EE7C52">
      <w:pPr>
        <w:pStyle w:val="a6"/>
        <w:ind w:left="1080"/>
      </w:pPr>
      <w:r>
        <w:t xml:space="preserve">(3) The period during which the rules according to this subparagraph are </w:t>
      </w:r>
      <w:r w:rsidR="002E678C">
        <w:t>valid</w:t>
      </w:r>
      <w:r>
        <w:t xml:space="preserve"> will be determined in accordance with the instructions of the </w:t>
      </w:r>
      <w:r w:rsidR="00E32F8D">
        <w:t xml:space="preserve">General </w:t>
      </w:r>
      <w:r>
        <w:t xml:space="preserve">Director of the Antitrust Authority and </w:t>
      </w:r>
      <w:r w:rsidR="0025331C">
        <w:t>provided</w:t>
      </w:r>
      <w:r>
        <w:t xml:space="preserve"> that the period does not exceed five years. </w:t>
      </w:r>
    </w:p>
    <w:p w:rsidR="00EE7C52" w:rsidRDefault="00EE7C52" w:rsidP="003C54B3">
      <w:pPr>
        <w:pStyle w:val="a6"/>
        <w:numPr>
          <w:ilvl w:val="0"/>
          <w:numId w:val="22"/>
        </w:numPr>
      </w:pPr>
      <w:r>
        <w:t xml:space="preserve">The instructions of this paragraph will </w:t>
      </w:r>
      <w:r w:rsidR="002E678C">
        <w:t>apply</w:t>
      </w:r>
      <w:r>
        <w:t xml:space="preserve"> </w:t>
      </w:r>
      <w:r w:rsidR="003C54B3">
        <w:t>notwithstanding</w:t>
      </w:r>
      <w:r>
        <w:t xml:space="preserve"> what is stated in any other</w:t>
      </w:r>
      <w:r w:rsidR="003105ED">
        <w:t xml:space="preserve"> </w:t>
      </w:r>
      <w:r>
        <w:t xml:space="preserve">law. </w:t>
      </w:r>
    </w:p>
    <w:p w:rsidR="003C54B3" w:rsidRDefault="003C54B3" w:rsidP="003C54B3">
      <w:pPr>
        <w:pStyle w:val="a6"/>
        <w:ind w:left="426"/>
      </w:pPr>
    </w:p>
    <w:p w:rsidR="00EE7C52" w:rsidRDefault="00EE7C52">
      <w:pPr>
        <w:pStyle w:val="a6"/>
        <w:numPr>
          <w:ilvl w:val="5"/>
          <w:numId w:val="1"/>
        </w:numPr>
        <w:ind w:left="426"/>
      </w:pPr>
      <w:r>
        <w:t xml:space="preserve">Application to the </w:t>
      </w:r>
      <w:r w:rsidR="00E32F8D">
        <w:t xml:space="preserve">General </w:t>
      </w:r>
      <w:r>
        <w:t xml:space="preserve">Director of the Antitrust </w:t>
      </w:r>
      <w:r w:rsidR="002E678C">
        <w:t>Authority</w:t>
      </w:r>
      <w:r>
        <w:t xml:space="preserve"> to receive his </w:t>
      </w:r>
      <w:r w:rsidR="000860FC">
        <w:t xml:space="preserve">opinion </w:t>
      </w:r>
      <w:r w:rsidR="00E72030">
        <w:t xml:space="preserve">and the work of the </w:t>
      </w:r>
      <w:r w:rsidR="00E32F8D">
        <w:t xml:space="preserve">General </w:t>
      </w:r>
      <w:r w:rsidR="00E72030">
        <w:t>Director</w:t>
      </w:r>
    </w:p>
    <w:p w:rsidR="00E72030" w:rsidRDefault="00554030" w:rsidP="003C54B3">
      <w:pPr>
        <w:pStyle w:val="a6"/>
        <w:numPr>
          <w:ilvl w:val="0"/>
          <w:numId w:val="23"/>
        </w:numPr>
      </w:pPr>
      <w:r>
        <w:t xml:space="preserve">A regulator that is seeking to </w:t>
      </w:r>
      <w:r w:rsidR="00551579">
        <w:t>allocate</w:t>
      </w:r>
      <w:r>
        <w:t xml:space="preserve"> a right included in the list of rights will notify the </w:t>
      </w:r>
      <w:r w:rsidR="00E32F8D">
        <w:t xml:space="preserve">General </w:t>
      </w:r>
      <w:r>
        <w:t xml:space="preserve">Director of the Antitrust Authority in writing, including justifying </w:t>
      </w:r>
      <w:r w:rsidR="002E678C">
        <w:t>arguments</w:t>
      </w:r>
      <w:r>
        <w:t xml:space="preserve">, for the purpose of consultation according to </w:t>
      </w:r>
      <w:r w:rsidR="002E678C">
        <w:t>paragraph</w:t>
      </w:r>
      <w:r>
        <w:t xml:space="preserve"> 11(b), when formulating the conditions for the aforementioned allocation or at a different stage, </w:t>
      </w:r>
      <w:r w:rsidR="003C54B3">
        <w:t xml:space="preserve">but </w:t>
      </w:r>
      <w:r>
        <w:t xml:space="preserve">as early as possible; </w:t>
      </w:r>
      <w:r w:rsidR="003C54B3">
        <w:t>t</w:t>
      </w:r>
      <w:r>
        <w:t xml:space="preserve">he instructions of </w:t>
      </w:r>
      <w:r w:rsidR="002E678C">
        <w:t>paragraph</w:t>
      </w:r>
      <w:r>
        <w:t xml:space="preserve"> 6(b) to (f) will </w:t>
      </w:r>
      <w:r w:rsidR="002E678C">
        <w:t>apply</w:t>
      </w:r>
      <w:r>
        <w:t xml:space="preserve"> to the notification, with the necessary modifications and the following modifications: </w:t>
      </w:r>
    </w:p>
    <w:p w:rsidR="00554030" w:rsidRDefault="00554030" w:rsidP="003C54B3">
      <w:pPr>
        <w:pStyle w:val="a6"/>
        <w:numPr>
          <w:ilvl w:val="0"/>
          <w:numId w:val="24"/>
        </w:numPr>
      </w:pPr>
      <w:r>
        <w:lastRenderedPageBreak/>
        <w:t xml:space="preserve">Notwithstanding the instructions of </w:t>
      </w:r>
      <w:r w:rsidR="003C54B3">
        <w:t>p</w:t>
      </w:r>
      <w:r>
        <w:t xml:space="preserve">aragraph 6(b) – the period in which the </w:t>
      </w:r>
      <w:r w:rsidR="00E32F8D">
        <w:t xml:space="preserve">General </w:t>
      </w:r>
      <w:r>
        <w:t xml:space="preserve">Director of the Antitrust Authority will announce his intention of advising the regulator will </w:t>
      </w:r>
      <w:r w:rsidR="003C54B3">
        <w:t xml:space="preserve">be </w:t>
      </w:r>
      <w:r>
        <w:t xml:space="preserve">30 days. </w:t>
      </w:r>
    </w:p>
    <w:p w:rsidR="00554030" w:rsidRDefault="00554030" w:rsidP="006F2215">
      <w:pPr>
        <w:pStyle w:val="a6"/>
        <w:numPr>
          <w:ilvl w:val="0"/>
          <w:numId w:val="24"/>
        </w:numPr>
      </w:pPr>
      <w:r>
        <w:t>Notwithstanding the instructions of paragraph 6</w:t>
      </w:r>
      <w:r w:rsidR="003C54B3">
        <w:t>(c)</w:t>
      </w:r>
      <w:r>
        <w:t xml:space="preserve"> </w:t>
      </w:r>
      <w:r w:rsidR="006F2215">
        <w:t>–</w:t>
      </w:r>
      <w:r>
        <w:t xml:space="preserve"> the period in which the </w:t>
      </w:r>
      <w:r w:rsidR="00E32F8D">
        <w:t xml:space="preserve">General </w:t>
      </w:r>
      <w:r>
        <w:t xml:space="preserve">Director of the Antitrust Authority is to provide his ruling will not exceed 90 days from the delivery of the notification mentioned in clause (1). </w:t>
      </w:r>
    </w:p>
    <w:p w:rsidR="00554030" w:rsidRDefault="004D477D" w:rsidP="003C54B3">
      <w:pPr>
        <w:pStyle w:val="a6"/>
        <w:numPr>
          <w:ilvl w:val="0"/>
          <w:numId w:val="23"/>
        </w:numPr>
      </w:pPr>
      <w:r>
        <w:t xml:space="preserve">The instructions of paragraph 7 will apply to the work of the </w:t>
      </w:r>
      <w:r w:rsidR="00E32F8D">
        <w:t xml:space="preserve">General </w:t>
      </w:r>
      <w:r>
        <w:t>Director of the Antitrust Authority, with the necessary modifications.</w:t>
      </w:r>
    </w:p>
    <w:p w:rsidR="00ED7172" w:rsidRDefault="00ED7172" w:rsidP="00ED7172">
      <w:pPr>
        <w:pStyle w:val="a6"/>
        <w:ind w:left="1080"/>
      </w:pPr>
    </w:p>
    <w:p w:rsidR="004D477D" w:rsidRDefault="004D477D" w:rsidP="003C54B3">
      <w:pPr>
        <w:pStyle w:val="a6"/>
        <w:numPr>
          <w:ilvl w:val="5"/>
          <w:numId w:val="1"/>
        </w:numPr>
        <w:ind w:left="426"/>
      </w:pPr>
      <w:r>
        <w:t>The list of rights</w:t>
      </w:r>
    </w:p>
    <w:p w:rsidR="004D477D" w:rsidRDefault="008B78B8" w:rsidP="00AD1345">
      <w:pPr>
        <w:pStyle w:val="a6"/>
        <w:numPr>
          <w:ilvl w:val="0"/>
          <w:numId w:val="25"/>
        </w:numPr>
      </w:pPr>
      <w:r>
        <w:t xml:space="preserve">If the </w:t>
      </w:r>
      <w:r w:rsidR="00E32F8D">
        <w:t xml:space="preserve">General </w:t>
      </w:r>
      <w:r>
        <w:t xml:space="preserve">Director of the Antitrust Authority </w:t>
      </w:r>
      <w:r w:rsidR="000860FC">
        <w:t xml:space="preserve">thought </w:t>
      </w:r>
      <w:r>
        <w:t xml:space="preserve">that the </w:t>
      </w:r>
      <w:r w:rsidR="00551579">
        <w:t>allocation</w:t>
      </w:r>
      <w:r>
        <w:t xml:space="preserve"> of the right </w:t>
      </w:r>
      <w:r w:rsidR="000860FC">
        <w:t xml:space="preserve">might </w:t>
      </w:r>
      <w:r>
        <w:t xml:space="preserve">have a major influence on competition, he has the right to include the right in the list of rights that require consultation with him </w:t>
      </w:r>
      <w:r w:rsidR="002E678C">
        <w:t>according</w:t>
      </w:r>
      <w:r>
        <w:t xml:space="preserve"> to paragraph</w:t>
      </w:r>
      <w:r w:rsidR="003105ED">
        <w:t xml:space="preserve"> </w:t>
      </w:r>
      <w:r w:rsidR="00ED7172">
        <w:t>11(b); t</w:t>
      </w:r>
      <w:r>
        <w:t xml:space="preserve">he </w:t>
      </w:r>
      <w:r w:rsidR="00E32F8D">
        <w:t xml:space="preserve">General </w:t>
      </w:r>
      <w:r w:rsidR="002E678C">
        <w:t>Director</w:t>
      </w:r>
      <w:r>
        <w:t xml:space="preserve"> of the Antitrust Authority will include a right within the list according to this subparagraph only after he has notified, in writing, the regulator responsible according to law for the </w:t>
      </w:r>
      <w:r w:rsidR="00551579">
        <w:t>allocation</w:t>
      </w:r>
      <w:r>
        <w:t xml:space="preserve"> of the aforementioned right of his intention </w:t>
      </w:r>
      <w:r w:rsidR="00ED7172">
        <w:t>to</w:t>
      </w:r>
      <w:r>
        <w:t xml:space="preserve"> do so, in order to enable the regulator to submit his position in </w:t>
      </w:r>
      <w:r w:rsidR="002E678C">
        <w:t>writing</w:t>
      </w:r>
      <w:r>
        <w:t xml:space="preserve">, within 30 days, if the regulator wishes to do so. </w:t>
      </w:r>
    </w:p>
    <w:p w:rsidR="008B78B8" w:rsidRPr="002B59FD" w:rsidRDefault="008B78B8">
      <w:pPr>
        <w:pStyle w:val="a6"/>
        <w:numPr>
          <w:ilvl w:val="0"/>
          <w:numId w:val="25"/>
        </w:numPr>
      </w:pPr>
      <w:r w:rsidRPr="002B59FD">
        <w:t>The list of rights according to subparagraph (a) and any</w:t>
      </w:r>
      <w:r w:rsidR="003105ED" w:rsidRPr="002B59FD">
        <w:t xml:space="preserve"> </w:t>
      </w:r>
      <w:r w:rsidRPr="002B59FD">
        <w:t xml:space="preserve">revision of it will be published in </w:t>
      </w:r>
      <w:r w:rsidR="00AD1345" w:rsidRPr="002B59FD">
        <w:t xml:space="preserve">the </w:t>
      </w:r>
      <w:r w:rsidR="002B59FD" w:rsidRPr="00311544">
        <w:t>Official Gazette</w:t>
      </w:r>
      <w:r w:rsidRPr="002B59FD">
        <w:t xml:space="preserve"> and on the Antitrust Authority</w:t>
      </w:r>
      <w:r w:rsidR="00AD1345" w:rsidRPr="002B59FD">
        <w:t xml:space="preserve"> website</w:t>
      </w:r>
      <w:r w:rsidRPr="002B59FD">
        <w:t xml:space="preserve">. </w:t>
      </w:r>
    </w:p>
    <w:p w:rsidR="002656FD" w:rsidRDefault="002656FD" w:rsidP="002656FD">
      <w:pPr>
        <w:pStyle w:val="a6"/>
        <w:ind w:left="1080"/>
      </w:pPr>
    </w:p>
    <w:p w:rsidR="008B78B8" w:rsidRDefault="00F43A2A">
      <w:pPr>
        <w:pStyle w:val="a6"/>
        <w:numPr>
          <w:ilvl w:val="5"/>
          <w:numId w:val="1"/>
        </w:numPr>
        <w:ind w:left="426"/>
      </w:pPr>
      <w:r>
        <w:t>I</w:t>
      </w:r>
      <w:r w:rsidR="00C27E8F">
        <w:t xml:space="preserve">ndustry </w:t>
      </w:r>
      <w:r>
        <w:t xml:space="preserve">competitiveness </w:t>
      </w:r>
      <w:r w:rsidR="00C27E8F">
        <w:t xml:space="preserve">considerations in procedures according to the </w:t>
      </w:r>
      <w:r w:rsidR="002E678C">
        <w:t>Government</w:t>
      </w:r>
      <w:r w:rsidR="00C27E8F">
        <w:t xml:space="preserve"> Companies Law</w:t>
      </w:r>
    </w:p>
    <w:p w:rsidR="00C27E8F" w:rsidRDefault="002E678C">
      <w:pPr>
        <w:pStyle w:val="a6"/>
        <w:numPr>
          <w:ilvl w:val="0"/>
          <w:numId w:val="26"/>
        </w:numPr>
      </w:pPr>
      <w:r>
        <w:t>The Government Companies Authority will take into account, in addition to any other consideration it is required to take into account</w:t>
      </w:r>
      <w:r w:rsidR="00F43A2A" w:rsidRPr="00F43A2A">
        <w:t xml:space="preserve"> </w:t>
      </w:r>
      <w:r w:rsidR="00F43A2A">
        <w:t>by law</w:t>
      </w:r>
      <w:r>
        <w:t>, considerations of encourag</w:t>
      </w:r>
      <w:r w:rsidR="00ED7172">
        <w:t>ing</w:t>
      </w:r>
      <w:r>
        <w:t xml:space="preserve"> industry </w:t>
      </w:r>
      <w:r w:rsidR="00F43A2A">
        <w:t>competitiveness</w:t>
      </w:r>
      <w:r>
        <w:t xml:space="preserve">, prior to formulating its </w:t>
      </w:r>
      <w:r w:rsidR="00F43A2A">
        <w:t xml:space="preserve">opinion </w:t>
      </w:r>
      <w:r>
        <w:t xml:space="preserve">or memorandum according to </w:t>
      </w:r>
      <w:r w:rsidR="00ED7172">
        <w:t>p</w:t>
      </w:r>
      <w:r>
        <w:t xml:space="preserve">aragraph 59b of the Government Companies Law, with regard to the possibility of allocating a right </w:t>
      </w:r>
      <w:r w:rsidR="00ED7172">
        <w:t xml:space="preserve">as part of a </w:t>
      </w:r>
      <w:r>
        <w:t>privatization and the conditions accompany</w:t>
      </w:r>
      <w:r w:rsidR="00ED7172">
        <w:t>ing</w:t>
      </w:r>
      <w:r>
        <w:t xml:space="preserve"> it; if the right is included in the list of rights, the Government Companies Authority will consult with the </w:t>
      </w:r>
      <w:r w:rsidR="00E32F8D">
        <w:t xml:space="preserve">General </w:t>
      </w:r>
      <w:r>
        <w:t xml:space="preserve">Director of the Antitrust Authority regarding the aforementioned considerations; the </w:t>
      </w:r>
      <w:r w:rsidR="00E32F8D">
        <w:t xml:space="preserve">General </w:t>
      </w:r>
      <w:r>
        <w:t xml:space="preserve">Director’s </w:t>
      </w:r>
      <w:r w:rsidR="00F43A2A">
        <w:t xml:space="preserve">opinion </w:t>
      </w:r>
      <w:r>
        <w:t xml:space="preserve">will be attached to the </w:t>
      </w:r>
      <w:r w:rsidR="00F43A2A">
        <w:t xml:space="preserve">opinion </w:t>
      </w:r>
      <w:r>
        <w:t xml:space="preserve">or memorandum of the Government Companies authority and the privatization decision according to </w:t>
      </w:r>
      <w:r w:rsidR="00ED7172">
        <w:t>p</w:t>
      </w:r>
      <w:r>
        <w:t xml:space="preserve">aragraph 59b of the </w:t>
      </w:r>
      <w:r w:rsidR="00ED7172">
        <w:t>G</w:t>
      </w:r>
      <w:r>
        <w:t xml:space="preserve">overnment Companies Law </w:t>
      </w:r>
      <w:r w:rsidR="006F2215">
        <w:t>which</w:t>
      </w:r>
      <w:r>
        <w:t xml:space="preserve"> has been made according to the instructions of this subparagraph, </w:t>
      </w:r>
      <w:r w:rsidR="00ED7172">
        <w:t xml:space="preserve">will be viewed </w:t>
      </w:r>
      <w:r>
        <w:t xml:space="preserve">as a decision made according to the instructions of </w:t>
      </w:r>
      <w:r w:rsidR="00ED7172">
        <w:t>p</w:t>
      </w:r>
      <w:r>
        <w:t xml:space="preserve">aragraph 11(b). </w:t>
      </w:r>
    </w:p>
    <w:p w:rsidR="008A66D5" w:rsidRDefault="008A66D5">
      <w:pPr>
        <w:pStyle w:val="a6"/>
        <w:numPr>
          <w:ilvl w:val="0"/>
          <w:numId w:val="26"/>
        </w:numPr>
      </w:pPr>
      <w:r>
        <w:t xml:space="preserve">The Government Companies Authority will consult with the </w:t>
      </w:r>
      <w:r w:rsidR="00E32F8D">
        <w:t xml:space="preserve">General </w:t>
      </w:r>
      <w:r>
        <w:t xml:space="preserve">Director of the Antitrust Authority with regard to considerations of encouraging industry </w:t>
      </w:r>
      <w:r w:rsidR="00F43A2A">
        <w:t>competitiveness</w:t>
      </w:r>
      <w:r>
        <w:t xml:space="preserve">, prior to formulating its </w:t>
      </w:r>
      <w:r w:rsidR="002E678C">
        <w:t>position</w:t>
      </w:r>
      <w:r>
        <w:t xml:space="preserve"> according to paragraph 59h(a) of the </w:t>
      </w:r>
      <w:r w:rsidR="002E678C">
        <w:t>Government</w:t>
      </w:r>
      <w:r>
        <w:t xml:space="preserve"> Companies Law, with respect to a declaration by order that the State has an essential interest as stated in clause (4) of the definition “essential interest</w:t>
      </w:r>
      <w:r w:rsidR="00ED7172">
        <w:t>”</w:t>
      </w:r>
      <w:r>
        <w:t xml:space="preserve"> in that </w:t>
      </w:r>
      <w:r w:rsidR="00ED7172">
        <w:t>paragraph,</w:t>
      </w:r>
      <w:r>
        <w:t xml:space="preserve"> with respect to </w:t>
      </w:r>
      <w:r w:rsidR="00551579">
        <w:t>allocation</w:t>
      </w:r>
      <w:r>
        <w:t xml:space="preserve"> of a right that is included in the list of rights; however, if the </w:t>
      </w:r>
      <w:r w:rsidR="00F43A2A">
        <w:t xml:space="preserve">opinion </w:t>
      </w:r>
      <w:r>
        <w:t xml:space="preserve">of the </w:t>
      </w:r>
      <w:r w:rsidR="00E32F8D">
        <w:t xml:space="preserve">General </w:t>
      </w:r>
      <w:r>
        <w:t xml:space="preserve">Director according to subparagraph (a) also </w:t>
      </w:r>
      <w:r w:rsidR="002E678C">
        <w:t>included</w:t>
      </w:r>
      <w:r>
        <w:t xml:space="preserve"> a </w:t>
      </w:r>
      <w:r w:rsidR="002E678C">
        <w:t>ruling</w:t>
      </w:r>
      <w:r>
        <w:t xml:space="preserve"> regarding a declaration by</w:t>
      </w:r>
      <w:r w:rsidR="003105ED">
        <w:t xml:space="preserve"> </w:t>
      </w:r>
      <w:r>
        <w:t xml:space="preserve">order that </w:t>
      </w:r>
      <w:r>
        <w:lastRenderedPageBreak/>
        <w:t xml:space="preserve">the State has such an essential interest, no further consultation will be required in this matter, </w:t>
      </w:r>
      <w:r w:rsidR="002E678C">
        <w:t>according</w:t>
      </w:r>
      <w:r>
        <w:t xml:space="preserve"> to the instructions of this subparagraph. </w:t>
      </w:r>
    </w:p>
    <w:p w:rsidR="008A66D5" w:rsidRDefault="008A66D5" w:rsidP="008A66D5">
      <w:pPr>
        <w:jc w:val="center"/>
      </w:pPr>
      <w:r>
        <w:t>Section D: Miscellaneous Instructions</w:t>
      </w:r>
    </w:p>
    <w:p w:rsidR="008A66D5" w:rsidRDefault="008A66D5" w:rsidP="00ED7172">
      <w:pPr>
        <w:pStyle w:val="a6"/>
        <w:numPr>
          <w:ilvl w:val="5"/>
          <w:numId w:val="1"/>
        </w:numPr>
        <w:ind w:left="426"/>
      </w:pPr>
      <w:r>
        <w:t>Annual report to the</w:t>
      </w:r>
      <w:r w:rsidR="003105ED">
        <w:t xml:space="preserve"> </w:t>
      </w:r>
      <w:r>
        <w:t>Government and the Knesset</w:t>
      </w:r>
    </w:p>
    <w:p w:rsidR="008A66D5" w:rsidRDefault="008A66D5">
      <w:pPr>
        <w:pStyle w:val="a6"/>
      </w:pPr>
      <w:r>
        <w:t xml:space="preserve">The </w:t>
      </w:r>
      <w:r w:rsidR="00F43A2A">
        <w:t xml:space="preserve">Committee for the Reduction of Competition </w:t>
      </w:r>
      <w:r w:rsidR="00FD4ED8">
        <w:t xml:space="preserve">will report to the </w:t>
      </w:r>
      <w:r w:rsidR="002E678C">
        <w:t>Government</w:t>
      </w:r>
      <w:r w:rsidR="00FD4ED8">
        <w:t xml:space="preserve"> annually on the </w:t>
      </w:r>
      <w:r w:rsidR="00ED7172">
        <w:t>procedures</w:t>
      </w:r>
      <w:r w:rsidR="00FD4ED8">
        <w:t xml:space="preserve"> that have taken place according to </w:t>
      </w:r>
      <w:r w:rsidR="002E678C">
        <w:t>Section</w:t>
      </w:r>
      <w:r w:rsidR="00FD4ED8">
        <w:t xml:space="preserve"> B in consultation </w:t>
      </w:r>
      <w:r w:rsidR="002E678C">
        <w:t>with</w:t>
      </w:r>
      <w:r w:rsidR="00ED7172">
        <w:t xml:space="preserve"> it</w:t>
      </w:r>
      <w:r w:rsidR="002E678C">
        <w:t xml:space="preserve"> and</w:t>
      </w:r>
      <w:r w:rsidR="00FD4ED8">
        <w:t xml:space="preserve"> also the considerations it took into account in formulat</w:t>
      </w:r>
      <w:r w:rsidR="00ED7172">
        <w:t>ing</w:t>
      </w:r>
      <w:r w:rsidR="00FD4ED8">
        <w:t xml:space="preserve"> it</w:t>
      </w:r>
      <w:r w:rsidR="006F2215">
        <w:t>s</w:t>
      </w:r>
      <w:r w:rsidR="00FD4ED8">
        <w:t xml:space="preserve"> </w:t>
      </w:r>
      <w:r w:rsidR="00F43A2A">
        <w:t xml:space="preserve">opinion </w:t>
      </w:r>
      <w:r w:rsidR="00FD4ED8">
        <w:t xml:space="preserve">during that period (in this paragraph – the annual report), and will submit the annual report, after it has been submitted to the </w:t>
      </w:r>
      <w:r w:rsidR="00ED7172">
        <w:t>G</w:t>
      </w:r>
      <w:r w:rsidR="00FD4ED8">
        <w:t xml:space="preserve">overnment, to the Finance Committee of the Knesset. </w:t>
      </w:r>
    </w:p>
    <w:p w:rsidR="00FD4ED8" w:rsidRDefault="00FD4ED8" w:rsidP="008A66D5">
      <w:pPr>
        <w:pStyle w:val="a6"/>
      </w:pPr>
    </w:p>
    <w:p w:rsidR="00FD4ED8" w:rsidRDefault="00FD4ED8" w:rsidP="00ED7172">
      <w:pPr>
        <w:pStyle w:val="a6"/>
        <w:numPr>
          <w:ilvl w:val="5"/>
          <w:numId w:val="1"/>
        </w:numPr>
        <w:ind w:left="426"/>
      </w:pPr>
      <w:r>
        <w:t>Change in the Schedule</w:t>
      </w:r>
    </w:p>
    <w:p w:rsidR="00FD4ED8" w:rsidRDefault="00FD4ED8">
      <w:pPr>
        <w:pStyle w:val="a6"/>
      </w:pPr>
      <w:r>
        <w:t xml:space="preserve">The </w:t>
      </w:r>
      <w:r w:rsidR="00903E5E">
        <w:t xml:space="preserve">Committee for the Reduction of </w:t>
      </w:r>
      <w:r>
        <w:t xml:space="preserve">Competition will annually submit to the </w:t>
      </w:r>
      <w:r w:rsidR="00ED7172">
        <w:t>G</w:t>
      </w:r>
      <w:r w:rsidR="002E678C">
        <w:t>overnment</w:t>
      </w:r>
      <w:r>
        <w:t xml:space="preserve"> its </w:t>
      </w:r>
      <w:r w:rsidR="00F43A2A">
        <w:t xml:space="preserve">opinion </w:t>
      </w:r>
      <w:r>
        <w:t xml:space="preserve">and recommendation regarding the need to amend the Schedule; </w:t>
      </w:r>
      <w:r w:rsidR="00ED7172">
        <w:t>t</w:t>
      </w:r>
      <w:r>
        <w:t xml:space="preserve">he </w:t>
      </w:r>
      <w:r w:rsidR="002E678C">
        <w:t>Government</w:t>
      </w:r>
      <w:r>
        <w:t xml:space="preserve"> has the right after it has received the</w:t>
      </w:r>
      <w:r w:rsidR="009A08CC">
        <w:t xml:space="preserve"> </w:t>
      </w:r>
      <w:r w:rsidR="00F43A2A">
        <w:t xml:space="preserve">opinion </w:t>
      </w:r>
      <w:r>
        <w:t xml:space="preserve">and recommendation of the Committee, with the approval of the Finance Committee of the Knesset, to change, by order, the Schedule. </w:t>
      </w:r>
    </w:p>
    <w:p w:rsidR="00FD4ED8" w:rsidRDefault="00FD4ED8" w:rsidP="00FD4ED8">
      <w:pPr>
        <w:pStyle w:val="a6"/>
      </w:pPr>
    </w:p>
    <w:p w:rsidR="00FD4ED8" w:rsidRDefault="00FD4ED8" w:rsidP="00ED7172">
      <w:pPr>
        <w:pStyle w:val="a6"/>
        <w:numPr>
          <w:ilvl w:val="5"/>
          <w:numId w:val="1"/>
        </w:numPr>
        <w:ind w:left="426"/>
      </w:pPr>
      <w:r>
        <w:t xml:space="preserve">The </w:t>
      </w:r>
      <w:r w:rsidR="002E678C">
        <w:t>Government</w:t>
      </w:r>
      <w:r>
        <w:t xml:space="preserve"> decision regarding the definition of</w:t>
      </w:r>
      <w:r w:rsidR="00ED7172">
        <w:t xml:space="preserve"> a</w:t>
      </w:r>
      <w:r>
        <w:t xml:space="preserve"> “contract” </w:t>
      </w:r>
    </w:p>
    <w:p w:rsidR="007D6E6F" w:rsidRDefault="00FD4ED8">
      <w:pPr>
        <w:pStyle w:val="a6"/>
      </w:pPr>
      <w:r>
        <w:t xml:space="preserve">The </w:t>
      </w:r>
      <w:r w:rsidR="002E678C">
        <w:t>Government</w:t>
      </w:r>
      <w:r>
        <w:t xml:space="preserve"> has the right to exempt, </w:t>
      </w:r>
      <w:r w:rsidR="00ED7172">
        <w:t>by</w:t>
      </w:r>
      <w:r>
        <w:t xml:space="preserve"> deci</w:t>
      </w:r>
      <w:r w:rsidR="002E678C">
        <w:t>si</w:t>
      </w:r>
      <w:r>
        <w:t xml:space="preserve">on, with </w:t>
      </w:r>
      <w:r w:rsidR="00ED7172">
        <w:t xml:space="preserve">the </w:t>
      </w:r>
      <w:r>
        <w:t xml:space="preserve">approval of the Finance Committee of the Knesset, </w:t>
      </w:r>
      <w:r w:rsidR="007D6E6F">
        <w:t xml:space="preserve">government companies or corporations created by law, </w:t>
      </w:r>
      <w:r w:rsidR="003143A8">
        <w:t xml:space="preserve">from </w:t>
      </w:r>
      <w:r w:rsidR="007D6E6F">
        <w:t xml:space="preserve">clause (2) of the definition of a “contract” in paragraph 2; such a decision can be </w:t>
      </w:r>
      <w:r w:rsidR="009A08CC">
        <w:t xml:space="preserve">made </w:t>
      </w:r>
      <w:r w:rsidR="007D6E6F">
        <w:t>with respect to particular government companies or particular corporations created by law or a type of the aforementioned companies and corporations</w:t>
      </w:r>
      <w:r w:rsidR="003C79A3">
        <w:t>,</w:t>
      </w:r>
      <w:r w:rsidR="007D6E6F">
        <w:t xml:space="preserve"> and can be in the matter of engagement, in general</w:t>
      </w:r>
      <w:r w:rsidR="003C79A3">
        <w:t>,</w:t>
      </w:r>
      <w:r w:rsidR="007D6E6F">
        <w:t xml:space="preserve"> or in the matter of a specific engagement or type of engagement</w:t>
      </w:r>
      <w:r w:rsidR="003C79A3">
        <w:t>s</w:t>
      </w:r>
      <w:r w:rsidR="007D6E6F">
        <w:t xml:space="preserve">; the decision of the Government </w:t>
      </w:r>
      <w:r w:rsidR="002E678C">
        <w:t>according</w:t>
      </w:r>
      <w:r w:rsidR="007D6E6F">
        <w:t xml:space="preserve"> to this paragraph that applies in the matter of a </w:t>
      </w:r>
      <w:r w:rsidR="002E678C">
        <w:t>government</w:t>
      </w:r>
      <w:r w:rsidR="007D6E6F">
        <w:t xml:space="preserve"> company or a corporation created in law</w:t>
      </w:r>
      <w:r w:rsidR="003C79A3">
        <w:t>,</w:t>
      </w:r>
      <w:r w:rsidR="007D6E6F">
        <w:t xml:space="preserve"> will be made after the</w:t>
      </w:r>
      <w:r w:rsidR="003105ED">
        <w:t xml:space="preserve"> </w:t>
      </w:r>
      <w:r w:rsidR="007D6E6F">
        <w:t xml:space="preserve">opinions of the </w:t>
      </w:r>
      <w:r w:rsidR="002E678C">
        <w:t>Government</w:t>
      </w:r>
      <w:r w:rsidR="007D6E6F">
        <w:t xml:space="preserve"> Companies Authority and also of the </w:t>
      </w:r>
      <w:r w:rsidR="00E32F8D">
        <w:t xml:space="preserve">General </w:t>
      </w:r>
      <w:r w:rsidR="007D6E6F">
        <w:t xml:space="preserve">Director of the Antitrust Authority and the </w:t>
      </w:r>
      <w:r w:rsidR="00903E5E">
        <w:t xml:space="preserve">Committee for the Reduction of </w:t>
      </w:r>
      <w:r w:rsidR="007D6E6F">
        <w:t xml:space="preserve"> </w:t>
      </w:r>
      <w:r w:rsidR="00AE482D">
        <w:t>C</w:t>
      </w:r>
      <w:r w:rsidR="007D6E6F">
        <w:t>onc</w:t>
      </w:r>
      <w:r w:rsidR="002E678C">
        <w:t>en</w:t>
      </w:r>
      <w:r w:rsidR="007D6E6F">
        <w:t xml:space="preserve">tration on the aforementioned manner have been </w:t>
      </w:r>
      <w:r w:rsidR="00175296">
        <w:t>submitted</w:t>
      </w:r>
      <w:r w:rsidR="007D6E6F">
        <w:t xml:space="preserve"> to the Government; the decision of the </w:t>
      </w:r>
      <w:r w:rsidR="002E678C">
        <w:t>Government</w:t>
      </w:r>
      <w:r w:rsidR="007D6E6F">
        <w:t xml:space="preserve"> will be published on the Ministry of finance</w:t>
      </w:r>
      <w:r w:rsidR="003C79A3">
        <w:t xml:space="preserve"> website</w:t>
      </w:r>
      <w:r w:rsidR="007D6E6F">
        <w:t xml:space="preserve">. </w:t>
      </w:r>
    </w:p>
    <w:p w:rsidR="007D6E6F" w:rsidRDefault="007D6E6F" w:rsidP="007D6E6F">
      <w:pPr>
        <w:pStyle w:val="a6"/>
      </w:pPr>
    </w:p>
    <w:p w:rsidR="007D6E6F" w:rsidRDefault="007D6E6F" w:rsidP="00AE482D">
      <w:pPr>
        <w:pStyle w:val="a6"/>
        <w:numPr>
          <w:ilvl w:val="5"/>
          <w:numId w:val="1"/>
        </w:numPr>
        <w:ind w:left="426"/>
      </w:pPr>
      <w:r>
        <w:t>Law regarding the extension of a right</w:t>
      </w:r>
    </w:p>
    <w:p w:rsidR="00496F23" w:rsidRDefault="00496F23" w:rsidP="00AE482D">
      <w:pPr>
        <w:pStyle w:val="a6"/>
        <w:numPr>
          <w:ilvl w:val="0"/>
          <w:numId w:val="27"/>
        </w:numPr>
      </w:pPr>
      <w:r>
        <w:t xml:space="preserve">In this paragraph, “extension” of a right – extension of the validity of a license or a </w:t>
      </w:r>
      <w:r w:rsidR="00175296">
        <w:t>contract</w:t>
      </w:r>
      <w:r>
        <w:t xml:space="preserve"> or their renewal, </w:t>
      </w:r>
      <w:r w:rsidR="00AE482D">
        <w:t xml:space="preserve">or </w:t>
      </w:r>
      <w:r>
        <w:t xml:space="preserve">any other </w:t>
      </w:r>
      <w:r w:rsidR="00AE482D">
        <w:t>procedure</w:t>
      </w:r>
      <w:r>
        <w:t xml:space="preserve"> even if it is known by another name, </w:t>
      </w:r>
      <w:r w:rsidR="00AE482D">
        <w:t>which</w:t>
      </w:r>
      <w:r>
        <w:t xml:space="preserve"> enables the holder of a right to operate for an additional period. </w:t>
      </w:r>
    </w:p>
    <w:p w:rsidR="00496F23" w:rsidRDefault="00496F23" w:rsidP="009A08CC">
      <w:pPr>
        <w:pStyle w:val="a6"/>
        <w:numPr>
          <w:ilvl w:val="0"/>
          <w:numId w:val="27"/>
        </w:numPr>
      </w:pPr>
      <w:r>
        <w:t xml:space="preserve">The law for the extension of a right is equivalent to the law </w:t>
      </w:r>
      <w:r w:rsidR="009A08CC">
        <w:t>for</w:t>
      </w:r>
      <w:r>
        <w:t xml:space="preserve"> </w:t>
      </w:r>
      <w:r w:rsidR="00551579">
        <w:t>allocation</w:t>
      </w:r>
      <w:r>
        <w:t xml:space="preserve"> of a right and the instructions of Section B or </w:t>
      </w:r>
      <w:r w:rsidR="00175296">
        <w:t>Section</w:t>
      </w:r>
      <w:r>
        <w:t xml:space="preserve"> C of this Chapter, </w:t>
      </w:r>
      <w:r w:rsidR="000E6E5F">
        <w:t>accordingly</w:t>
      </w:r>
      <w:r>
        <w:t xml:space="preserve">, will apply if two of the following are </w:t>
      </w:r>
      <w:r w:rsidR="00882065">
        <w:t>fulfi</w:t>
      </w:r>
      <w:r w:rsidR="00CE50DB">
        <w:t>ll</w:t>
      </w:r>
      <w:r>
        <w:t xml:space="preserve">ed: </w:t>
      </w:r>
    </w:p>
    <w:p w:rsidR="000E6E5F" w:rsidRDefault="00496F23">
      <w:pPr>
        <w:pStyle w:val="a6"/>
        <w:numPr>
          <w:ilvl w:val="0"/>
          <w:numId w:val="28"/>
        </w:numPr>
      </w:pPr>
      <w:r>
        <w:t xml:space="preserve">The holder of a right for which an extension is </w:t>
      </w:r>
      <w:r w:rsidR="00175296">
        <w:t>requested</w:t>
      </w:r>
      <w:r>
        <w:t xml:space="preserve"> </w:t>
      </w:r>
      <w:r w:rsidR="000E6E5F">
        <w:t xml:space="preserve">holds it for a period that exceeds ten years, whether this </w:t>
      </w:r>
      <w:r w:rsidR="003143A8">
        <w:t xml:space="preserve">was </w:t>
      </w:r>
      <w:r w:rsidR="000E6E5F">
        <w:t xml:space="preserve">determined in a single </w:t>
      </w:r>
      <w:r w:rsidR="00551579">
        <w:t>allocation</w:t>
      </w:r>
      <w:r w:rsidR="000E6E5F">
        <w:t xml:space="preserve"> or has accumulated </w:t>
      </w:r>
      <w:r w:rsidR="006274DB">
        <w:t>over</w:t>
      </w:r>
      <w:r w:rsidR="000E6E5F">
        <w:t xml:space="preserve"> several </w:t>
      </w:r>
      <w:r w:rsidR="00551579">
        <w:t>allocation</w:t>
      </w:r>
      <w:r w:rsidR="00175296">
        <w:t>s</w:t>
      </w:r>
      <w:r w:rsidR="000E6E5F">
        <w:t xml:space="preserve">; </w:t>
      </w:r>
    </w:p>
    <w:p w:rsidR="000E6E5F" w:rsidRDefault="000E6E5F" w:rsidP="006274DB">
      <w:pPr>
        <w:pStyle w:val="a6"/>
        <w:numPr>
          <w:ilvl w:val="0"/>
          <w:numId w:val="28"/>
        </w:numPr>
      </w:pPr>
      <w:r>
        <w:lastRenderedPageBreak/>
        <w:t xml:space="preserve">The </w:t>
      </w:r>
      <w:r w:rsidR="00551579">
        <w:t>allocation</w:t>
      </w:r>
      <w:r>
        <w:t xml:space="preserve"> of the right or </w:t>
      </w:r>
      <w:r w:rsidR="006274DB">
        <w:t xml:space="preserve">its </w:t>
      </w:r>
      <w:r>
        <w:t xml:space="preserve">previous extension was not examined according to the instructions of this chapter during the ten years preceding the requested extension. </w:t>
      </w:r>
    </w:p>
    <w:p w:rsidR="000E6E5F" w:rsidRDefault="000E6E5F" w:rsidP="000E6E5F">
      <w:pPr>
        <w:pStyle w:val="a6"/>
        <w:numPr>
          <w:ilvl w:val="0"/>
          <w:numId w:val="27"/>
        </w:numPr>
      </w:pPr>
      <w:r>
        <w:t xml:space="preserve">A regulator that is considering a request for an extension of a right will take into account, among other considerations, the characteristics of the </w:t>
      </w:r>
      <w:r w:rsidR="00AE482D">
        <w:t>procedure</w:t>
      </w:r>
      <w:r>
        <w:t xml:space="preserve"> for the extension of the right being considered and its circumstances. </w:t>
      </w:r>
    </w:p>
    <w:p w:rsidR="006E61ED" w:rsidRDefault="006E61ED">
      <w:pPr>
        <w:pStyle w:val="a6"/>
        <w:numPr>
          <w:ilvl w:val="0"/>
          <w:numId w:val="27"/>
        </w:numPr>
      </w:pPr>
      <w:r>
        <w:t xml:space="preserve">Notwithstanding what is </w:t>
      </w:r>
      <w:r w:rsidR="00175296">
        <w:t>stated</w:t>
      </w:r>
      <w:r>
        <w:t xml:space="preserve"> in subparagraph (b), the instructions of this chapter will </w:t>
      </w:r>
      <w:r w:rsidR="003143A8">
        <w:t xml:space="preserve">not </w:t>
      </w:r>
      <w:r>
        <w:t xml:space="preserve">apply to the extension of a right that is held by a </w:t>
      </w:r>
      <w:r w:rsidR="001715AA">
        <w:t>concentrated entity</w:t>
      </w:r>
      <w:r>
        <w:t xml:space="preserve"> included within the list of </w:t>
      </w:r>
      <w:r w:rsidR="001715AA">
        <w:t>concentrated entities</w:t>
      </w:r>
      <w:r>
        <w:t xml:space="preserve"> </w:t>
      </w:r>
      <w:r w:rsidR="003143A8">
        <w:t xml:space="preserve">for the reason that </w:t>
      </w:r>
      <w:r>
        <w:t xml:space="preserve">it </w:t>
      </w:r>
      <w:r w:rsidR="00882065">
        <w:t>fulfi</w:t>
      </w:r>
      <w:r w:rsidR="00CE50DB">
        <w:t>ll</w:t>
      </w:r>
      <w:r>
        <w:t>s the conditions of paragraph 4(a</w:t>
      </w:r>
      <w:proofErr w:type="gramStart"/>
      <w:r>
        <w:t>)(</w:t>
      </w:r>
      <w:proofErr w:type="gramEnd"/>
      <w:r>
        <w:t>2)</w:t>
      </w:r>
      <w:r w:rsidR="00665CED">
        <w:t>,</w:t>
      </w:r>
      <w:r>
        <w:t xml:space="preserve"> </w:t>
      </w:r>
      <w:r w:rsidR="0025331C">
        <w:t>provided</w:t>
      </w:r>
      <w:r>
        <w:t xml:space="preserve"> that it </w:t>
      </w:r>
      <w:r w:rsidR="00882065">
        <w:t>fulfi</w:t>
      </w:r>
      <w:r w:rsidR="00CE50DB">
        <w:t>ll</w:t>
      </w:r>
      <w:r w:rsidR="00175296">
        <w:t>s</w:t>
      </w:r>
      <w:r>
        <w:t xml:space="preserve"> the instructions of </w:t>
      </w:r>
      <w:r w:rsidR="002E678C">
        <w:t>paragraph</w:t>
      </w:r>
      <w:r>
        <w:t xml:space="preserve"> 4(a)(2) in only one essential infrastructure </w:t>
      </w:r>
      <w:r w:rsidR="00175296">
        <w:t>category</w:t>
      </w:r>
      <w:r w:rsidR="00665CED">
        <w:t>,</w:t>
      </w:r>
      <w:r>
        <w:t xml:space="preserve"> and does not </w:t>
      </w:r>
      <w:r w:rsidR="00882065">
        <w:t>fulfi</w:t>
      </w:r>
      <w:r w:rsidR="00CE50DB">
        <w:t>ll</w:t>
      </w:r>
      <w:r>
        <w:t xml:space="preserve"> any </w:t>
      </w:r>
      <w:r w:rsidR="00175296">
        <w:t>other</w:t>
      </w:r>
      <w:r>
        <w:t xml:space="preserve"> condition </w:t>
      </w:r>
      <w:r w:rsidR="002E678C">
        <w:t>according</w:t>
      </w:r>
      <w:r>
        <w:t xml:space="preserve"> to paragraph 4(a). </w:t>
      </w:r>
    </w:p>
    <w:p w:rsidR="00D12715" w:rsidRDefault="00175296" w:rsidP="00D12715">
      <w:pPr>
        <w:pStyle w:val="a6"/>
        <w:numPr>
          <w:ilvl w:val="0"/>
          <w:numId w:val="27"/>
        </w:numPr>
      </w:pPr>
      <w:r>
        <w:t>With regard to this</w:t>
      </w:r>
      <w:r w:rsidR="006E61ED">
        <w:t xml:space="preserve"> chapter, the decision of a regulator regarding the request of a holder of a </w:t>
      </w:r>
      <w:r w:rsidR="002106B2">
        <w:t>franchise</w:t>
      </w:r>
      <w:r w:rsidR="006E61ED">
        <w:t xml:space="preserve"> for television broadcasting according to the Second Authority Law</w:t>
      </w:r>
      <w:r w:rsidR="00665CED">
        <w:t>,</w:t>
      </w:r>
      <w:r w:rsidR="006E61ED">
        <w:t xml:space="preserve"> to obtain a </w:t>
      </w:r>
      <w:r w:rsidR="002E678C">
        <w:t>license</w:t>
      </w:r>
      <w:r w:rsidR="006E61ED">
        <w:t xml:space="preserve"> for television broadcast</w:t>
      </w:r>
      <w:r w:rsidR="00665CED">
        <w:t>ing</w:t>
      </w:r>
      <w:r w:rsidR="006E61ED">
        <w:t xml:space="preserve"> according to the instructions of </w:t>
      </w:r>
      <w:r>
        <w:t>paragraph</w:t>
      </w:r>
      <w:r w:rsidR="006E61ED">
        <w:t xml:space="preserve"> 71d or 71e of </w:t>
      </w:r>
      <w:r w:rsidR="00D12715">
        <w:t>that</w:t>
      </w:r>
      <w:r w:rsidR="006E61ED">
        <w:t xml:space="preserve"> law</w:t>
      </w:r>
      <w:r w:rsidR="00665CED">
        <w:t>,</w:t>
      </w:r>
      <w:r w:rsidR="006E61ED">
        <w:t xml:space="preserve"> will be viewed as an extension of the right of the holder of a </w:t>
      </w:r>
      <w:r w:rsidR="002106B2">
        <w:t>franchise</w:t>
      </w:r>
      <w:r w:rsidR="006E61ED">
        <w:t xml:space="preserve"> for tele</w:t>
      </w:r>
      <w:r>
        <w:t>vision</w:t>
      </w:r>
      <w:r w:rsidR="006E61ED">
        <w:t xml:space="preserve"> broadcast</w:t>
      </w:r>
      <w:r w:rsidR="00665CED">
        <w:t>ing</w:t>
      </w:r>
      <w:r w:rsidR="006E61ED">
        <w:t>.</w:t>
      </w:r>
    </w:p>
    <w:p w:rsidR="00FD4ED8" w:rsidRDefault="003105ED" w:rsidP="00D12715">
      <w:pPr>
        <w:pStyle w:val="a6"/>
        <w:ind w:left="1080"/>
      </w:pPr>
      <w:r>
        <w:t xml:space="preserve"> </w:t>
      </w:r>
    </w:p>
    <w:p w:rsidR="006E61ED" w:rsidRDefault="006E61ED" w:rsidP="00D12715">
      <w:pPr>
        <w:pStyle w:val="a6"/>
        <w:numPr>
          <w:ilvl w:val="5"/>
          <w:numId w:val="1"/>
        </w:numPr>
        <w:ind w:left="426"/>
      </w:pPr>
      <w:r>
        <w:t>Chapter B – Start</w:t>
      </w:r>
      <w:r w:rsidR="009A08CC">
        <w:t>ing date</w:t>
      </w:r>
      <w:r>
        <w:t xml:space="preserve"> and application</w:t>
      </w:r>
    </w:p>
    <w:p w:rsidR="00363111" w:rsidRDefault="00363111" w:rsidP="00D12715">
      <w:pPr>
        <w:pStyle w:val="a6"/>
        <w:numPr>
          <w:ilvl w:val="0"/>
          <w:numId w:val="29"/>
        </w:numPr>
      </w:pPr>
      <w:r>
        <w:t>This chapter will go into effect one year from the date</w:t>
      </w:r>
      <w:r w:rsidR="00BF7500">
        <w:t xml:space="preserve"> on which</w:t>
      </w:r>
      <w:r>
        <w:t xml:space="preserve"> this law is published (in this paragraph – the starting da</w:t>
      </w:r>
      <w:r w:rsidR="00D12715">
        <w:t>te</w:t>
      </w:r>
      <w:r>
        <w:t>).</w:t>
      </w:r>
    </w:p>
    <w:p w:rsidR="00363111" w:rsidRDefault="00363111" w:rsidP="00D12715">
      <w:pPr>
        <w:pStyle w:val="a6"/>
        <w:numPr>
          <w:ilvl w:val="0"/>
          <w:numId w:val="29"/>
        </w:numPr>
      </w:pPr>
      <w:r>
        <w:t>The instructions of this chapter will apply</w:t>
      </w:r>
      <w:r w:rsidR="003105ED">
        <w:t xml:space="preserve"> </w:t>
      </w:r>
      <w:r>
        <w:t xml:space="preserve">to the </w:t>
      </w:r>
      <w:r w:rsidR="00551579">
        <w:t>allocation</w:t>
      </w:r>
      <w:r>
        <w:t xml:space="preserve"> of a right from the starting da</w:t>
      </w:r>
      <w:r w:rsidR="00D12715">
        <w:t>te</w:t>
      </w:r>
      <w:r>
        <w:t xml:space="preserve"> and onward. </w:t>
      </w:r>
    </w:p>
    <w:p w:rsidR="00D90292" w:rsidRDefault="00363111">
      <w:pPr>
        <w:pStyle w:val="a6"/>
        <w:numPr>
          <w:ilvl w:val="0"/>
          <w:numId w:val="29"/>
        </w:numPr>
      </w:pPr>
      <w:r>
        <w:t>Notwithstanding what is state</w:t>
      </w:r>
      <w:r w:rsidR="00D12715">
        <w:t>d</w:t>
      </w:r>
      <w:r>
        <w:t xml:space="preserve"> in subparagraph (b), the instructions of this chapter regarding </w:t>
      </w:r>
      <w:r w:rsidR="00D93C34">
        <w:t>economy-wide</w:t>
      </w:r>
      <w:r>
        <w:t xml:space="preserve"> concentration considerations as mentioned in Section B will </w:t>
      </w:r>
      <w:r w:rsidR="00175296">
        <w:t>apply</w:t>
      </w:r>
      <w:r>
        <w:t xml:space="preserve"> to the </w:t>
      </w:r>
      <w:r w:rsidR="00551579">
        <w:t>allocation</w:t>
      </w:r>
      <w:r>
        <w:t xml:space="preserve"> of a right in a privatized company, which began on </w:t>
      </w:r>
      <w:r w:rsidR="00D12715">
        <w:t>the date</w:t>
      </w:r>
      <w:r w:rsidR="00D90292">
        <w:t xml:space="preserve"> this law was published; in this subparagraph, “</w:t>
      </w:r>
      <w:r w:rsidR="00551579">
        <w:t>allocation</w:t>
      </w:r>
      <w:r w:rsidR="00D90292">
        <w:t xml:space="preserve"> of a right in a privatized company” – provision of approval to transfer control or means of control, as stated in the definition of “holding a significant share” or in </w:t>
      </w:r>
      <w:r w:rsidR="002E678C">
        <w:t>paragraph</w:t>
      </w:r>
      <w:r w:rsidR="00D90292">
        <w:t xml:space="preserve"> 8(d)</w:t>
      </w:r>
      <w:r w:rsidR="00D12715">
        <w:t>,</w:t>
      </w:r>
      <w:r w:rsidR="00D90292">
        <w:t xml:space="preserve"> and even if the order according to </w:t>
      </w:r>
      <w:r w:rsidR="002E678C">
        <w:t>paragraph</w:t>
      </w:r>
      <w:r w:rsidR="00D90292">
        <w:t xml:space="preserve"> 59h(a) of the Government Companies Law, which established that the State has an essential </w:t>
      </w:r>
      <w:r w:rsidR="00175296">
        <w:t>interest</w:t>
      </w:r>
      <w:r w:rsidR="00D90292">
        <w:t xml:space="preserve"> as stated in </w:t>
      </w:r>
      <w:r w:rsidR="002E678C">
        <w:t>paragraph</w:t>
      </w:r>
      <w:r w:rsidR="00D90292">
        <w:t xml:space="preserve"> (4) of the definition of “essential </w:t>
      </w:r>
      <w:r w:rsidR="00175296">
        <w:t>interest</w:t>
      </w:r>
      <w:r w:rsidR="00D90292">
        <w:t xml:space="preserve">” in that paragraph, was issued prior to the date this law was published. </w:t>
      </w:r>
    </w:p>
    <w:p w:rsidR="00D90292" w:rsidRDefault="00D90292" w:rsidP="00363111">
      <w:pPr>
        <w:pStyle w:val="a6"/>
        <w:numPr>
          <w:ilvl w:val="0"/>
          <w:numId w:val="29"/>
        </w:numPr>
      </w:pPr>
      <w:r>
        <w:t xml:space="preserve">Notwithstanding what is stated in subparagraph (b), the instructions of this chapter </w:t>
      </w:r>
      <w:r w:rsidR="00175296">
        <w:t>will</w:t>
      </w:r>
      <w:r>
        <w:t xml:space="preserve"> apply to the procedure for extending a right starting from the end of three years from the starting date. </w:t>
      </w:r>
    </w:p>
    <w:p w:rsidR="00363111" w:rsidRDefault="00A617FC" w:rsidP="00A617FC">
      <w:pPr>
        <w:jc w:val="center"/>
      </w:pPr>
      <w:r>
        <w:t xml:space="preserve">Chapter D: </w:t>
      </w:r>
      <w:r w:rsidR="00175296">
        <w:t>Separation</w:t>
      </w:r>
      <w:r>
        <w:t xml:space="preserve"> between major real </w:t>
      </w:r>
      <w:r w:rsidR="00175296">
        <w:t>corporations</w:t>
      </w:r>
      <w:r>
        <w:t xml:space="preserve"> and major financial bodies</w:t>
      </w:r>
    </w:p>
    <w:p w:rsidR="00A617FC" w:rsidRDefault="00A617FC" w:rsidP="00A617FC">
      <w:r>
        <w:t>28. Definitions – Chapter D</w:t>
      </w:r>
    </w:p>
    <w:p w:rsidR="00A617FC" w:rsidRDefault="00A617FC" w:rsidP="00D12715">
      <w:pPr>
        <w:ind w:left="720"/>
      </w:pPr>
      <w:r>
        <w:t xml:space="preserve">In this chapter – </w:t>
      </w:r>
    </w:p>
    <w:p w:rsidR="00A617FC" w:rsidRDefault="00A617FC" w:rsidP="00237F9E">
      <w:pPr>
        <w:ind w:left="720"/>
      </w:pPr>
      <w:r>
        <w:t xml:space="preserve">“Means of control” and “control” – </w:t>
      </w:r>
      <w:r w:rsidR="00175296">
        <w:t>according</w:t>
      </w:r>
      <w:r>
        <w:t xml:space="preserve"> to their definition in the </w:t>
      </w:r>
      <w:r w:rsidR="00237F9E">
        <w:t>Banking (Licensing) Law</w:t>
      </w:r>
      <w:r>
        <w:t xml:space="preserve">; </w:t>
      </w:r>
    </w:p>
    <w:p w:rsidR="00A617FC" w:rsidRDefault="00A617FC" w:rsidP="00D12715">
      <w:pPr>
        <w:ind w:left="720"/>
      </w:pPr>
      <w:r>
        <w:t xml:space="preserve">“Financial body” – any of the following: </w:t>
      </w:r>
    </w:p>
    <w:p w:rsidR="00A617FC" w:rsidRDefault="00A617FC">
      <w:pPr>
        <w:pStyle w:val="a6"/>
        <w:numPr>
          <w:ilvl w:val="0"/>
          <w:numId w:val="30"/>
        </w:numPr>
        <w:ind w:left="1440"/>
      </w:pPr>
      <w:r>
        <w:lastRenderedPageBreak/>
        <w:t xml:space="preserve">An institutional body as defined in the </w:t>
      </w:r>
      <w:r w:rsidR="00001753">
        <w:t xml:space="preserve">Control </w:t>
      </w:r>
      <w:r>
        <w:t>of Financial Service</w:t>
      </w:r>
      <w:r w:rsidR="00D12715">
        <w:t>s</w:t>
      </w:r>
      <w:r>
        <w:t xml:space="preserve"> (</w:t>
      </w:r>
      <w:r w:rsidR="00001753">
        <w:t>Insurance</w:t>
      </w:r>
      <w:r>
        <w:t>)</w:t>
      </w:r>
      <w:r w:rsidR="00001753">
        <w:t xml:space="preserve"> Law</w:t>
      </w:r>
      <w:r>
        <w:t xml:space="preserve">, 5741-1981; </w:t>
      </w:r>
    </w:p>
    <w:p w:rsidR="00A617FC" w:rsidRDefault="00A617FC" w:rsidP="00CD3CCE">
      <w:pPr>
        <w:pStyle w:val="a6"/>
        <w:numPr>
          <w:ilvl w:val="0"/>
          <w:numId w:val="30"/>
        </w:numPr>
        <w:ind w:left="1440"/>
      </w:pPr>
      <w:r>
        <w:t xml:space="preserve">A company whose purpose is the issuing of index products as defined in the </w:t>
      </w:r>
      <w:r w:rsidR="00CD3CCE">
        <w:t>Investment Advice Law</w:t>
      </w:r>
      <w:r>
        <w:t>;</w:t>
      </w:r>
    </w:p>
    <w:p w:rsidR="00A617FC" w:rsidRDefault="00A617FC">
      <w:pPr>
        <w:pStyle w:val="a6"/>
        <w:numPr>
          <w:ilvl w:val="0"/>
          <w:numId w:val="30"/>
        </w:numPr>
        <w:ind w:left="1440"/>
      </w:pPr>
      <w:r>
        <w:t>Manager o</w:t>
      </w:r>
      <w:r w:rsidR="00D12715">
        <w:t xml:space="preserve">f a Joint Investment </w:t>
      </w:r>
      <w:r w:rsidR="00001753">
        <w:t xml:space="preserve">Mutual </w:t>
      </w:r>
      <w:r w:rsidR="00D12715">
        <w:t>Fund</w:t>
      </w:r>
      <w:r>
        <w:t xml:space="preserve"> according to its meaning in the Joint Investment </w:t>
      </w:r>
      <w:r w:rsidR="00001753">
        <w:t xml:space="preserve">Trust </w:t>
      </w:r>
      <w:r>
        <w:t xml:space="preserve">Law, 5754-1994; </w:t>
      </w:r>
    </w:p>
    <w:p w:rsidR="00A617FC" w:rsidRDefault="00A617FC" w:rsidP="00CD3CCE">
      <w:pPr>
        <w:pStyle w:val="a6"/>
        <w:numPr>
          <w:ilvl w:val="0"/>
          <w:numId w:val="30"/>
        </w:numPr>
        <w:ind w:left="1440"/>
      </w:pPr>
      <w:r>
        <w:t>A</w:t>
      </w:r>
      <w:r w:rsidR="003105ED">
        <w:t xml:space="preserve"> </w:t>
      </w:r>
      <w:r>
        <w:t xml:space="preserve">portfolio manager as defined in the </w:t>
      </w:r>
      <w:r w:rsidR="00CD3CCE">
        <w:t>Investment Advice Law</w:t>
      </w:r>
      <w:r>
        <w:t xml:space="preserve">; </w:t>
      </w:r>
    </w:p>
    <w:p w:rsidR="00A617FC" w:rsidRDefault="00A617FC">
      <w:pPr>
        <w:pStyle w:val="a6"/>
        <w:numPr>
          <w:ilvl w:val="0"/>
          <w:numId w:val="30"/>
        </w:numPr>
        <w:ind w:left="1440"/>
      </w:pPr>
      <w:r>
        <w:t xml:space="preserve">A </w:t>
      </w:r>
      <w:r w:rsidR="00495884">
        <w:t xml:space="preserve">clearer </w:t>
      </w:r>
      <w:r>
        <w:t xml:space="preserve">as defined in </w:t>
      </w:r>
      <w:r w:rsidR="00175296">
        <w:t>paragraph</w:t>
      </w:r>
      <w:r>
        <w:t xml:space="preserve"> 36i of the </w:t>
      </w:r>
      <w:r w:rsidR="00237F9E">
        <w:t>Banking (Licensing) Law</w:t>
      </w:r>
      <w:r>
        <w:t xml:space="preserve">; </w:t>
      </w:r>
    </w:p>
    <w:p w:rsidR="00A617FC" w:rsidRDefault="00106C61" w:rsidP="00237F9E">
      <w:pPr>
        <w:pStyle w:val="a6"/>
        <w:numPr>
          <w:ilvl w:val="0"/>
          <w:numId w:val="30"/>
        </w:numPr>
        <w:ind w:left="1440"/>
      </w:pPr>
      <w:r>
        <w:t xml:space="preserve">A banking corporation and an auxiliary corporation according to their definition in the </w:t>
      </w:r>
      <w:r w:rsidR="00237F9E">
        <w:t>Banking (Licensing) Law</w:t>
      </w:r>
      <w:r>
        <w:t xml:space="preserve">; </w:t>
      </w:r>
    </w:p>
    <w:p w:rsidR="00106C61" w:rsidRDefault="00106C61" w:rsidP="00D12715">
      <w:pPr>
        <w:pStyle w:val="a6"/>
        <w:numPr>
          <w:ilvl w:val="0"/>
          <w:numId w:val="30"/>
        </w:numPr>
        <w:ind w:left="1440"/>
      </w:pPr>
      <w:r>
        <w:t>A different body that provides financial services which the Minister o</w:t>
      </w:r>
      <w:r w:rsidR="00175296">
        <w:t xml:space="preserve">f </w:t>
      </w:r>
      <w:r>
        <w:t xml:space="preserve">Finance has </w:t>
      </w:r>
      <w:r w:rsidR="00D12715">
        <w:t>included</w:t>
      </w:r>
      <w:r>
        <w:t xml:space="preserve"> with the agreement of the Governor </w:t>
      </w:r>
      <w:r w:rsidR="00175296">
        <w:t>of</w:t>
      </w:r>
      <w:r>
        <w:t xml:space="preserve"> the Bank of Israel, in consultation with the Chairman of the Israel Securities Authority and with the approval of the Finance Committee of the Knesset; </w:t>
      </w:r>
    </w:p>
    <w:p w:rsidR="00106C61" w:rsidRDefault="00106C61" w:rsidP="00D12715">
      <w:pPr>
        <w:ind w:left="720"/>
      </w:pPr>
      <w:r>
        <w:t>“Commissioner of</w:t>
      </w:r>
      <w:r w:rsidR="003105ED">
        <w:t xml:space="preserve"> </w:t>
      </w:r>
      <w:r>
        <w:t xml:space="preserve">the Capital </w:t>
      </w:r>
      <w:r w:rsidR="00495884">
        <w:t>M</w:t>
      </w:r>
      <w:r>
        <w:t>arket</w:t>
      </w:r>
      <w:r w:rsidR="00D12715">
        <w:t>”</w:t>
      </w:r>
      <w:r>
        <w:t xml:space="preserve"> – the </w:t>
      </w:r>
      <w:r w:rsidR="00175296">
        <w:t>Commissioner</w:t>
      </w:r>
      <w:r>
        <w:t xml:space="preserve"> of the </w:t>
      </w:r>
      <w:r w:rsidR="00175296">
        <w:t>Capital</w:t>
      </w:r>
      <w:r>
        <w:t xml:space="preserve"> Market, Insurance and </w:t>
      </w:r>
      <w:r w:rsidR="00D12715">
        <w:t>S</w:t>
      </w:r>
      <w:r>
        <w:t>aving</w:t>
      </w:r>
      <w:r w:rsidR="00495884">
        <w:t>s</w:t>
      </w:r>
      <w:r>
        <w:t xml:space="preserve"> </w:t>
      </w:r>
      <w:r w:rsidR="00175296">
        <w:t>within</w:t>
      </w:r>
      <w:r>
        <w:t xml:space="preserve"> the Ministry of </w:t>
      </w:r>
      <w:r w:rsidR="00175296">
        <w:t>Finance</w:t>
      </w:r>
      <w:r>
        <w:t xml:space="preserve">; </w:t>
      </w:r>
    </w:p>
    <w:p w:rsidR="00106C61" w:rsidRDefault="00106C61" w:rsidP="00D12715">
      <w:pPr>
        <w:ind w:left="720"/>
      </w:pPr>
      <w:r>
        <w:t>“</w:t>
      </w:r>
      <w:r w:rsidR="00D12715">
        <w:t>R</w:t>
      </w:r>
      <w:r>
        <w:t xml:space="preserve">eal </w:t>
      </w:r>
      <w:r w:rsidR="00495884">
        <w:t>C</w:t>
      </w:r>
      <w:r>
        <w:t xml:space="preserve">orporation” – a </w:t>
      </w:r>
      <w:r w:rsidR="00175296">
        <w:t>corporation</w:t>
      </w:r>
      <w:r>
        <w:t xml:space="preserve"> that is not a financial body.</w:t>
      </w:r>
    </w:p>
    <w:p w:rsidR="00106C61" w:rsidRDefault="005E28B8" w:rsidP="00106C61">
      <w:r>
        <w:t>29. List of major financial bodies</w:t>
      </w:r>
    </w:p>
    <w:p w:rsidR="005E28B8" w:rsidRDefault="005E28B8" w:rsidP="00D12715">
      <w:pPr>
        <w:pStyle w:val="a6"/>
        <w:numPr>
          <w:ilvl w:val="0"/>
          <w:numId w:val="47"/>
        </w:numPr>
      </w:pPr>
      <w:r>
        <w:t xml:space="preserve">The </w:t>
      </w:r>
      <w:r w:rsidR="00903E5E">
        <w:t xml:space="preserve">Committee for the Reduction of </w:t>
      </w:r>
      <w:r>
        <w:t xml:space="preserve"> Concentration will publish in </w:t>
      </w:r>
      <w:r w:rsidR="00A77DAF">
        <w:t xml:space="preserve">the </w:t>
      </w:r>
      <w:r w:rsidR="002B59FD" w:rsidRPr="00311544">
        <w:t>Official Gazette</w:t>
      </w:r>
      <w:r>
        <w:t xml:space="preserve"> and on the website of the Ministry of </w:t>
      </w:r>
      <w:r w:rsidR="00175296">
        <w:t>Finance</w:t>
      </w:r>
      <w:r>
        <w:t xml:space="preserve"> the list of major financial bodies, which </w:t>
      </w:r>
      <w:r w:rsidR="00175296">
        <w:t>will include</w:t>
      </w:r>
      <w:r>
        <w:t xml:space="preserve"> financial bodies that </w:t>
      </w:r>
      <w:r w:rsidR="00882065">
        <w:t>fulfi</w:t>
      </w:r>
      <w:r w:rsidR="00CE50DB">
        <w:t>ll</w:t>
      </w:r>
      <w:r>
        <w:t xml:space="preserve"> one of the following: </w:t>
      </w:r>
    </w:p>
    <w:p w:rsidR="00B654FD" w:rsidRDefault="00A77DAF">
      <w:pPr>
        <w:pStyle w:val="a6"/>
        <w:numPr>
          <w:ilvl w:val="1"/>
          <w:numId w:val="47"/>
        </w:numPr>
        <w:ind w:left="1134"/>
      </w:pPr>
      <w:r>
        <w:t>T</w:t>
      </w:r>
      <w:r w:rsidR="005861DD">
        <w:t>he value of total assets of the financial body exceed</w:t>
      </w:r>
      <w:r w:rsidR="002A7237">
        <w:t>s</w:t>
      </w:r>
      <w:r w:rsidR="005861DD">
        <w:t xml:space="preserve"> 40</w:t>
      </w:r>
      <w:r w:rsidR="003105ED">
        <w:t xml:space="preserve"> </w:t>
      </w:r>
      <w:r w:rsidR="005861DD">
        <w:t>billion</w:t>
      </w:r>
      <w:r w:rsidR="00556802" w:rsidRPr="00556802">
        <w:t xml:space="preserve"> </w:t>
      </w:r>
      <w:r w:rsidR="00556802">
        <w:t>NIS</w:t>
      </w:r>
      <w:r w:rsidR="005861DD">
        <w:t xml:space="preserve">; for this </w:t>
      </w:r>
      <w:r w:rsidR="00175296">
        <w:t>purpose</w:t>
      </w:r>
      <w:r w:rsidR="005861DD">
        <w:t xml:space="preserve">, the value of a financial body’s total assets will be calculated as the value of its total assets and </w:t>
      </w:r>
      <w:r w:rsidR="001F652F">
        <w:t xml:space="preserve">that </w:t>
      </w:r>
      <w:r w:rsidR="005861DD">
        <w:t xml:space="preserve">of financial bodies it controls </w:t>
      </w:r>
      <w:r w:rsidR="001F652F">
        <w:t xml:space="preserve">and of those </w:t>
      </w:r>
      <w:r w:rsidR="005861DD">
        <w:t>under the</w:t>
      </w:r>
      <w:r w:rsidR="003105ED">
        <w:t xml:space="preserve"> </w:t>
      </w:r>
      <w:r w:rsidR="005861DD">
        <w:t xml:space="preserve">control of the entity controlling it, and </w:t>
      </w:r>
      <w:r>
        <w:t xml:space="preserve">regarding an </w:t>
      </w:r>
      <w:r w:rsidR="005861DD">
        <w:t xml:space="preserve">entity </w:t>
      </w:r>
      <w:r>
        <w:t xml:space="preserve">controlling </w:t>
      </w:r>
      <w:r w:rsidR="005861DD">
        <w:t>together with other</w:t>
      </w:r>
      <w:r w:rsidR="002A7237">
        <w:t>s</w:t>
      </w:r>
      <w:r w:rsidR="005861DD">
        <w:t xml:space="preserve"> – the aforementioned value of total assets will be attributed to each of the controlling entities separately; with respect to this </w:t>
      </w:r>
      <w:r w:rsidR="00175296">
        <w:t>clause</w:t>
      </w:r>
      <w:r w:rsidR="005861DD">
        <w:t xml:space="preserve">, the State will not be viewed as a controlling entity; </w:t>
      </w:r>
    </w:p>
    <w:p w:rsidR="005E28B8" w:rsidRDefault="00B654FD">
      <w:pPr>
        <w:pStyle w:val="a6"/>
        <w:numPr>
          <w:ilvl w:val="1"/>
          <w:numId w:val="47"/>
        </w:numPr>
        <w:ind w:left="1134"/>
      </w:pPr>
      <w:r>
        <w:t xml:space="preserve">The financial body is a </w:t>
      </w:r>
      <w:r w:rsidR="00A77DAF">
        <w:t xml:space="preserve">clearer </w:t>
      </w:r>
      <w:r>
        <w:t xml:space="preserve">with </w:t>
      </w:r>
      <w:r w:rsidR="00A77DAF">
        <w:t xml:space="preserve">wide-range </w:t>
      </w:r>
      <w:r>
        <w:t xml:space="preserve">activity as defined in paragraph </w:t>
      </w:r>
      <w:proofErr w:type="gramStart"/>
      <w:r>
        <w:t>36l(</w:t>
      </w:r>
      <w:proofErr w:type="gramEnd"/>
      <w:r>
        <w:t xml:space="preserve">a) of the </w:t>
      </w:r>
      <w:r w:rsidR="00237F9E">
        <w:t>Banking (Licensing) Law</w:t>
      </w:r>
      <w:r>
        <w:t xml:space="preserve">. </w:t>
      </w:r>
    </w:p>
    <w:p w:rsidR="00B654FD" w:rsidRDefault="00B654FD" w:rsidP="00B654FD">
      <w:pPr>
        <w:pStyle w:val="a6"/>
        <w:numPr>
          <w:ilvl w:val="0"/>
          <w:numId w:val="32"/>
        </w:numPr>
      </w:pPr>
      <w:r>
        <w:t xml:space="preserve">The </w:t>
      </w:r>
      <w:r w:rsidR="00903E5E">
        <w:t xml:space="preserve">Committee for the Reduction of </w:t>
      </w:r>
      <w:r>
        <w:t xml:space="preserve"> Concentration will formulate a list of major financial bodies </w:t>
      </w:r>
      <w:r w:rsidR="00175296">
        <w:t>according</w:t>
      </w:r>
      <w:r>
        <w:t xml:space="preserve"> to the following instructions: </w:t>
      </w:r>
    </w:p>
    <w:p w:rsidR="00AE04C1" w:rsidRDefault="00AE04C1" w:rsidP="00AE04C1">
      <w:pPr>
        <w:pStyle w:val="a6"/>
        <w:numPr>
          <w:ilvl w:val="0"/>
          <w:numId w:val="33"/>
        </w:numPr>
      </w:pPr>
      <w:r>
        <w:t xml:space="preserve">The determination of which financial bodies </w:t>
      </w:r>
      <w:r w:rsidR="00882065">
        <w:t>fulfi</w:t>
      </w:r>
      <w:r w:rsidR="00CE50DB">
        <w:t>ll</w:t>
      </w:r>
      <w:r>
        <w:t xml:space="preserve"> what is stated in subparagraph (a)(1) will be carried </w:t>
      </w:r>
      <w:r w:rsidR="00175296">
        <w:t>out</w:t>
      </w:r>
      <w:r>
        <w:t xml:space="preserve"> by the </w:t>
      </w:r>
      <w:r w:rsidR="00175296">
        <w:t>Commissioner</w:t>
      </w:r>
      <w:r>
        <w:t xml:space="preserve"> of the Capital Market, the Supervisor of Banks and the </w:t>
      </w:r>
      <w:r w:rsidR="00175296">
        <w:t>Chairman</w:t>
      </w:r>
      <w:r>
        <w:t xml:space="preserve"> of the Israel Securities Authority; </w:t>
      </w:r>
    </w:p>
    <w:p w:rsidR="00AE04C1" w:rsidRDefault="00AE04C1" w:rsidP="002A7237">
      <w:pPr>
        <w:pStyle w:val="a6"/>
        <w:numPr>
          <w:ilvl w:val="0"/>
          <w:numId w:val="33"/>
        </w:numPr>
      </w:pPr>
      <w:r>
        <w:t xml:space="preserve">The determination of which financial bodies </w:t>
      </w:r>
      <w:r w:rsidR="00882065">
        <w:t>fulfi</w:t>
      </w:r>
      <w:r w:rsidR="00CE50DB">
        <w:t>ll</w:t>
      </w:r>
      <w:r>
        <w:t xml:space="preserve"> what is state</w:t>
      </w:r>
      <w:r w:rsidR="002A7237">
        <w:t>d</w:t>
      </w:r>
      <w:r>
        <w:t xml:space="preserve"> in subparagraph (a)(2) will be carried out by the Supervisor of Banks; </w:t>
      </w:r>
    </w:p>
    <w:p w:rsidR="00AE04C1" w:rsidRDefault="00AE04C1" w:rsidP="002A7237">
      <w:pPr>
        <w:pStyle w:val="a6"/>
        <w:numPr>
          <w:ilvl w:val="0"/>
          <w:numId w:val="33"/>
        </w:numPr>
      </w:pPr>
      <w:r>
        <w:t xml:space="preserve">The Commissioner of the Capital </w:t>
      </w:r>
      <w:r w:rsidR="00175296">
        <w:t>Market, the</w:t>
      </w:r>
      <w:r>
        <w:t xml:space="preserve"> Supervisor of Banks and the Chairman of the Israel </w:t>
      </w:r>
      <w:r w:rsidR="00175296">
        <w:t>Securities</w:t>
      </w:r>
      <w:r>
        <w:t xml:space="preserve"> Authority will submit the list of financial bodies that they have determined </w:t>
      </w:r>
      <w:r>
        <w:lastRenderedPageBreak/>
        <w:t xml:space="preserve">according to clauses (1) or (2), and any revision </w:t>
      </w:r>
      <w:r w:rsidR="002A7237">
        <w:t>of</w:t>
      </w:r>
      <w:r>
        <w:t xml:space="preserve"> it, to the </w:t>
      </w:r>
      <w:r w:rsidR="00903E5E">
        <w:t>Committee for the Reduction of</w:t>
      </w:r>
      <w:r>
        <w:t xml:space="preserve"> Concentration.</w:t>
      </w:r>
    </w:p>
    <w:p w:rsidR="00AE04C1" w:rsidRDefault="00BF7500" w:rsidP="00AE04C1">
      <w:pPr>
        <w:pStyle w:val="a6"/>
        <w:numPr>
          <w:ilvl w:val="0"/>
          <w:numId w:val="32"/>
        </w:numPr>
      </w:pPr>
      <w:r>
        <w:t>T</w:t>
      </w:r>
      <w:r w:rsidR="00AE04C1">
        <w:t xml:space="preserve">he list of major </w:t>
      </w:r>
      <w:r w:rsidR="00175296">
        <w:t>financial</w:t>
      </w:r>
      <w:r w:rsidR="00AE04C1">
        <w:t xml:space="preserve"> bodies will include the name of the </w:t>
      </w:r>
      <w:r w:rsidR="00175296">
        <w:t>financial</w:t>
      </w:r>
      <w:r w:rsidR="00AE04C1">
        <w:t xml:space="preserve"> body and </w:t>
      </w:r>
      <w:r w:rsidR="0067512E">
        <w:t>the entity that</w:t>
      </w:r>
      <w:r w:rsidR="00AE04C1">
        <w:t xml:space="preserve"> controls it. </w:t>
      </w:r>
    </w:p>
    <w:p w:rsidR="00AE04C1" w:rsidRDefault="00AE04C1" w:rsidP="001F652F">
      <w:pPr>
        <w:pStyle w:val="a6"/>
        <w:numPr>
          <w:ilvl w:val="0"/>
          <w:numId w:val="32"/>
        </w:numPr>
      </w:pPr>
      <w:r>
        <w:t>In this paragraph, “value of total assets” of a financial body – value of total assets of the financial bod</w:t>
      </w:r>
      <w:r w:rsidR="002A7237">
        <w:t>y</w:t>
      </w:r>
      <w:r>
        <w:t xml:space="preserve"> and the assets </w:t>
      </w:r>
      <w:r w:rsidR="00175296">
        <w:t>managed</w:t>
      </w:r>
      <w:r>
        <w:t xml:space="preserve"> by it, including the assets </w:t>
      </w:r>
      <w:r w:rsidR="00175296">
        <w:t>managed</w:t>
      </w:r>
      <w:r>
        <w:t xml:space="preserve"> by it for other financial </w:t>
      </w:r>
      <w:r w:rsidR="00175296">
        <w:t>bodies</w:t>
      </w:r>
      <w:r w:rsidR="0067512E">
        <w:t>,</w:t>
      </w:r>
      <w:r>
        <w:t xml:space="preserve"> and in the case of a bank – the value of </w:t>
      </w:r>
      <w:r w:rsidR="00175296">
        <w:t>total</w:t>
      </w:r>
      <w:r>
        <w:t xml:space="preserve"> assets as appears in the balance sheet of the bank in its most recent </w:t>
      </w:r>
      <w:r w:rsidR="0067512E">
        <w:t xml:space="preserve">consolidated </w:t>
      </w:r>
      <w:r>
        <w:t xml:space="preserve">financial statement, and </w:t>
      </w:r>
      <w:r w:rsidR="0025331C">
        <w:t>provided</w:t>
      </w:r>
      <w:r>
        <w:t xml:space="preserve"> that the aforementioned total assets of </w:t>
      </w:r>
      <w:r w:rsidR="00BF7500">
        <w:t>a</w:t>
      </w:r>
      <w:r>
        <w:t xml:space="preserve"> particular financial body do not count the same asset more than once; for this purpose, the value of total assets with regard to a particular financial body will be calculated </w:t>
      </w:r>
      <w:r w:rsidR="002E678C">
        <w:t>according</w:t>
      </w:r>
      <w:r>
        <w:t xml:space="preserve"> to the </w:t>
      </w:r>
      <w:r w:rsidR="00175296">
        <w:t>instructions</w:t>
      </w:r>
      <w:r>
        <w:t xml:space="preserve"> to</w:t>
      </w:r>
      <w:r w:rsidR="002A7237">
        <w:t xml:space="preserve"> be</w:t>
      </w:r>
      <w:r>
        <w:t xml:space="preserve"> issued </w:t>
      </w:r>
      <w:r w:rsidR="00175296">
        <w:t>by the</w:t>
      </w:r>
      <w:r>
        <w:t xml:space="preserve"> entity supervising the activity of that financial body by law. </w:t>
      </w:r>
    </w:p>
    <w:p w:rsidR="00B53EB1" w:rsidRDefault="00AE04C1" w:rsidP="000F5B76">
      <w:r>
        <w:t xml:space="preserve">30. </w:t>
      </w:r>
      <w:r w:rsidR="00B53EB1">
        <w:t xml:space="preserve">The list of </w:t>
      </w:r>
      <w:r w:rsidR="000F5B76">
        <w:t xml:space="preserve">major </w:t>
      </w:r>
      <w:r w:rsidR="00B53EB1">
        <w:t>real corporations</w:t>
      </w:r>
    </w:p>
    <w:p w:rsidR="00B53EB1" w:rsidRDefault="00B53EB1" w:rsidP="00B53EB1">
      <w:pPr>
        <w:pStyle w:val="a6"/>
        <w:numPr>
          <w:ilvl w:val="0"/>
          <w:numId w:val="35"/>
        </w:numPr>
      </w:pPr>
      <w:r>
        <w:t xml:space="preserve">The </w:t>
      </w:r>
      <w:r w:rsidR="00903E5E">
        <w:t xml:space="preserve">Committee for the Reduction of </w:t>
      </w:r>
      <w:r>
        <w:t xml:space="preserve"> Concentration will publish in </w:t>
      </w:r>
      <w:r w:rsidR="000F17E0">
        <w:t xml:space="preserve">the </w:t>
      </w:r>
      <w:r w:rsidR="002B59FD" w:rsidRPr="00311544">
        <w:t>Official Gazette</w:t>
      </w:r>
      <w:r>
        <w:t xml:space="preserve"> and on the website of the Ministry of Finance the list of major real corporation</w:t>
      </w:r>
      <w:r w:rsidR="00BA1283">
        <w:t>s</w:t>
      </w:r>
      <w:r>
        <w:t xml:space="preserve">, which will include real </w:t>
      </w:r>
      <w:r w:rsidR="00175296">
        <w:t>corporations</w:t>
      </w:r>
      <w:r>
        <w:t xml:space="preserve"> that </w:t>
      </w:r>
      <w:r w:rsidR="00882065">
        <w:t>fulfi</w:t>
      </w:r>
      <w:r w:rsidR="00CE50DB">
        <w:t>ll</w:t>
      </w:r>
      <w:r>
        <w:t xml:space="preserve"> one of the following: </w:t>
      </w:r>
    </w:p>
    <w:p w:rsidR="00B53EB1" w:rsidRDefault="000F5B76">
      <w:pPr>
        <w:pStyle w:val="a6"/>
        <w:numPr>
          <w:ilvl w:val="2"/>
          <w:numId w:val="35"/>
        </w:numPr>
        <w:ind w:left="1134"/>
      </w:pPr>
      <w:r>
        <w:t>T</w:t>
      </w:r>
      <w:r w:rsidR="002D2E11">
        <w:t xml:space="preserve">he sales </w:t>
      </w:r>
      <w:r w:rsidR="00E56D4F">
        <w:t xml:space="preserve">turnover </w:t>
      </w:r>
      <w:r w:rsidR="002D2E11">
        <w:t>of the real corporation exceed</w:t>
      </w:r>
      <w:r w:rsidR="002A7237">
        <w:t>s</w:t>
      </w:r>
      <w:r w:rsidR="002D2E11">
        <w:t xml:space="preserve"> 6 billion</w:t>
      </w:r>
      <w:r w:rsidR="00556802" w:rsidRPr="00556802">
        <w:t xml:space="preserve"> </w:t>
      </w:r>
      <w:r w:rsidR="00556802">
        <w:t>NIS</w:t>
      </w:r>
      <w:r w:rsidR="002D2E11">
        <w:t xml:space="preserve">, or 2 </w:t>
      </w:r>
      <w:r w:rsidR="00175296">
        <w:t>billion</w:t>
      </w:r>
      <w:r w:rsidR="002D2E11">
        <w:t xml:space="preserve"> </w:t>
      </w:r>
      <w:r w:rsidR="00556802">
        <w:t xml:space="preserve">NIS </w:t>
      </w:r>
      <w:r w:rsidR="002D2E11">
        <w:t xml:space="preserve">in the case of </w:t>
      </w:r>
      <w:r w:rsidR="00556802">
        <w:t xml:space="preserve">monopoly </w:t>
      </w:r>
      <w:r>
        <w:t>market</w:t>
      </w:r>
      <w:r w:rsidR="00556802">
        <w:t>s</w:t>
      </w:r>
      <w:r w:rsidR="002D2E11">
        <w:t xml:space="preserve">; for this </w:t>
      </w:r>
      <w:r w:rsidR="00175296">
        <w:t>purpose</w:t>
      </w:r>
      <w:r w:rsidR="002D2E11">
        <w:t xml:space="preserve">, the sales </w:t>
      </w:r>
      <w:r w:rsidR="00E56D4F">
        <w:t>turnover</w:t>
      </w:r>
      <w:r w:rsidR="002D2E11">
        <w:t xml:space="preserve"> of a real corporation will be calculated as its sales </w:t>
      </w:r>
      <w:r w:rsidR="00E56D4F">
        <w:t>turnover</w:t>
      </w:r>
      <w:r w:rsidR="002D2E11">
        <w:t xml:space="preserve">, the </w:t>
      </w:r>
      <w:r w:rsidR="00E56D4F">
        <w:t>turnover</w:t>
      </w:r>
      <w:r w:rsidR="00E56D4F" w:rsidDel="00E56D4F">
        <w:t xml:space="preserve"> </w:t>
      </w:r>
      <w:r w:rsidR="002D2E11">
        <w:t xml:space="preserve">of the entity that controls </w:t>
      </w:r>
      <w:r w:rsidR="00BA1283">
        <w:t xml:space="preserve">it </w:t>
      </w:r>
      <w:r w:rsidR="002D2E11">
        <w:t xml:space="preserve">and any real corporations under its control </w:t>
      </w:r>
      <w:r w:rsidR="001F652F">
        <w:t xml:space="preserve">and </w:t>
      </w:r>
      <w:r w:rsidR="002D2E11">
        <w:t>under the control of the entity that controls it</w:t>
      </w:r>
      <w:r w:rsidR="00556802">
        <w:t>,</w:t>
      </w:r>
      <w:r w:rsidR="002D2E11">
        <w:t xml:space="preserve"> and </w:t>
      </w:r>
      <w:r w:rsidR="00556802">
        <w:t xml:space="preserve">regarding an </w:t>
      </w:r>
      <w:r w:rsidR="002D2E11">
        <w:t xml:space="preserve">entity </w:t>
      </w:r>
      <w:r w:rsidR="00556802">
        <w:t xml:space="preserve">controlling </w:t>
      </w:r>
      <w:r w:rsidR="002D2E11">
        <w:t>together with other</w:t>
      </w:r>
      <w:r w:rsidR="002A7237">
        <w:t>s</w:t>
      </w:r>
      <w:r w:rsidR="002D2E11">
        <w:t xml:space="preserve"> </w:t>
      </w:r>
      <w:r>
        <w:t>–</w:t>
      </w:r>
      <w:r w:rsidR="002D2E11">
        <w:t xml:space="preserve"> </w:t>
      </w:r>
      <w:r>
        <w:t xml:space="preserve">all of the aforementioned sales </w:t>
      </w:r>
      <w:r w:rsidR="00E56D4F">
        <w:t>turnover</w:t>
      </w:r>
      <w:r w:rsidR="00E56D4F" w:rsidDel="00E56D4F">
        <w:t xml:space="preserve"> </w:t>
      </w:r>
      <w:r>
        <w:t xml:space="preserve">will be attributed to each of the controlling entities separately; </w:t>
      </w:r>
    </w:p>
    <w:p w:rsidR="000F5B76" w:rsidRDefault="000F5B76">
      <w:pPr>
        <w:pStyle w:val="a6"/>
        <w:ind w:left="1134"/>
      </w:pPr>
      <w:r>
        <w:t>In this clause, a “</w:t>
      </w:r>
      <w:r w:rsidR="00556802">
        <w:t xml:space="preserve">monopoly </w:t>
      </w:r>
      <w:r>
        <w:t xml:space="preserve">market” – a market in which the real corporation, the </w:t>
      </w:r>
      <w:r w:rsidR="00175296">
        <w:t>entity</w:t>
      </w:r>
      <w:r>
        <w:t xml:space="preserve"> </w:t>
      </w:r>
      <w:r w:rsidR="00175296">
        <w:t>controlling it</w:t>
      </w:r>
      <w:r>
        <w:t xml:space="preserve"> or a real corporation under its control or under the control of the entity controlling it was </w:t>
      </w:r>
      <w:r w:rsidR="00175296">
        <w:t>declared</w:t>
      </w:r>
      <w:r>
        <w:t xml:space="preserve"> to be a monopoly according to paragraph 26 of the </w:t>
      </w:r>
      <w:r w:rsidR="00237F9E">
        <w:t>Restrictive Trade Practices Law</w:t>
      </w:r>
      <w:r>
        <w:t xml:space="preserve"> and </w:t>
      </w:r>
      <w:r w:rsidR="0025331C">
        <w:t>provided</w:t>
      </w:r>
      <w:r>
        <w:t xml:space="preserve"> that the sales </w:t>
      </w:r>
      <w:r w:rsidR="00E56D4F">
        <w:t>turnover</w:t>
      </w:r>
      <w:r w:rsidR="00E56D4F" w:rsidDel="00E56D4F">
        <w:t xml:space="preserve"> </w:t>
      </w:r>
      <w:r>
        <w:t xml:space="preserve">of the entity </w:t>
      </w:r>
      <w:r w:rsidR="00175296">
        <w:t>declared</w:t>
      </w:r>
      <w:r>
        <w:t xml:space="preserve"> to be a </w:t>
      </w:r>
      <w:r w:rsidR="00175296">
        <w:t>monopoly</w:t>
      </w:r>
      <w:r w:rsidR="002A7237">
        <w:t>,</w:t>
      </w:r>
      <w:r>
        <w:t xml:space="preserve"> as mentioned</w:t>
      </w:r>
      <w:r w:rsidR="002A7237">
        <w:t>,</w:t>
      </w:r>
      <w:r>
        <w:t xml:space="preserve"> in that market exceeds 300 </w:t>
      </w:r>
      <w:r w:rsidR="00175296">
        <w:t>million</w:t>
      </w:r>
      <w:r w:rsidR="00556802" w:rsidRPr="00556802">
        <w:t xml:space="preserve"> </w:t>
      </w:r>
      <w:r w:rsidR="00556802">
        <w:t>NIS</w:t>
      </w:r>
      <w:r>
        <w:t xml:space="preserve">; </w:t>
      </w:r>
    </w:p>
    <w:p w:rsidR="000F5B76" w:rsidRDefault="000F5B76">
      <w:pPr>
        <w:pStyle w:val="a6"/>
        <w:numPr>
          <w:ilvl w:val="2"/>
          <w:numId w:val="35"/>
        </w:numPr>
        <w:ind w:left="1134"/>
      </w:pPr>
      <w:r>
        <w:t>The credit of the real corporation exceed</w:t>
      </w:r>
      <w:r w:rsidR="00BA1283">
        <w:t>s</w:t>
      </w:r>
      <w:r>
        <w:t xml:space="preserve"> 6 billion</w:t>
      </w:r>
      <w:r w:rsidR="009D4101" w:rsidRPr="009D4101">
        <w:t xml:space="preserve"> </w:t>
      </w:r>
      <w:r w:rsidR="009D4101">
        <w:t>NIS</w:t>
      </w:r>
      <w:r>
        <w:t xml:space="preserve">; for this purpose, the credit of a real corporation will be calculated as it total credit, that of the entity that controls it and that of real corporations under its control and under the control of the entity that controls it, and </w:t>
      </w:r>
      <w:r w:rsidR="009D4101">
        <w:t xml:space="preserve">regarding an </w:t>
      </w:r>
      <w:r>
        <w:t xml:space="preserve">entity </w:t>
      </w:r>
      <w:r w:rsidR="009D4101">
        <w:t xml:space="preserve">controlling </w:t>
      </w:r>
      <w:r>
        <w:t xml:space="preserve">together with others – the aforementioned total credit will be attributed to each of the controlling entities separately. </w:t>
      </w:r>
    </w:p>
    <w:p w:rsidR="000F5B76" w:rsidRDefault="000F5B76" w:rsidP="004145E4">
      <w:pPr>
        <w:pStyle w:val="a6"/>
        <w:numPr>
          <w:ilvl w:val="0"/>
          <w:numId w:val="35"/>
        </w:numPr>
      </w:pPr>
      <w:r>
        <w:t>In subparagraph (a)</w:t>
      </w:r>
      <w:r w:rsidR="00BA1283">
        <w:t>,</w:t>
      </w:r>
      <w:r>
        <w:t xml:space="preserve"> the</w:t>
      </w:r>
      <w:r w:rsidR="003105ED">
        <w:t xml:space="preserve"> </w:t>
      </w:r>
      <w:r>
        <w:t xml:space="preserve">State will not be viewed as having control. </w:t>
      </w:r>
    </w:p>
    <w:p w:rsidR="004145E4" w:rsidRDefault="004145E4" w:rsidP="004145E4">
      <w:pPr>
        <w:pStyle w:val="a6"/>
        <w:numPr>
          <w:ilvl w:val="0"/>
          <w:numId w:val="35"/>
        </w:numPr>
      </w:pPr>
      <w:r>
        <w:t xml:space="preserve">The </w:t>
      </w:r>
      <w:r w:rsidR="00903E5E">
        <w:t xml:space="preserve">Committee for the Reduction of </w:t>
      </w:r>
      <w:r>
        <w:t xml:space="preserve"> Concentration will formulate the list of major real corporations according to </w:t>
      </w:r>
      <w:r w:rsidR="001F652F">
        <w:t xml:space="preserve">the </w:t>
      </w:r>
      <w:r>
        <w:t xml:space="preserve">following instructions: </w:t>
      </w:r>
    </w:p>
    <w:p w:rsidR="00D03563" w:rsidRDefault="004145E4" w:rsidP="009D4101">
      <w:pPr>
        <w:pStyle w:val="a6"/>
        <w:numPr>
          <w:ilvl w:val="0"/>
          <w:numId w:val="37"/>
        </w:numPr>
        <w:spacing w:after="0"/>
        <w:ind w:left="1134" w:hanging="357"/>
      </w:pPr>
      <w:r>
        <w:t xml:space="preserve">(a) </w:t>
      </w:r>
      <w:r w:rsidR="002C0023">
        <w:t xml:space="preserve">The determination of real corporations that </w:t>
      </w:r>
      <w:r w:rsidR="00882065">
        <w:t>fulfi</w:t>
      </w:r>
      <w:r w:rsidR="00CE50DB">
        <w:t>ll</w:t>
      </w:r>
      <w:r w:rsidR="002C0023">
        <w:t xml:space="preserve"> what is stated in subparagraph (a)(1)</w:t>
      </w:r>
      <w:r w:rsidR="009D4101">
        <w:t>,</w:t>
      </w:r>
      <w:r w:rsidR="002C0023">
        <w:t xml:space="preserve"> will be carried out by the </w:t>
      </w:r>
      <w:r w:rsidR="00E32F8D">
        <w:t xml:space="preserve">General </w:t>
      </w:r>
      <w:r w:rsidR="002C0023">
        <w:t xml:space="preserve">Director of the Antitrust Authority according to, among other things, </w:t>
      </w:r>
      <w:r w:rsidR="00175296">
        <w:t>information</w:t>
      </w:r>
      <w:r w:rsidR="002C0023">
        <w:t xml:space="preserve"> that will be </w:t>
      </w:r>
      <w:r w:rsidR="009B09F2">
        <w:t xml:space="preserve">provided by the bodies that supervise the area of activity of the real corporations, if there are any, and according to information to be provided to him according to the instructions of paragraph 42; the supervisory bodies will </w:t>
      </w:r>
      <w:r w:rsidR="009B09F2">
        <w:lastRenderedPageBreak/>
        <w:t xml:space="preserve">make available to the </w:t>
      </w:r>
      <w:r w:rsidR="00E32F8D">
        <w:t xml:space="preserve">General </w:t>
      </w:r>
      <w:r w:rsidR="009B09F2">
        <w:t xml:space="preserve">Director of the Antitrust Authority the information </w:t>
      </w:r>
      <w:r w:rsidR="00175296">
        <w:t>require</w:t>
      </w:r>
      <w:r w:rsidR="009D4101">
        <w:t>d</w:t>
      </w:r>
      <w:r w:rsidR="009B09F2">
        <w:t xml:space="preserve"> in order to carry out the aforementioned; </w:t>
      </w:r>
    </w:p>
    <w:p w:rsidR="009B09F2" w:rsidRDefault="009B09F2">
      <w:pPr>
        <w:pStyle w:val="a6"/>
        <w:spacing w:after="0"/>
        <w:ind w:left="1134"/>
      </w:pPr>
      <w:r>
        <w:t xml:space="preserve">(b) If the Commissioner of the Capital Market, the Supervisor of the Banks or the Chairman of the Israel Securities Authority finds that the conditions mentioned in </w:t>
      </w:r>
      <w:r w:rsidR="00175296">
        <w:t>subparagraph</w:t>
      </w:r>
      <w:r>
        <w:t xml:space="preserve"> (a)(1) are </w:t>
      </w:r>
      <w:r w:rsidR="00882065">
        <w:t>fulfi</w:t>
      </w:r>
      <w:r w:rsidR="00CE50DB">
        <w:t>ll</w:t>
      </w:r>
      <w:r>
        <w:t xml:space="preserve">ed by </w:t>
      </w:r>
      <w:r w:rsidR="009D4101">
        <w:t xml:space="preserve">a </w:t>
      </w:r>
      <w:r>
        <w:t xml:space="preserve">real corporation </w:t>
      </w:r>
      <w:r w:rsidR="009D4101">
        <w:t xml:space="preserve">that he, </w:t>
      </w:r>
      <w:r>
        <w:t xml:space="preserve">the entity that controls it or the entity that holds more than </w:t>
      </w:r>
      <w:r w:rsidR="00CE50DB">
        <w:t xml:space="preserve">five </w:t>
      </w:r>
      <w:r>
        <w:t xml:space="preserve">percent of a specific type of means of control in it, </w:t>
      </w:r>
      <w:r w:rsidR="00F02AEC">
        <w:t>holds</w:t>
      </w:r>
      <w:r>
        <w:t xml:space="preserve"> the means of control </w:t>
      </w:r>
      <w:r w:rsidR="001F652F">
        <w:t xml:space="preserve">in a financial body </w:t>
      </w:r>
      <w:r>
        <w:t>or control</w:t>
      </w:r>
      <w:r w:rsidR="00F02AEC">
        <w:t xml:space="preserve">s </w:t>
      </w:r>
      <w:r>
        <w:t>a financial body, according to the circumstances, which is under his supervision, which is included in the list of major financial bodies</w:t>
      </w:r>
      <w:r w:rsidR="009D4101">
        <w:t>,</w:t>
      </w:r>
      <w:r>
        <w:t xml:space="preserve"> or is seeking to hold </w:t>
      </w:r>
      <w:r w:rsidR="00175296">
        <w:t>means</w:t>
      </w:r>
      <w:r>
        <w:t xml:space="preserve"> of control or to control </w:t>
      </w:r>
      <w:r w:rsidR="00CE50DB">
        <w:t xml:space="preserve">such a </w:t>
      </w:r>
      <w:r>
        <w:t xml:space="preserve">financial body, </w:t>
      </w:r>
      <w:r w:rsidR="002E678C">
        <w:t>according</w:t>
      </w:r>
      <w:r>
        <w:t xml:space="preserve"> to the circumstances, he will notify the </w:t>
      </w:r>
      <w:r w:rsidR="00E32F8D">
        <w:t xml:space="preserve">General </w:t>
      </w:r>
      <w:r>
        <w:t xml:space="preserve">Director of the Antitrust Authority of this. </w:t>
      </w:r>
    </w:p>
    <w:p w:rsidR="009B09F2" w:rsidRDefault="009B09F2" w:rsidP="00D03563">
      <w:pPr>
        <w:spacing w:after="0"/>
        <w:ind w:left="1134"/>
        <w:contextualSpacing/>
      </w:pPr>
      <w:r>
        <w:t xml:space="preserve">(c) </w:t>
      </w:r>
      <w:r w:rsidR="00F02AEC">
        <w:t xml:space="preserve">The </w:t>
      </w:r>
      <w:r w:rsidR="00E32F8D">
        <w:t xml:space="preserve">General </w:t>
      </w:r>
      <w:r w:rsidR="00F02AEC">
        <w:t xml:space="preserve">Director of the Antitrust Authority will submit the list of corporation that he has determined, as mentioned, and any revision to it to the </w:t>
      </w:r>
      <w:r w:rsidR="00903E5E">
        <w:t xml:space="preserve">Committee for the Reduction of </w:t>
      </w:r>
      <w:r w:rsidR="00F02AEC">
        <w:t xml:space="preserve"> Concentration; </w:t>
      </w:r>
    </w:p>
    <w:p w:rsidR="00F02AEC" w:rsidRDefault="00F02AEC" w:rsidP="00D03563">
      <w:pPr>
        <w:pStyle w:val="a6"/>
        <w:spacing w:after="0"/>
      </w:pPr>
      <w:r>
        <w:t xml:space="preserve">(2) The determination of real corporations that </w:t>
      </w:r>
      <w:r w:rsidR="00882065">
        <w:t>fulfi</w:t>
      </w:r>
      <w:r w:rsidR="00CE50DB">
        <w:t>ll</w:t>
      </w:r>
      <w:r>
        <w:t xml:space="preserve"> </w:t>
      </w:r>
      <w:r w:rsidR="00175296">
        <w:t>what</w:t>
      </w:r>
      <w:r>
        <w:t xml:space="preserve"> is stated in subparagraph (a</w:t>
      </w:r>
      <w:proofErr w:type="gramStart"/>
      <w:r>
        <w:t>)(</w:t>
      </w:r>
      <w:proofErr w:type="gramEnd"/>
      <w:r>
        <w:t xml:space="preserve">2) will be carried out by one of the following: </w:t>
      </w:r>
    </w:p>
    <w:p w:rsidR="00F02AEC" w:rsidRDefault="00D03563" w:rsidP="00D03563">
      <w:pPr>
        <w:pStyle w:val="a6"/>
        <w:numPr>
          <w:ilvl w:val="1"/>
          <w:numId w:val="35"/>
        </w:numPr>
        <w:spacing w:after="0"/>
      </w:pPr>
      <w:r>
        <w:t>Th</w:t>
      </w:r>
      <w:r w:rsidR="003A59D9">
        <w:t xml:space="preserve">e </w:t>
      </w:r>
      <w:r w:rsidR="00903E5E">
        <w:t xml:space="preserve">Committee for the Reduction of </w:t>
      </w:r>
      <w:r w:rsidR="003A59D9">
        <w:t xml:space="preserve"> Concentration – in </w:t>
      </w:r>
      <w:r>
        <w:t>the</w:t>
      </w:r>
      <w:r w:rsidR="003A59D9">
        <w:t xml:space="preserve"> manner described below: </w:t>
      </w:r>
    </w:p>
    <w:p w:rsidR="002718FE" w:rsidRDefault="003A59D9">
      <w:pPr>
        <w:spacing w:after="0"/>
        <w:ind w:left="1440"/>
        <w:contextualSpacing/>
      </w:pPr>
      <w:r>
        <w:t xml:space="preserve">(1) </w:t>
      </w:r>
      <w:r w:rsidR="002718FE">
        <w:t xml:space="preserve">If the </w:t>
      </w:r>
      <w:r w:rsidR="00903E5E">
        <w:t xml:space="preserve">Committee for the Reduction of </w:t>
      </w:r>
      <w:r w:rsidR="002718FE">
        <w:t xml:space="preserve"> Concentration has a reasonable basis </w:t>
      </w:r>
      <w:r w:rsidR="009D4101">
        <w:t xml:space="preserve">to assume </w:t>
      </w:r>
      <w:r w:rsidR="002718FE">
        <w:t xml:space="preserve">that a certain real corporation </w:t>
      </w:r>
      <w:r w:rsidR="00882065">
        <w:t>may fulfil</w:t>
      </w:r>
      <w:r w:rsidR="002718FE">
        <w:t xml:space="preserve">l the condition mentioned in subparagraph (a)(2), it will request from the real </w:t>
      </w:r>
      <w:r w:rsidR="00175296">
        <w:t>corporation</w:t>
      </w:r>
      <w:r w:rsidR="002718FE">
        <w:t xml:space="preserve"> or the</w:t>
      </w:r>
      <w:r w:rsidR="003105ED">
        <w:t xml:space="preserve"> </w:t>
      </w:r>
      <w:r w:rsidR="002718FE">
        <w:t xml:space="preserve">entity controlling it a declaration regarding the </w:t>
      </w:r>
      <w:r w:rsidR="00CE50DB">
        <w:t>fulfi</w:t>
      </w:r>
      <w:r w:rsidR="00882065">
        <w:t>l</w:t>
      </w:r>
      <w:r w:rsidR="002718FE">
        <w:t xml:space="preserve">lment of </w:t>
      </w:r>
      <w:r w:rsidR="00BA1283">
        <w:t>that</w:t>
      </w:r>
      <w:r w:rsidR="002718FE">
        <w:t xml:space="preserve"> </w:t>
      </w:r>
      <w:r w:rsidR="00175296">
        <w:t>condition</w:t>
      </w:r>
      <w:r w:rsidR="005604C8">
        <w:t>;</w:t>
      </w:r>
    </w:p>
    <w:p w:rsidR="003A59D9" w:rsidRDefault="002718FE" w:rsidP="00D03563">
      <w:pPr>
        <w:spacing w:after="0"/>
        <w:ind w:left="1440"/>
        <w:contextualSpacing/>
      </w:pPr>
      <w:r>
        <w:t>(2) If the</w:t>
      </w:r>
      <w:r w:rsidR="003105ED">
        <w:t xml:space="preserve"> </w:t>
      </w:r>
      <w:r w:rsidR="00903E5E">
        <w:t xml:space="preserve">Committee for the Reduction of </w:t>
      </w:r>
      <w:r>
        <w:t xml:space="preserve"> Concentration makes the request as mentioned in subparagraph (1), the real corporation or the entity that controls it, according to the circumstances, will submit to it a declaration in which it will state </w:t>
      </w:r>
      <w:r w:rsidR="00175296">
        <w:t>whether</w:t>
      </w:r>
      <w:r>
        <w:t xml:space="preserve"> the real </w:t>
      </w:r>
      <w:r w:rsidR="00175296">
        <w:t>corporation</w:t>
      </w:r>
      <w:r>
        <w:t xml:space="preserve"> </w:t>
      </w:r>
      <w:r w:rsidR="00882065">
        <w:t>fulfill</w:t>
      </w:r>
      <w:r w:rsidR="00175296">
        <w:t>s</w:t>
      </w:r>
      <w:r>
        <w:t xml:space="preserve"> the </w:t>
      </w:r>
      <w:r w:rsidR="00175296">
        <w:t>condition</w:t>
      </w:r>
      <w:r>
        <w:t xml:space="preserve"> mentioned in subparagraph (a)(2), together with</w:t>
      </w:r>
      <w:r w:rsidR="003105ED">
        <w:t xml:space="preserve"> </w:t>
      </w:r>
      <w:r w:rsidR="00882065">
        <w:t>authorization</w:t>
      </w:r>
      <w:r>
        <w:t xml:space="preserve"> from a certified accountant; </w:t>
      </w:r>
    </w:p>
    <w:p w:rsidR="00296FB3" w:rsidRDefault="002718FE" w:rsidP="005604C8">
      <w:pPr>
        <w:spacing w:after="0"/>
        <w:ind w:left="1440"/>
        <w:contextualSpacing/>
      </w:pPr>
      <w:r>
        <w:t xml:space="preserve">(3) </w:t>
      </w:r>
      <w:r w:rsidR="00296FB3">
        <w:t xml:space="preserve">If the real </w:t>
      </w:r>
      <w:r w:rsidR="00175296">
        <w:t>corporation</w:t>
      </w:r>
      <w:r w:rsidR="00296FB3">
        <w:t xml:space="preserve"> or the entity controlling it declares that the</w:t>
      </w:r>
      <w:r w:rsidR="003105ED">
        <w:t xml:space="preserve"> </w:t>
      </w:r>
      <w:r w:rsidR="00296FB3">
        <w:t xml:space="preserve">real corporation </w:t>
      </w:r>
      <w:r w:rsidR="00882065">
        <w:t>fulfill</w:t>
      </w:r>
      <w:r w:rsidR="00296FB3">
        <w:t>s the condition mentioned in subparagraph (a</w:t>
      </w:r>
      <w:proofErr w:type="gramStart"/>
      <w:r w:rsidR="00296FB3">
        <w:t>)(</w:t>
      </w:r>
      <w:proofErr w:type="gramEnd"/>
      <w:r w:rsidR="00296FB3">
        <w:t xml:space="preserve">2), then the </w:t>
      </w:r>
      <w:r w:rsidR="00903E5E">
        <w:t xml:space="preserve">Committee for the Reduction of </w:t>
      </w:r>
      <w:r w:rsidR="00296FB3">
        <w:t xml:space="preserve"> Concentration will declare it </w:t>
      </w:r>
      <w:r w:rsidR="005604C8">
        <w:t xml:space="preserve">to be </w:t>
      </w:r>
      <w:r w:rsidR="00296FB3">
        <w:t xml:space="preserve">a major real </w:t>
      </w:r>
      <w:r w:rsidR="00175296">
        <w:t>corporation</w:t>
      </w:r>
      <w:r w:rsidR="00296FB3">
        <w:t xml:space="preserve">. </w:t>
      </w:r>
    </w:p>
    <w:p w:rsidR="00B654FD" w:rsidRDefault="005604C8">
      <w:pPr>
        <w:pStyle w:val="a6"/>
        <w:numPr>
          <w:ilvl w:val="1"/>
          <w:numId w:val="35"/>
        </w:numPr>
      </w:pPr>
      <w:r>
        <w:t>T</w:t>
      </w:r>
      <w:r w:rsidR="00296FB3">
        <w:t>he Commission</w:t>
      </w:r>
      <w:r w:rsidR="00EA36F4">
        <w:t>er</w:t>
      </w:r>
      <w:r w:rsidR="00296FB3">
        <w:t xml:space="preserve"> of the Capital Market, the Supervisor of Banks or the Chairman of the Israel Securities Authority – </w:t>
      </w:r>
      <w:r>
        <w:t>i</w:t>
      </w:r>
      <w:r w:rsidR="00296FB3">
        <w:t xml:space="preserve">f it found that the condition stated in subparagraph (a)(2) is </w:t>
      </w:r>
      <w:r w:rsidR="00882065">
        <w:t>fulfil</w:t>
      </w:r>
      <w:r w:rsidR="00296FB3">
        <w:t xml:space="preserve">led by </w:t>
      </w:r>
      <w:r w:rsidR="00CE50DB">
        <w:t xml:space="preserve">a </w:t>
      </w:r>
      <w:r w:rsidR="00296FB3">
        <w:t xml:space="preserve">real corporation, </w:t>
      </w:r>
      <w:r w:rsidR="00CE50DB">
        <w:t xml:space="preserve">that he, </w:t>
      </w:r>
      <w:r w:rsidR="00296FB3">
        <w:t xml:space="preserve">the entity controlling it or the entity controlling more than </w:t>
      </w:r>
      <w:r w:rsidR="00CE50DB">
        <w:t xml:space="preserve">five </w:t>
      </w:r>
      <w:r w:rsidR="00296FB3">
        <w:t xml:space="preserve">percent of a certain type of means of control, holds the means of control </w:t>
      </w:r>
      <w:r w:rsidR="00EA36F4">
        <w:t xml:space="preserve">in a financial body </w:t>
      </w:r>
      <w:r w:rsidR="00296FB3">
        <w:t>or control</w:t>
      </w:r>
      <w:r>
        <w:t>s</w:t>
      </w:r>
      <w:r w:rsidR="00296FB3">
        <w:t xml:space="preserve"> a financial body, according to the circumstances, under his supervision, which is included in the list of major financial </w:t>
      </w:r>
      <w:r w:rsidR="00175296">
        <w:t>bodies</w:t>
      </w:r>
      <w:r w:rsidR="00296FB3">
        <w:t xml:space="preserve">, or is seeking to hold means of </w:t>
      </w:r>
      <w:r w:rsidR="00175296">
        <w:t>control</w:t>
      </w:r>
      <w:r w:rsidR="00296FB3">
        <w:t xml:space="preserve"> or controls such a financial body, </w:t>
      </w:r>
      <w:r w:rsidR="002E678C">
        <w:t>according</w:t>
      </w:r>
      <w:r w:rsidR="00296FB3">
        <w:t xml:space="preserve"> to the</w:t>
      </w:r>
      <w:r w:rsidR="003105ED">
        <w:t xml:space="preserve"> </w:t>
      </w:r>
      <w:r w:rsidR="00296FB3">
        <w:t>circumst</w:t>
      </w:r>
      <w:r w:rsidR="00175296">
        <w:t>a</w:t>
      </w:r>
      <w:r w:rsidR="00296FB3">
        <w:t>n</w:t>
      </w:r>
      <w:r w:rsidR="00175296">
        <w:t>c</w:t>
      </w:r>
      <w:r w:rsidR="00296FB3">
        <w:t>es; if</w:t>
      </w:r>
      <w:r w:rsidR="003105ED">
        <w:t xml:space="preserve"> </w:t>
      </w:r>
      <w:r w:rsidR="00296FB3">
        <w:t>the Director of</w:t>
      </w:r>
      <w:r w:rsidR="003105ED">
        <w:t xml:space="preserve"> </w:t>
      </w:r>
      <w:r w:rsidR="00296FB3">
        <w:t xml:space="preserve">the Capital Market, the Supervisor of Banks or the Chairman of the Israel Securities Authority </w:t>
      </w:r>
      <w:r w:rsidR="001F652F">
        <w:t xml:space="preserve">has </w:t>
      </w:r>
      <w:r w:rsidR="00296FB3">
        <w:t xml:space="preserve">found that the aforementioned condition is </w:t>
      </w:r>
      <w:r w:rsidR="00CE50DB">
        <w:t>fulfi</w:t>
      </w:r>
      <w:r w:rsidR="00882065">
        <w:t>l</w:t>
      </w:r>
      <w:r w:rsidR="00296FB3">
        <w:t xml:space="preserve">led, he will notify the </w:t>
      </w:r>
      <w:r w:rsidR="00903E5E">
        <w:t xml:space="preserve">Committee for the Reduction of </w:t>
      </w:r>
      <w:r w:rsidR="00296FB3">
        <w:t xml:space="preserve"> Concentration of this. </w:t>
      </w:r>
    </w:p>
    <w:p w:rsidR="00296FB3" w:rsidRDefault="00296FB3" w:rsidP="00296FB3">
      <w:pPr>
        <w:pStyle w:val="a6"/>
        <w:numPr>
          <w:ilvl w:val="0"/>
          <w:numId w:val="35"/>
        </w:numPr>
      </w:pPr>
      <w:r>
        <w:t>The list of major real corporations will include the name of</w:t>
      </w:r>
      <w:r w:rsidR="003105ED">
        <w:t xml:space="preserve"> </w:t>
      </w:r>
      <w:r>
        <w:t xml:space="preserve">the real corporation and </w:t>
      </w:r>
      <w:r w:rsidR="00175296">
        <w:t>the entity</w:t>
      </w:r>
      <w:r>
        <w:t xml:space="preserve"> controlling it. </w:t>
      </w:r>
    </w:p>
    <w:p w:rsidR="00296FB3" w:rsidRDefault="00296FB3" w:rsidP="00296FB3">
      <w:pPr>
        <w:pStyle w:val="a6"/>
        <w:numPr>
          <w:ilvl w:val="0"/>
          <w:numId w:val="35"/>
        </w:numPr>
      </w:pPr>
      <w:r>
        <w:t xml:space="preserve">In this paragraph – </w:t>
      </w:r>
    </w:p>
    <w:p w:rsidR="00296FB3" w:rsidRDefault="00175296" w:rsidP="005604C8">
      <w:pPr>
        <w:pStyle w:val="a6"/>
      </w:pPr>
      <w:r>
        <w:lastRenderedPageBreak/>
        <w:t xml:space="preserve">“Credit” – credit received by a </w:t>
      </w:r>
      <w:r w:rsidR="00B774A9">
        <w:t>person</w:t>
      </w:r>
      <w:r>
        <w:t xml:space="preserve"> from a financial body in Israel or from a corporation in Israel that is controll</w:t>
      </w:r>
      <w:r w:rsidR="005604C8">
        <w:t>ed</w:t>
      </w:r>
      <w:r>
        <w:t xml:space="preserve"> by such a financial body and also bonds issued by a </w:t>
      </w:r>
      <w:r w:rsidR="00B774A9">
        <w:t>person</w:t>
      </w:r>
      <w:r>
        <w:t xml:space="preserve"> in Israel including by means of a corporation under his control, excluding credit he received or bonds that he issued for one of the following purposes:</w:t>
      </w:r>
    </w:p>
    <w:p w:rsidR="003F6F1B" w:rsidRDefault="00175296" w:rsidP="003F6F1B">
      <w:pPr>
        <w:pStyle w:val="a6"/>
        <w:numPr>
          <w:ilvl w:val="0"/>
          <w:numId w:val="40"/>
        </w:numPr>
      </w:pPr>
      <w:r>
        <w:t>Acquisition</w:t>
      </w:r>
      <w:r w:rsidR="003F6F1B">
        <w:t xml:space="preserve"> of control of a financial body or acquisition of additional means of control in a financial body after the acquisition of control; </w:t>
      </w:r>
    </w:p>
    <w:p w:rsidR="003F6F1B" w:rsidRDefault="00175296" w:rsidP="003F6F1B">
      <w:pPr>
        <w:pStyle w:val="a6"/>
        <w:numPr>
          <w:ilvl w:val="0"/>
          <w:numId w:val="40"/>
        </w:numPr>
      </w:pPr>
      <w:r>
        <w:t>Acquisition</w:t>
      </w:r>
      <w:r w:rsidR="003F6F1B">
        <w:t xml:space="preserve"> of activity of a financial body; </w:t>
      </w:r>
    </w:p>
    <w:p w:rsidR="003F6F1B" w:rsidRDefault="003F6F1B" w:rsidP="005604C8">
      <w:pPr>
        <w:pStyle w:val="a6"/>
        <w:numPr>
          <w:ilvl w:val="0"/>
          <w:numId w:val="40"/>
        </w:numPr>
      </w:pPr>
      <w:r>
        <w:t xml:space="preserve">Financing of a public project with the participation of the private sector, carried out in Israel, where its financing agreement was approved by the public body responsible for the project; for this </w:t>
      </w:r>
      <w:r w:rsidR="00175296">
        <w:t>purpose</w:t>
      </w:r>
      <w:r>
        <w:t xml:space="preserve">, “public body” – the </w:t>
      </w:r>
      <w:r w:rsidR="005604C8">
        <w:t>G</w:t>
      </w:r>
      <w:r w:rsidR="00175296">
        <w:t>overnment</w:t>
      </w:r>
      <w:r w:rsidR="005604C8">
        <w:t xml:space="preserve"> or</w:t>
      </w:r>
      <w:r>
        <w:t xml:space="preserve"> a </w:t>
      </w:r>
      <w:r w:rsidR="00175296">
        <w:t>government</w:t>
      </w:r>
      <w:r>
        <w:t xml:space="preserve"> company as defined in the </w:t>
      </w:r>
      <w:r w:rsidR="002E678C">
        <w:t>Government</w:t>
      </w:r>
      <w:r>
        <w:t xml:space="preserve"> Companies Law, which serves as the executive arm of the public project according to the decision of the </w:t>
      </w:r>
      <w:r w:rsidR="005604C8">
        <w:t>G</w:t>
      </w:r>
      <w:r>
        <w:t xml:space="preserve">overnment; </w:t>
      </w:r>
    </w:p>
    <w:p w:rsidR="003F6F1B" w:rsidRDefault="003F6F1B" w:rsidP="005604C8">
      <w:pPr>
        <w:ind w:left="720"/>
      </w:pPr>
      <w:r>
        <w:t xml:space="preserve">“Determining credit” – the total credit that a </w:t>
      </w:r>
      <w:r w:rsidR="00B774A9">
        <w:t>person</w:t>
      </w:r>
      <w:r>
        <w:t xml:space="preserve"> owes at the end of the previous fiscal year according to the method of calculation to be determined </w:t>
      </w:r>
      <w:r w:rsidR="00175296">
        <w:t>by the</w:t>
      </w:r>
      <w:r>
        <w:t xml:space="preserve"> </w:t>
      </w:r>
      <w:r w:rsidR="00903E5E">
        <w:t xml:space="preserve">Committee for the Reduction of </w:t>
      </w:r>
      <w:r>
        <w:t xml:space="preserve"> Concentration</w:t>
      </w:r>
      <w:r w:rsidR="00CE50DB">
        <w:t>,</w:t>
      </w:r>
      <w:r>
        <w:t xml:space="preserve"> and with</w:t>
      </w:r>
      <w:r w:rsidR="003105ED">
        <w:t xml:space="preserve"> </w:t>
      </w:r>
      <w:r>
        <w:t xml:space="preserve">regard to a corporation that has prepared an annual </w:t>
      </w:r>
      <w:r w:rsidR="00175296">
        <w:t>financial</w:t>
      </w:r>
      <w:r>
        <w:t xml:space="preserve"> statement </w:t>
      </w:r>
      <w:r w:rsidR="005604C8">
        <w:t>for</w:t>
      </w:r>
      <w:r>
        <w:t xml:space="preserve"> that fiscal year – the net balance of credit </w:t>
      </w:r>
      <w:r w:rsidR="00175296">
        <w:t>appearing</w:t>
      </w:r>
      <w:r>
        <w:t xml:space="preserve"> in the balance sheet of that statement, and in this context net credit will be viewed as the credit appearing in the balance sheet less cash, cash equivalents and bank deposits; however, if the </w:t>
      </w:r>
      <w:r w:rsidR="00903E5E">
        <w:t xml:space="preserve">Committee for the Reduction of </w:t>
      </w:r>
      <w:r>
        <w:t xml:space="preserve"> Concentration is convinced that the credit balance in</w:t>
      </w:r>
      <w:r w:rsidR="003105ED">
        <w:t xml:space="preserve"> </w:t>
      </w:r>
      <w:r>
        <w:t xml:space="preserve">the previous fiscal year does not represent the activity of that </w:t>
      </w:r>
      <w:r w:rsidR="00B774A9">
        <w:t>person</w:t>
      </w:r>
      <w:r>
        <w:t xml:space="preserve"> – the aforementioned credit balance at the end </w:t>
      </w:r>
      <w:r w:rsidR="005604C8">
        <w:t xml:space="preserve">of </w:t>
      </w:r>
      <w:r>
        <w:t xml:space="preserve">one of </w:t>
      </w:r>
      <w:r w:rsidR="00175296">
        <w:t>the</w:t>
      </w:r>
      <w:r>
        <w:t xml:space="preserve"> two fiscal years that </w:t>
      </w:r>
      <w:r w:rsidR="00175296">
        <w:t>precede</w:t>
      </w:r>
      <w:r w:rsidR="00EA36F4">
        <w:t>d</w:t>
      </w:r>
      <w:r>
        <w:t xml:space="preserve"> the previous fiscal year or an average of </w:t>
      </w:r>
      <w:r w:rsidR="005604C8">
        <w:t>the aforementioned</w:t>
      </w:r>
      <w:r>
        <w:t xml:space="preserve"> credit balances for those </w:t>
      </w:r>
      <w:r w:rsidR="00175296">
        <w:t>three years</w:t>
      </w:r>
      <w:r>
        <w:t xml:space="preserve">, </w:t>
      </w:r>
      <w:r w:rsidR="002E678C">
        <w:t>according</w:t>
      </w:r>
      <w:r>
        <w:t xml:space="preserve"> to the decision of the Committee;</w:t>
      </w:r>
      <w:r w:rsidR="003105ED">
        <w:t xml:space="preserve"> </w:t>
      </w:r>
    </w:p>
    <w:p w:rsidR="00CB4237" w:rsidRDefault="00CB4237">
      <w:pPr>
        <w:ind w:left="720"/>
      </w:pPr>
      <w:r>
        <w:t xml:space="preserve">“Determining sales </w:t>
      </w:r>
      <w:r w:rsidR="00E56D4F">
        <w:t>turnover</w:t>
      </w:r>
      <w:r>
        <w:t xml:space="preserve">” – total </w:t>
      </w:r>
      <w:r w:rsidR="00E56D4F">
        <w:t>turnover</w:t>
      </w:r>
      <w:r w:rsidR="00E56D4F" w:rsidDel="00E56D4F">
        <w:t xml:space="preserve"> </w:t>
      </w:r>
      <w:r>
        <w:t xml:space="preserve">from any source and of any type that was </w:t>
      </w:r>
      <w:r w:rsidR="00175296">
        <w:t>received</w:t>
      </w:r>
      <w:r>
        <w:t xml:space="preserve"> in Israel in the previous fiscal year, </w:t>
      </w:r>
      <w:r w:rsidR="00175296">
        <w:t>according</w:t>
      </w:r>
      <w:r>
        <w:t xml:space="preserve"> to the annual financial statement prepared for that year, and if </w:t>
      </w:r>
      <w:r w:rsidR="00CE50DB">
        <w:t xml:space="preserve">such a </w:t>
      </w:r>
      <w:r w:rsidR="005604C8">
        <w:t>financial statement</w:t>
      </w:r>
      <w:r>
        <w:t xml:space="preserve"> w</w:t>
      </w:r>
      <w:r w:rsidR="00651965">
        <w:t>as</w:t>
      </w:r>
      <w:r>
        <w:t xml:space="preserve"> not prepared – </w:t>
      </w:r>
      <w:r w:rsidR="002E678C">
        <w:t>according</w:t>
      </w:r>
      <w:r>
        <w:t xml:space="preserve"> </w:t>
      </w:r>
      <w:r w:rsidR="003D5030">
        <w:t>to</w:t>
      </w:r>
      <w:r>
        <w:t xml:space="preserve"> the method of calculation that will be decided on by the </w:t>
      </w:r>
      <w:r w:rsidR="00E32F8D">
        <w:t xml:space="preserve">General </w:t>
      </w:r>
      <w:r>
        <w:t xml:space="preserve">Director of the Antitrust Authority; however, if the </w:t>
      </w:r>
      <w:r w:rsidR="00E32F8D">
        <w:t xml:space="preserve">General </w:t>
      </w:r>
      <w:r>
        <w:t xml:space="preserve">Director of the Antitrust Authority is convinced that the sum of </w:t>
      </w:r>
      <w:r w:rsidR="00E56D4F">
        <w:t>turnover</w:t>
      </w:r>
      <w:r w:rsidR="00E56D4F" w:rsidDel="00E56D4F">
        <w:t xml:space="preserve"> </w:t>
      </w:r>
      <w:r>
        <w:t xml:space="preserve">received, as mentioned, in the previous fiscal year does not </w:t>
      </w:r>
      <w:r w:rsidR="00175296">
        <w:t>represent</w:t>
      </w:r>
      <w:r>
        <w:t xml:space="preserve"> the activity of the receiver of the </w:t>
      </w:r>
      <w:r w:rsidR="00E56D4F">
        <w:t>turnover</w:t>
      </w:r>
      <w:r w:rsidR="00E56D4F" w:rsidDel="00E56D4F">
        <w:t xml:space="preserve"> </w:t>
      </w:r>
      <w:r>
        <w:t xml:space="preserve">– the total of such </w:t>
      </w:r>
      <w:r w:rsidR="00E56D4F">
        <w:t>turnover</w:t>
      </w:r>
      <w:r w:rsidR="00E56D4F" w:rsidDel="00E56D4F">
        <w:t xml:space="preserve"> </w:t>
      </w:r>
      <w:r>
        <w:t xml:space="preserve">that </w:t>
      </w:r>
      <w:r w:rsidR="0068618D">
        <w:t>was</w:t>
      </w:r>
      <w:r>
        <w:t xml:space="preserve"> received in one of the two fiscal years that preceded the</w:t>
      </w:r>
      <w:r w:rsidR="003105ED">
        <w:t xml:space="preserve"> </w:t>
      </w:r>
      <w:r w:rsidR="00175296">
        <w:t>previous</w:t>
      </w:r>
      <w:r>
        <w:t xml:space="preserve"> fiscal year or an average of</w:t>
      </w:r>
      <w:r w:rsidR="003105ED">
        <w:t xml:space="preserve"> </w:t>
      </w:r>
      <w:r>
        <w:t xml:space="preserve">the aforementioned </w:t>
      </w:r>
      <w:r w:rsidR="00E56D4F">
        <w:t>turnover</w:t>
      </w:r>
      <w:r w:rsidR="00E56D4F" w:rsidDel="00E56D4F">
        <w:t xml:space="preserve"> </w:t>
      </w:r>
      <w:r>
        <w:t>tot</w:t>
      </w:r>
      <w:r w:rsidR="00175296">
        <w:t>als for those three</w:t>
      </w:r>
      <w:r>
        <w:t xml:space="preserve"> years, according to the decision of the </w:t>
      </w:r>
      <w:r w:rsidR="00E32F8D">
        <w:t xml:space="preserve">General </w:t>
      </w:r>
      <w:r>
        <w:t xml:space="preserve">Director; </w:t>
      </w:r>
    </w:p>
    <w:p w:rsidR="00CB4237" w:rsidRDefault="00CB4237" w:rsidP="002472B3">
      <w:pPr>
        <w:ind w:left="720"/>
      </w:pPr>
      <w:r>
        <w:t xml:space="preserve">“Controlling entity”, in a real corporation – including a holder of a </w:t>
      </w:r>
      <w:r w:rsidR="002472B3" w:rsidRPr="002472B3">
        <w:t>controlling parcel</w:t>
      </w:r>
      <w:r w:rsidR="0068618D">
        <w:t>,</w:t>
      </w:r>
      <w:r>
        <w:t xml:space="preserve"> as defined in the Companies Law, in a real </w:t>
      </w:r>
      <w:r w:rsidR="00175296">
        <w:t>corporation</w:t>
      </w:r>
      <w:r>
        <w:t xml:space="preserve"> in which there is no other controlling entity.</w:t>
      </w:r>
    </w:p>
    <w:p w:rsidR="00932732" w:rsidRDefault="00932732" w:rsidP="00932732">
      <w:r>
        <w:t>31. Revision of amounts</w:t>
      </w:r>
    </w:p>
    <w:p w:rsidR="00932732" w:rsidRPr="00932732" w:rsidRDefault="00932732" w:rsidP="00932732">
      <w:r>
        <w:t>The amounts specified in paragraphs 29(a) and 30(a) will be updated on January 16</w:t>
      </w:r>
      <w:r w:rsidRPr="00932732">
        <w:rPr>
          <w:vertAlign w:val="superscript"/>
        </w:rPr>
        <w:t>th</w:t>
      </w:r>
      <w:r>
        <w:t xml:space="preserve"> of each year (in this paragraph – the date of updating), according to the rate of change in the known index on the date of updating relative to the known index on January 16</w:t>
      </w:r>
      <w:r w:rsidRPr="00932732">
        <w:rPr>
          <w:vertAlign w:val="superscript"/>
        </w:rPr>
        <w:t>th</w:t>
      </w:r>
      <w:r>
        <w:t xml:space="preserve"> of the previous year; the </w:t>
      </w:r>
      <w:r w:rsidR="00903E5E">
        <w:t xml:space="preserve">Committee for the </w:t>
      </w:r>
      <w:r w:rsidR="00903E5E">
        <w:lastRenderedPageBreak/>
        <w:t>Reduction of</w:t>
      </w:r>
      <w:r>
        <w:t xml:space="preserve"> Concentration will publish in </w:t>
      </w:r>
      <w:r w:rsidR="00CE50DB">
        <w:t xml:space="preserve">the </w:t>
      </w:r>
      <w:r w:rsidR="002B59FD" w:rsidRPr="00311544">
        <w:t>Official Gazette</w:t>
      </w:r>
      <w:r>
        <w:t xml:space="preserve"> an announcement of the updated amounts according to this paragraph. </w:t>
      </w:r>
    </w:p>
    <w:p w:rsidR="00CB4237" w:rsidRDefault="00175296" w:rsidP="00CB4237">
      <w:pPr>
        <w:jc w:val="center"/>
      </w:pPr>
      <w:r>
        <w:t>Chapter</w:t>
      </w:r>
      <w:r w:rsidR="00CB4237">
        <w:t xml:space="preserve"> E: General Instructions</w:t>
      </w:r>
    </w:p>
    <w:p w:rsidR="00CB4237" w:rsidRDefault="00CB4237" w:rsidP="00764E68">
      <w:r>
        <w:t xml:space="preserve">40. The </w:t>
      </w:r>
      <w:r w:rsidR="00903E5E">
        <w:t xml:space="preserve">Committee for the Reduction </w:t>
      </w:r>
      <w:proofErr w:type="gramStart"/>
      <w:r w:rsidR="00903E5E">
        <w:t xml:space="preserve">of </w:t>
      </w:r>
      <w:r>
        <w:t xml:space="preserve"> Concentration</w:t>
      </w:r>
      <w:proofErr w:type="gramEnd"/>
    </w:p>
    <w:p w:rsidR="00CB4237" w:rsidRDefault="00CB4237" w:rsidP="00CA2703">
      <w:pPr>
        <w:pStyle w:val="a6"/>
        <w:numPr>
          <w:ilvl w:val="1"/>
          <w:numId w:val="35"/>
        </w:numPr>
        <w:ind w:left="1080"/>
      </w:pPr>
      <w:r>
        <w:t xml:space="preserve">The </w:t>
      </w:r>
      <w:r w:rsidR="00903E5E">
        <w:t xml:space="preserve">Committee for the Reduction of </w:t>
      </w:r>
      <w:r>
        <w:t xml:space="preserve"> Concentration is hereby created and </w:t>
      </w:r>
      <w:r w:rsidR="00CA2703">
        <w:t>following</w:t>
      </w:r>
      <w:r>
        <w:t xml:space="preserve"> are its members: </w:t>
      </w:r>
    </w:p>
    <w:p w:rsidR="00CB4237" w:rsidRDefault="00CB4237" w:rsidP="00CA2703">
      <w:pPr>
        <w:pStyle w:val="a6"/>
        <w:numPr>
          <w:ilvl w:val="2"/>
          <w:numId w:val="35"/>
        </w:numPr>
        <w:ind w:left="1418"/>
      </w:pPr>
      <w:r>
        <w:t xml:space="preserve">The </w:t>
      </w:r>
      <w:r w:rsidR="00E32F8D">
        <w:t xml:space="preserve">General </w:t>
      </w:r>
      <w:r>
        <w:t xml:space="preserve">Director of the Antitrust Authority who will be its chairman; </w:t>
      </w:r>
    </w:p>
    <w:p w:rsidR="00487D9B" w:rsidRDefault="00487D9B">
      <w:pPr>
        <w:pStyle w:val="a6"/>
        <w:numPr>
          <w:ilvl w:val="2"/>
          <w:numId w:val="35"/>
        </w:numPr>
        <w:ind w:left="1418"/>
      </w:pPr>
      <w:r>
        <w:t xml:space="preserve">The Director General of the Ministry of Finance or a </w:t>
      </w:r>
      <w:r w:rsidR="00D03E49">
        <w:t xml:space="preserve">head of department </w:t>
      </w:r>
      <w:r>
        <w:t xml:space="preserve">in the Ministry of Finance who is acting </w:t>
      </w:r>
      <w:r w:rsidR="00D03E49">
        <w:t xml:space="preserve">as </w:t>
      </w:r>
      <w:r>
        <w:t xml:space="preserve">head of </w:t>
      </w:r>
      <w:r w:rsidR="00D03E49">
        <w:t xml:space="preserve">the </w:t>
      </w:r>
      <w:r w:rsidR="00CA2703">
        <w:t xml:space="preserve">economic </w:t>
      </w:r>
      <w:r w:rsidR="00D03E49">
        <w:t xml:space="preserve">department </w:t>
      </w:r>
      <w:r>
        <w:t xml:space="preserve">if the Ministry of Finance has </w:t>
      </w:r>
      <w:r w:rsidR="00175296">
        <w:t>appointed</w:t>
      </w:r>
      <w:r>
        <w:t xml:space="preserve"> h</w:t>
      </w:r>
      <w:r w:rsidR="00CA2703">
        <w:t>im as a member of the Committee;</w:t>
      </w:r>
    </w:p>
    <w:p w:rsidR="00487D9B" w:rsidRDefault="00487D9B">
      <w:pPr>
        <w:pStyle w:val="a6"/>
        <w:numPr>
          <w:ilvl w:val="2"/>
          <w:numId w:val="35"/>
        </w:numPr>
        <w:ind w:left="1418"/>
      </w:pPr>
      <w:r>
        <w:t xml:space="preserve">The Head of the </w:t>
      </w:r>
      <w:r w:rsidR="00D93C34">
        <w:t>Economy-wide</w:t>
      </w:r>
      <w:r>
        <w:t xml:space="preserve"> </w:t>
      </w:r>
      <w:r w:rsidR="00175296">
        <w:t>Economic</w:t>
      </w:r>
      <w:r>
        <w:t xml:space="preserve"> Council which operates according to the </w:t>
      </w:r>
      <w:r w:rsidR="003D5030">
        <w:t xml:space="preserve">decision of the </w:t>
      </w:r>
      <w:r w:rsidR="00CA2703">
        <w:t>G</w:t>
      </w:r>
      <w:r w:rsidR="00175296">
        <w:t>overnment</w:t>
      </w:r>
      <w:r w:rsidR="00D03E49">
        <w:t>,</w:t>
      </w:r>
      <w:r>
        <w:t xml:space="preserve"> or one of his </w:t>
      </w:r>
      <w:r w:rsidR="00D03E49">
        <w:t xml:space="preserve">deputies </w:t>
      </w:r>
      <w:r>
        <w:t>if the Prime Minister appo</w:t>
      </w:r>
      <w:r w:rsidR="00175296">
        <w:t>in</w:t>
      </w:r>
      <w:r>
        <w:t xml:space="preserve">ts him as a member of the Committee. </w:t>
      </w:r>
    </w:p>
    <w:p w:rsidR="00487D9B" w:rsidRDefault="0045701C">
      <w:pPr>
        <w:pStyle w:val="a6"/>
        <w:numPr>
          <w:ilvl w:val="1"/>
          <w:numId w:val="35"/>
        </w:numPr>
        <w:ind w:left="1134"/>
      </w:pPr>
      <w:r>
        <w:t xml:space="preserve">The </w:t>
      </w:r>
      <w:r w:rsidR="00903E5E">
        <w:t>Committee for the Reduction of</w:t>
      </w:r>
      <w:r>
        <w:t xml:space="preserve"> Concentration will decide on its work </w:t>
      </w:r>
      <w:r w:rsidR="00B774A9">
        <w:t>procedures</w:t>
      </w:r>
      <w:r>
        <w:t>; however, it</w:t>
      </w:r>
      <w:r w:rsidR="00CA2703">
        <w:t>s</w:t>
      </w:r>
      <w:r>
        <w:t xml:space="preserve"> existence, its powers, </w:t>
      </w:r>
      <w:r w:rsidR="00CA2703">
        <w:t xml:space="preserve">and </w:t>
      </w:r>
      <w:r>
        <w:t>the validity of its decision</w:t>
      </w:r>
      <w:r w:rsidR="00B774A9">
        <w:t>s</w:t>
      </w:r>
      <w:r>
        <w:t xml:space="preserve"> or </w:t>
      </w:r>
      <w:r w:rsidR="00B774A9">
        <w:t xml:space="preserve">actions </w:t>
      </w:r>
      <w:r>
        <w:t xml:space="preserve">will not be diminished if one of its members leaves the Committee or due </w:t>
      </w:r>
      <w:r w:rsidR="00B774A9">
        <w:t xml:space="preserve">to </w:t>
      </w:r>
      <w:r>
        <w:t xml:space="preserve">an error in his appointment or </w:t>
      </w:r>
      <w:r w:rsidR="00B774A9">
        <w:t xml:space="preserve">the continuation of his </w:t>
      </w:r>
      <w:r>
        <w:t>tenure.</w:t>
      </w:r>
    </w:p>
    <w:p w:rsidR="00487D9B" w:rsidRDefault="00487D9B" w:rsidP="00487D9B">
      <w:r>
        <w:t>41. A request to revise or supplement information in</w:t>
      </w:r>
      <w:r w:rsidR="003105ED">
        <w:t xml:space="preserve"> </w:t>
      </w:r>
      <w:r>
        <w:t>the lists</w:t>
      </w:r>
    </w:p>
    <w:p w:rsidR="00C36999" w:rsidRDefault="001E5A85" w:rsidP="003D5030">
      <w:r>
        <w:t xml:space="preserve">If a </w:t>
      </w:r>
      <w:r w:rsidR="00B774A9">
        <w:t>person</w:t>
      </w:r>
      <w:r>
        <w:t xml:space="preserve"> finds that information </w:t>
      </w:r>
      <w:r w:rsidR="00CA2703">
        <w:t>about</w:t>
      </w:r>
      <w:r>
        <w:t xml:space="preserve"> him in the list of major financial bodies, the list of major real corporations or </w:t>
      </w:r>
      <w:r w:rsidR="0045701C">
        <w:t>the list</w:t>
      </w:r>
      <w:r>
        <w:t xml:space="preserve"> of </w:t>
      </w:r>
      <w:r w:rsidR="001715AA">
        <w:t>concentrated entities</w:t>
      </w:r>
      <w:r>
        <w:t xml:space="preserve"> is incorrect, incomplete</w:t>
      </w:r>
      <w:r w:rsidR="00CA2703">
        <w:t>,</w:t>
      </w:r>
      <w:r>
        <w:t xml:space="preserve"> unclear or out of date (in this paragraph </w:t>
      </w:r>
      <w:r w:rsidR="00CA2703">
        <w:t xml:space="preserve">– </w:t>
      </w:r>
      <w:r>
        <w:t xml:space="preserve">erroneous information), he has the right to request that the </w:t>
      </w:r>
      <w:r w:rsidR="00903E5E">
        <w:t xml:space="preserve">Committee for the Reduction of </w:t>
      </w:r>
      <w:r>
        <w:t xml:space="preserve"> </w:t>
      </w:r>
      <w:r w:rsidR="0045701C">
        <w:t>Concentration</w:t>
      </w:r>
      <w:r>
        <w:t xml:space="preserve"> correct the erroneous information or omit it; if the Committee</w:t>
      </w:r>
      <w:r w:rsidR="003105ED">
        <w:t xml:space="preserve"> </w:t>
      </w:r>
      <w:r>
        <w:t xml:space="preserve">feels that the request should be </w:t>
      </w:r>
      <w:r w:rsidR="003D5030">
        <w:t>met</w:t>
      </w:r>
      <w:r>
        <w:t>, it will revise the</w:t>
      </w:r>
      <w:r w:rsidR="003105ED">
        <w:t xml:space="preserve"> </w:t>
      </w:r>
      <w:r>
        <w:t xml:space="preserve">list accordingly; if the Committee feels that the request should be rejected, it will notify the </w:t>
      </w:r>
      <w:r w:rsidR="00B774A9">
        <w:t>person</w:t>
      </w:r>
      <w:r>
        <w:t xml:space="preserve"> who made the request; if a different entity is responsible for determining the </w:t>
      </w:r>
      <w:r w:rsidR="00C36999">
        <w:t>accuracy of the information that is the subject of the</w:t>
      </w:r>
      <w:r w:rsidR="003105ED">
        <w:t xml:space="preserve"> </w:t>
      </w:r>
      <w:r w:rsidR="00C36999">
        <w:t xml:space="preserve">request, according to paragraph 4(d), 29(b) or 30(c), the Committee will request the position of that entity and will decide on the request according to that position. </w:t>
      </w:r>
    </w:p>
    <w:p w:rsidR="00C36999" w:rsidRDefault="00C36999" w:rsidP="00487D9B">
      <w:r>
        <w:t xml:space="preserve">42. Obligation to provide information to the </w:t>
      </w:r>
      <w:r w:rsidR="00E32F8D">
        <w:t xml:space="preserve">General </w:t>
      </w:r>
      <w:r>
        <w:t>Director of the Antitrust Authority</w:t>
      </w:r>
    </w:p>
    <w:p w:rsidR="00865BC1" w:rsidRDefault="00B774A9">
      <w:r>
        <w:t>All persons shall be obliged, upon demand</w:t>
      </w:r>
      <w:r w:rsidR="00641D6B">
        <w:t xml:space="preserve"> </w:t>
      </w:r>
      <w:r>
        <w:t xml:space="preserve">by </w:t>
      </w:r>
      <w:r w:rsidR="00641D6B">
        <w:t xml:space="preserve">the </w:t>
      </w:r>
      <w:r w:rsidR="00E32F8D">
        <w:t xml:space="preserve">General </w:t>
      </w:r>
      <w:r w:rsidR="00641D6B">
        <w:t xml:space="preserve">Director of the Antitrust </w:t>
      </w:r>
      <w:r w:rsidR="0045701C">
        <w:t>Authority</w:t>
      </w:r>
      <w:r w:rsidR="00641D6B">
        <w:t xml:space="preserve"> or any </w:t>
      </w:r>
      <w:r w:rsidR="007F1F50">
        <w:t xml:space="preserve">person authorized by him for such purpose from amongst the civil servants, </w:t>
      </w:r>
      <w:r w:rsidR="00641D6B">
        <w:t xml:space="preserve">to </w:t>
      </w:r>
      <w:r w:rsidR="007F1F50">
        <w:t xml:space="preserve">provide him with all </w:t>
      </w:r>
      <w:r w:rsidR="00641D6B">
        <w:t xml:space="preserve">information, documents, </w:t>
      </w:r>
      <w:r w:rsidR="007F1F50">
        <w:t xml:space="preserve">ledgers </w:t>
      </w:r>
      <w:r w:rsidR="00865BC1">
        <w:t xml:space="preserve">and other </w:t>
      </w:r>
      <w:r w:rsidR="007F1F50">
        <w:t xml:space="preserve">certificates which, </w:t>
      </w:r>
      <w:r w:rsidR="00865BC1">
        <w:t xml:space="preserve">in the opinion of the </w:t>
      </w:r>
      <w:r w:rsidR="00E32F8D">
        <w:t xml:space="preserve">General </w:t>
      </w:r>
      <w:r w:rsidR="00865BC1">
        <w:t>Director</w:t>
      </w:r>
      <w:r w:rsidR="007F1F50">
        <w:t xml:space="preserve">, would </w:t>
      </w:r>
      <w:r w:rsidR="00865BC1">
        <w:t xml:space="preserve">ensure or facilitate the exercising of his authority according to this law; for this purpose, “document” – as defined in </w:t>
      </w:r>
      <w:r w:rsidR="002E678C">
        <w:t>paragraph</w:t>
      </w:r>
      <w:r w:rsidR="00865BC1">
        <w:t xml:space="preserve"> 45(c) of the </w:t>
      </w:r>
      <w:r w:rsidR="00237F9E">
        <w:t>Restrictive Trade Practices Law</w:t>
      </w:r>
      <w:r w:rsidR="00865BC1">
        <w:t xml:space="preserve">. </w:t>
      </w:r>
    </w:p>
    <w:p w:rsidR="00865BC1" w:rsidRDefault="00865BC1" w:rsidP="00487D9B">
      <w:r>
        <w:t>43. Violation of the obligation to submit information – punishment and financial sanctions</w:t>
      </w:r>
    </w:p>
    <w:p w:rsidR="00865BC1" w:rsidRDefault="0016189D">
      <w:pPr>
        <w:pStyle w:val="a6"/>
        <w:numPr>
          <w:ilvl w:val="0"/>
          <w:numId w:val="43"/>
        </w:numPr>
      </w:pPr>
      <w:r>
        <w:t xml:space="preserve">A </w:t>
      </w:r>
      <w:r w:rsidR="00B774A9">
        <w:t>person</w:t>
      </w:r>
      <w:r>
        <w:t xml:space="preserve"> </w:t>
      </w:r>
      <w:r w:rsidR="003D5030">
        <w:t xml:space="preserve">who </w:t>
      </w:r>
      <w:r w:rsidR="007F1F50">
        <w:t xml:space="preserve">did </w:t>
      </w:r>
      <w:r>
        <w:t xml:space="preserve">not </w:t>
      </w:r>
      <w:r w:rsidR="0045701C">
        <w:t>submit</w:t>
      </w:r>
      <w:r>
        <w:t xml:space="preserve"> information, a document, a </w:t>
      </w:r>
      <w:r w:rsidR="007F1F50">
        <w:t xml:space="preserve">ledger </w:t>
      </w:r>
      <w:r>
        <w:t xml:space="preserve">or other </w:t>
      </w:r>
      <w:r w:rsidR="007F1F50">
        <w:t>certificate</w:t>
      </w:r>
      <w:r>
        <w:t xml:space="preserve">, in response to the request according to paragraph 42, will be </w:t>
      </w:r>
      <w:r w:rsidR="0045701C">
        <w:t>subject</w:t>
      </w:r>
      <w:r>
        <w:t xml:space="preserve"> to imprisonment of one </w:t>
      </w:r>
      <w:r>
        <w:lastRenderedPageBreak/>
        <w:t xml:space="preserve">year or a fine that is ten times the fine stated in </w:t>
      </w:r>
      <w:r w:rsidR="002E678C">
        <w:t>paragraph</w:t>
      </w:r>
      <w:r>
        <w:t xml:space="preserve"> 61(a)(3) of the Penal </w:t>
      </w:r>
      <w:r w:rsidR="007F1F50">
        <w:t>Law</w:t>
      </w:r>
      <w:r>
        <w:t xml:space="preserve">, 5737-1977, and an additional fine that is </w:t>
      </w:r>
      <w:r w:rsidR="0045701C">
        <w:t>ten</w:t>
      </w:r>
      <w:r>
        <w:t xml:space="preserve"> times the fine stated in paragraph 61(c) of that law, for each day that the violation continues and if he is a corporation – double the aforementioned fine or the additional fine, according to the circumstances. </w:t>
      </w:r>
    </w:p>
    <w:p w:rsidR="0016189D" w:rsidRDefault="0016189D">
      <w:pPr>
        <w:pStyle w:val="a6"/>
        <w:numPr>
          <w:ilvl w:val="0"/>
          <w:numId w:val="43"/>
        </w:numPr>
      </w:pPr>
      <w:r>
        <w:t xml:space="preserve">If a </w:t>
      </w:r>
      <w:r w:rsidR="00B774A9">
        <w:t>person</w:t>
      </w:r>
      <w:r>
        <w:t xml:space="preserve"> has</w:t>
      </w:r>
      <w:r w:rsidR="003105ED">
        <w:t xml:space="preserve"> </w:t>
      </w:r>
      <w:r>
        <w:t xml:space="preserve">violated a request to submit information, a document, a </w:t>
      </w:r>
      <w:r w:rsidR="007F1F50">
        <w:t xml:space="preserve">ledger </w:t>
      </w:r>
      <w:r>
        <w:t xml:space="preserve">or any other </w:t>
      </w:r>
      <w:r w:rsidR="007F1F50">
        <w:t xml:space="preserve">certificate </w:t>
      </w:r>
      <w:r>
        <w:t xml:space="preserve">which was issued </w:t>
      </w:r>
      <w:r w:rsidR="002E678C">
        <w:t>according</w:t>
      </w:r>
      <w:r>
        <w:t xml:space="preserve"> to paragraph 42, the</w:t>
      </w:r>
      <w:r w:rsidR="00E32F8D" w:rsidRPr="00E32F8D">
        <w:t xml:space="preserve"> </w:t>
      </w:r>
      <w:r w:rsidR="00E32F8D">
        <w:t>General</w:t>
      </w:r>
      <w:r>
        <w:t xml:space="preserve"> Director of</w:t>
      </w:r>
      <w:r w:rsidR="003105ED">
        <w:t xml:space="preserve"> </w:t>
      </w:r>
      <w:r>
        <w:t xml:space="preserve">the Antitrust </w:t>
      </w:r>
      <w:r w:rsidR="0045701C">
        <w:t>Authority</w:t>
      </w:r>
      <w:r>
        <w:t xml:space="preserve"> has the right to </w:t>
      </w:r>
      <w:r w:rsidR="0045701C">
        <w:t>impose</w:t>
      </w:r>
      <w:r>
        <w:t xml:space="preserve"> </w:t>
      </w:r>
      <w:r w:rsidR="00CD6E1D">
        <w:t xml:space="preserve">a monetary penalty </w:t>
      </w:r>
      <w:r>
        <w:t xml:space="preserve">on him in the amount of up to </w:t>
      </w:r>
      <w:r w:rsidR="008464CB">
        <w:t>300,000</w:t>
      </w:r>
      <w:r w:rsidR="007F1F50" w:rsidRPr="007F1F50">
        <w:t xml:space="preserve"> </w:t>
      </w:r>
      <w:r w:rsidR="007F1F50">
        <w:t>NIS</w:t>
      </w:r>
      <w:r w:rsidR="008464CB">
        <w:t xml:space="preserve">; if the violator is a corporation </w:t>
      </w:r>
      <w:r w:rsidR="00CD6E1D">
        <w:t xml:space="preserve">which </w:t>
      </w:r>
      <w:r w:rsidR="008464CB">
        <w:t xml:space="preserve">had, </w:t>
      </w:r>
      <w:r w:rsidR="00CD6E1D">
        <w:t xml:space="preserve">in </w:t>
      </w:r>
      <w:r w:rsidR="008464CB">
        <w:t xml:space="preserve">the year </w:t>
      </w:r>
      <w:r w:rsidR="00CD6E1D">
        <w:t xml:space="preserve">proceeding </w:t>
      </w:r>
      <w:r w:rsidR="008464CB">
        <w:t xml:space="preserve">the fiscal year in which the violation took place, </w:t>
      </w:r>
      <w:r w:rsidR="00CD6E1D">
        <w:t xml:space="preserve">a </w:t>
      </w:r>
      <w:r w:rsidR="008464CB">
        <w:t xml:space="preserve">sales </w:t>
      </w:r>
      <w:r w:rsidR="00CD6E1D">
        <w:t xml:space="preserve">turnover </w:t>
      </w:r>
      <w:r w:rsidR="008464CB">
        <w:t>exceed</w:t>
      </w:r>
      <w:r w:rsidR="00CD6E1D">
        <w:t>ing</w:t>
      </w:r>
      <w:r w:rsidR="008464CB">
        <w:t xml:space="preserve"> 10 million</w:t>
      </w:r>
      <w:r w:rsidR="00CD6E1D" w:rsidRPr="00CD6E1D">
        <w:t xml:space="preserve"> </w:t>
      </w:r>
      <w:r w:rsidR="00CD6E1D">
        <w:t>NIS</w:t>
      </w:r>
      <w:r w:rsidR="008464CB">
        <w:t xml:space="preserve">, the </w:t>
      </w:r>
      <w:r w:rsidR="00E32F8D">
        <w:t xml:space="preserve">General </w:t>
      </w:r>
      <w:r w:rsidR="008464CB">
        <w:t xml:space="preserve">Director has the right to impose </w:t>
      </w:r>
      <w:r w:rsidR="00CD6E1D">
        <w:t xml:space="preserve">a monetary penalty in an amount </w:t>
      </w:r>
      <w:r w:rsidR="008464CB">
        <w:t xml:space="preserve">of up to 3% of his </w:t>
      </w:r>
      <w:r w:rsidR="00E56D4F">
        <w:t xml:space="preserve">said </w:t>
      </w:r>
      <w:r w:rsidR="008464CB">
        <w:t xml:space="preserve">sales </w:t>
      </w:r>
      <w:r w:rsidR="00E56D4F">
        <w:t>turnover</w:t>
      </w:r>
      <w:r w:rsidR="008464CB">
        <w:t xml:space="preserve">, </w:t>
      </w:r>
      <w:r w:rsidR="00E56D4F">
        <w:t xml:space="preserve">provided </w:t>
      </w:r>
      <w:r w:rsidR="008464CB">
        <w:t xml:space="preserve">that the amount does not exceed 8 </w:t>
      </w:r>
      <w:r w:rsidR="0045701C">
        <w:t>million</w:t>
      </w:r>
      <w:r w:rsidR="00E56D4F" w:rsidRPr="00E56D4F">
        <w:t xml:space="preserve"> </w:t>
      </w:r>
      <w:r w:rsidR="00E56D4F">
        <w:t>NIS</w:t>
      </w:r>
      <w:r w:rsidR="008464CB">
        <w:t xml:space="preserve">; for this purpose, “sales </w:t>
      </w:r>
      <w:r w:rsidR="00E56D4F">
        <w:t>turnover</w:t>
      </w:r>
      <w:r w:rsidR="008464CB">
        <w:t xml:space="preserve">” – </w:t>
      </w:r>
      <w:r w:rsidR="002E678C">
        <w:t>according</w:t>
      </w:r>
      <w:r w:rsidR="008464CB">
        <w:t xml:space="preserve"> to its meaning in </w:t>
      </w:r>
      <w:r w:rsidR="002E678C">
        <w:t>paragraph</w:t>
      </w:r>
      <w:r w:rsidR="008464CB">
        <w:t xml:space="preserve"> 17</w:t>
      </w:r>
      <w:r w:rsidR="0023085B">
        <w:t xml:space="preserve"> </w:t>
      </w:r>
      <w:r w:rsidR="008464CB">
        <w:t xml:space="preserve">of the </w:t>
      </w:r>
      <w:r w:rsidR="00237F9E">
        <w:t>Restrictive Trade Practices Law</w:t>
      </w:r>
      <w:r w:rsidR="008464CB">
        <w:t>, with</w:t>
      </w:r>
      <w:r w:rsidR="003105ED">
        <w:t xml:space="preserve"> </w:t>
      </w:r>
      <w:r w:rsidR="008464CB">
        <w:t xml:space="preserve">the necessary modifications. </w:t>
      </w:r>
    </w:p>
    <w:p w:rsidR="008464CB" w:rsidRDefault="008464CB" w:rsidP="0016189D">
      <w:pPr>
        <w:pStyle w:val="a6"/>
        <w:numPr>
          <w:ilvl w:val="0"/>
          <w:numId w:val="43"/>
        </w:numPr>
      </w:pPr>
      <w:r>
        <w:t xml:space="preserve">The instructions of </w:t>
      </w:r>
      <w:r w:rsidR="002E678C">
        <w:t>paragraph</w:t>
      </w:r>
      <w:r>
        <w:t xml:space="preserve"> 50e of the </w:t>
      </w:r>
      <w:r w:rsidR="00237F9E">
        <w:t>Restrictive Trade Practices Law</w:t>
      </w:r>
      <w:r>
        <w:t xml:space="preserve">, with the necessary modifications, will </w:t>
      </w:r>
      <w:r w:rsidR="0045701C">
        <w:t>apply</w:t>
      </w:r>
      <w:r>
        <w:t xml:space="preserve"> to the financial sanctions according to subparagraph (b). </w:t>
      </w:r>
    </w:p>
    <w:p w:rsidR="008464CB" w:rsidRDefault="008464CB" w:rsidP="008464CB">
      <w:r>
        <w:t>44. Execution and regulation</w:t>
      </w:r>
    </w:p>
    <w:p w:rsidR="008464CB" w:rsidRDefault="008464CB" w:rsidP="001D51F9">
      <w:pPr>
        <w:pStyle w:val="a6"/>
        <w:numPr>
          <w:ilvl w:val="0"/>
          <w:numId w:val="45"/>
        </w:numPr>
      </w:pPr>
      <w:r>
        <w:t xml:space="preserve">The Minister of Finance is </w:t>
      </w:r>
      <w:r w:rsidR="0045701C">
        <w:t>responsible for</w:t>
      </w:r>
      <w:r>
        <w:t xml:space="preserve"> the execution of this</w:t>
      </w:r>
      <w:r w:rsidR="003105ED">
        <w:t xml:space="preserve"> </w:t>
      </w:r>
      <w:r>
        <w:t xml:space="preserve">law, </w:t>
      </w:r>
      <w:r w:rsidR="001D51F9">
        <w:t xml:space="preserve">excluding </w:t>
      </w:r>
      <w:r>
        <w:t xml:space="preserve">Chapter C. </w:t>
      </w:r>
    </w:p>
    <w:p w:rsidR="008464CB" w:rsidRDefault="008464CB" w:rsidP="008464CB">
      <w:pPr>
        <w:pStyle w:val="a6"/>
        <w:numPr>
          <w:ilvl w:val="0"/>
          <w:numId w:val="45"/>
        </w:numPr>
      </w:pPr>
      <w:r>
        <w:t xml:space="preserve">The Minister of Justice is responsible for the execution of Chapter C. </w:t>
      </w:r>
    </w:p>
    <w:p w:rsidR="008464CB" w:rsidRDefault="008464CB">
      <w:pPr>
        <w:pStyle w:val="a6"/>
        <w:numPr>
          <w:ilvl w:val="0"/>
          <w:numId w:val="45"/>
        </w:numPr>
      </w:pPr>
      <w:r>
        <w:t xml:space="preserve">Regulations with regard to Chapter B, </w:t>
      </w:r>
      <w:r w:rsidR="001D51F9">
        <w:t xml:space="preserve">excluding </w:t>
      </w:r>
      <w:r>
        <w:t xml:space="preserve">rules according to </w:t>
      </w:r>
      <w:r w:rsidR="002E678C">
        <w:t>paragraphs</w:t>
      </w:r>
      <w:r>
        <w:t xml:space="preserve"> 5 and 11, require the approval of the Government and the approval of the Finance Committee of the Knesset. </w:t>
      </w:r>
    </w:p>
    <w:p w:rsidR="008464CB" w:rsidRDefault="008464CB" w:rsidP="008464CB">
      <w:pPr>
        <w:jc w:val="center"/>
        <w:rPr>
          <w:b/>
          <w:bCs/>
        </w:rPr>
      </w:pPr>
      <w:r>
        <w:rPr>
          <w:b/>
          <w:bCs/>
        </w:rPr>
        <w:t>Schedule</w:t>
      </w:r>
    </w:p>
    <w:p w:rsidR="000616A5" w:rsidRDefault="008464CB" w:rsidP="002D0B4F">
      <w:pPr>
        <w:jc w:val="center"/>
      </w:pPr>
      <w:r>
        <w:t>(</w:t>
      </w:r>
      <w:proofErr w:type="gramStart"/>
      <w:r w:rsidR="002D0B4F">
        <w:t>the</w:t>
      </w:r>
      <w:proofErr w:type="gramEnd"/>
      <w:r w:rsidR="002D0B4F">
        <w:t xml:space="preserve"> definitions “essential infrastructure category” and “essential infrastructure </w:t>
      </w:r>
      <w:r w:rsidR="000616A5">
        <w:t xml:space="preserve">area of activity” as in </w:t>
      </w:r>
      <w:r w:rsidR="002E678C">
        <w:t>paragraph</w:t>
      </w:r>
      <w:r w:rsidR="000616A5">
        <w:t xml:space="preserve"> 2; definition of “</w:t>
      </w:r>
      <w:r w:rsidR="00551579">
        <w:t>allocation</w:t>
      </w:r>
      <w:r w:rsidR="000616A5">
        <w:t xml:space="preserve"> of a right” to a </w:t>
      </w:r>
      <w:r w:rsidR="001715AA">
        <w:t>concentrated entity</w:t>
      </w:r>
      <w:r w:rsidR="000616A5">
        <w:t xml:space="preserve"> as in </w:t>
      </w:r>
      <w:r w:rsidR="002E678C">
        <w:t>paragraph</w:t>
      </w:r>
      <w:r w:rsidR="000616A5">
        <w:t xml:space="preserve"> 3, and </w:t>
      </w:r>
      <w:r w:rsidR="002E678C">
        <w:t>paragraph</w:t>
      </w:r>
      <w:r w:rsidR="000616A5">
        <w:t xml:space="preserve"> 4(a)(1))</w:t>
      </w:r>
    </w:p>
    <w:tbl>
      <w:tblPr>
        <w:tblStyle w:val="a7"/>
        <w:tblW w:w="0" w:type="auto"/>
        <w:tblLook w:val="04A0" w:firstRow="1" w:lastRow="0" w:firstColumn="1" w:lastColumn="0" w:noHBand="0" w:noVBand="1"/>
      </w:tblPr>
      <w:tblGrid>
        <w:gridCol w:w="3192"/>
        <w:gridCol w:w="3192"/>
        <w:gridCol w:w="1596"/>
        <w:gridCol w:w="1596"/>
      </w:tblGrid>
      <w:tr w:rsidR="00750DE1" w:rsidTr="0023085B">
        <w:trPr>
          <w:cantSplit/>
          <w:trHeight w:val="330"/>
        </w:trPr>
        <w:tc>
          <w:tcPr>
            <w:tcW w:w="3192" w:type="dxa"/>
            <w:vMerge w:val="restart"/>
            <w:vAlign w:val="bottom"/>
          </w:tcPr>
          <w:p w:rsidR="00750DE1" w:rsidRDefault="00750DE1" w:rsidP="0023085B">
            <w:pPr>
              <w:jc w:val="center"/>
            </w:pPr>
            <w:r>
              <w:t>Column A</w:t>
            </w:r>
          </w:p>
          <w:p w:rsidR="00750DE1" w:rsidRDefault="00750DE1" w:rsidP="0023085B">
            <w:r>
              <w:t>Essential Infrastructure Category</w:t>
            </w:r>
          </w:p>
        </w:tc>
        <w:tc>
          <w:tcPr>
            <w:tcW w:w="3192" w:type="dxa"/>
            <w:vMerge w:val="restart"/>
            <w:vAlign w:val="bottom"/>
          </w:tcPr>
          <w:p w:rsidR="00750DE1" w:rsidRDefault="00750DE1" w:rsidP="0023085B">
            <w:pPr>
              <w:jc w:val="center"/>
            </w:pPr>
            <w:r>
              <w:t>Column B</w:t>
            </w:r>
          </w:p>
          <w:p w:rsidR="00750DE1" w:rsidRDefault="00750DE1" w:rsidP="0023085B">
            <w:pPr>
              <w:jc w:val="center"/>
              <w:rPr>
                <w:rtl/>
              </w:rPr>
            </w:pPr>
            <w:r>
              <w:t>Essential Infrastructure Area of Activity</w:t>
            </w:r>
          </w:p>
        </w:tc>
        <w:tc>
          <w:tcPr>
            <w:tcW w:w="3192" w:type="dxa"/>
            <w:gridSpan w:val="2"/>
          </w:tcPr>
          <w:p w:rsidR="00750DE1" w:rsidRDefault="00750DE1" w:rsidP="002D0B4F">
            <w:pPr>
              <w:jc w:val="center"/>
            </w:pPr>
            <w:r>
              <w:t>Column C</w:t>
            </w:r>
          </w:p>
        </w:tc>
      </w:tr>
      <w:tr w:rsidR="00750DE1" w:rsidTr="00716FF2">
        <w:trPr>
          <w:cantSplit/>
          <w:trHeight w:val="329"/>
        </w:trPr>
        <w:tc>
          <w:tcPr>
            <w:tcW w:w="3192" w:type="dxa"/>
            <w:vMerge/>
          </w:tcPr>
          <w:p w:rsidR="00750DE1" w:rsidRDefault="00750DE1" w:rsidP="0023085B"/>
        </w:tc>
        <w:tc>
          <w:tcPr>
            <w:tcW w:w="3192" w:type="dxa"/>
            <w:vMerge/>
          </w:tcPr>
          <w:p w:rsidR="00750DE1" w:rsidRDefault="00750DE1" w:rsidP="00122B72"/>
        </w:tc>
        <w:tc>
          <w:tcPr>
            <w:tcW w:w="1596" w:type="dxa"/>
          </w:tcPr>
          <w:p w:rsidR="00750DE1" w:rsidRDefault="0045701C" w:rsidP="002D0B4F">
            <w:pPr>
              <w:jc w:val="center"/>
            </w:pPr>
            <w:r>
              <w:t>Minimal</w:t>
            </w:r>
            <w:r w:rsidR="00750DE1">
              <w:t xml:space="preserve"> scope of</w:t>
            </w:r>
            <w:r w:rsidR="003105ED">
              <w:t xml:space="preserve"> </w:t>
            </w:r>
            <w:r w:rsidR="00750DE1">
              <w:t xml:space="preserve">activity or other restriction with regard to the </w:t>
            </w:r>
            <w:r>
              <w:t>definition</w:t>
            </w:r>
            <w:r w:rsidR="00750DE1">
              <w:t xml:space="preserve"> “</w:t>
            </w:r>
            <w:r w:rsidR="00551579">
              <w:t>allocation</w:t>
            </w:r>
            <w:r w:rsidR="00750DE1">
              <w:t xml:space="preserve"> of a right” to a </w:t>
            </w:r>
            <w:r w:rsidR="001715AA">
              <w:t>concentrated entity</w:t>
            </w:r>
            <w:r w:rsidR="00750DE1">
              <w:t xml:space="preserve"> as in paragraph 3</w:t>
            </w:r>
          </w:p>
        </w:tc>
        <w:tc>
          <w:tcPr>
            <w:tcW w:w="1596" w:type="dxa"/>
          </w:tcPr>
          <w:p w:rsidR="00750DE1" w:rsidRDefault="00750DE1" w:rsidP="00CF0902">
            <w:pPr>
              <w:jc w:val="center"/>
            </w:pPr>
            <w:r>
              <w:t>Minimal scope of</w:t>
            </w:r>
            <w:r w:rsidR="003105ED">
              <w:t xml:space="preserve"> </w:t>
            </w:r>
            <w:r>
              <w:t xml:space="preserve">activity or other restriction with regard to determining </w:t>
            </w:r>
            <w:r w:rsidR="00CF0902">
              <w:t xml:space="preserve">the </w:t>
            </w:r>
            <w:r>
              <w:t xml:space="preserve">owner </w:t>
            </w:r>
            <w:r w:rsidR="0023085B">
              <w:t xml:space="preserve">of a right </w:t>
            </w:r>
            <w:r w:rsidR="00CF0902">
              <w:t>to be</w:t>
            </w:r>
            <w:r>
              <w:t xml:space="preserve"> a </w:t>
            </w:r>
            <w:r w:rsidR="001715AA">
              <w:t>concentrated entity</w:t>
            </w:r>
            <w:r>
              <w:t xml:space="preserve"> </w:t>
            </w:r>
            <w:r w:rsidR="002E678C">
              <w:t>according</w:t>
            </w:r>
            <w:r>
              <w:t xml:space="preserve"> to </w:t>
            </w:r>
            <w:r w:rsidR="0045701C">
              <w:t>paragraph</w:t>
            </w:r>
            <w:r>
              <w:t xml:space="preserve"> 4(a)(1)</w:t>
            </w:r>
          </w:p>
        </w:tc>
      </w:tr>
      <w:tr w:rsidR="00750DE1" w:rsidTr="00716FF2">
        <w:trPr>
          <w:cantSplit/>
        </w:trPr>
        <w:tc>
          <w:tcPr>
            <w:tcW w:w="3192" w:type="dxa"/>
          </w:tcPr>
          <w:p w:rsidR="00750DE1" w:rsidRDefault="00750DE1" w:rsidP="0023085B">
            <w:r>
              <w:lastRenderedPageBreak/>
              <w:t>1.Internal communication services and mobile phone services</w:t>
            </w:r>
          </w:p>
        </w:tc>
        <w:tc>
          <w:tcPr>
            <w:tcW w:w="3192" w:type="dxa"/>
          </w:tcPr>
          <w:p w:rsidR="00750DE1" w:rsidRDefault="00750DE1" w:rsidP="0045701C">
            <w:r>
              <w:t xml:space="preserve">1.1 </w:t>
            </w:r>
            <w:r w:rsidR="00122B72">
              <w:t>The area of activity that require</w:t>
            </w:r>
            <w:r w:rsidR="00E6737F">
              <w:t>s</w:t>
            </w:r>
            <w:r w:rsidR="00122B72">
              <w:t xml:space="preserve"> a general license to provide domestic landline communication services </w:t>
            </w:r>
            <w:r w:rsidR="0045701C">
              <w:t>according</w:t>
            </w:r>
            <w:r w:rsidR="00122B72">
              <w:t xml:space="preserve"> to the </w:t>
            </w:r>
            <w:r w:rsidR="0045701C">
              <w:t>Communication Law</w:t>
            </w:r>
            <w:r w:rsidR="00122B72">
              <w:t>, excluding</w:t>
            </w:r>
            <w:r w:rsidR="003877E0">
              <w:t xml:space="preserve"> the area of</w:t>
            </w:r>
            <w:r w:rsidR="00122B72">
              <w:t xml:space="preserve"> activity that requi</w:t>
            </w:r>
            <w:r w:rsidR="0045701C">
              <w:t>re</w:t>
            </w:r>
            <w:r w:rsidR="00122B72">
              <w:t xml:space="preserve">s a special general </w:t>
            </w:r>
            <w:r w:rsidR="002E678C">
              <w:t>license</w:t>
            </w:r>
            <w:r w:rsidR="00122B72">
              <w:t xml:space="preserve"> for the provision of domestic landline communication services. </w:t>
            </w:r>
          </w:p>
        </w:tc>
        <w:tc>
          <w:tcPr>
            <w:tcW w:w="3192" w:type="dxa"/>
            <w:gridSpan w:val="2"/>
          </w:tcPr>
          <w:p w:rsidR="00750DE1" w:rsidRDefault="00122B72" w:rsidP="00300D22">
            <w:pPr>
              <w:jc w:val="center"/>
            </w:pPr>
            <w:r>
              <w:t>-</w:t>
            </w:r>
          </w:p>
        </w:tc>
      </w:tr>
      <w:tr w:rsidR="00300D22" w:rsidTr="00716FF2">
        <w:trPr>
          <w:cantSplit/>
        </w:trPr>
        <w:tc>
          <w:tcPr>
            <w:tcW w:w="3192" w:type="dxa"/>
          </w:tcPr>
          <w:p w:rsidR="00300D22" w:rsidRDefault="00300D22" w:rsidP="0023085B"/>
        </w:tc>
        <w:tc>
          <w:tcPr>
            <w:tcW w:w="3192" w:type="dxa"/>
          </w:tcPr>
          <w:p w:rsidR="00300D22" w:rsidRDefault="00300D22">
            <w:r>
              <w:t>1.2 The area of activity that requires a general combined license for providing cellular mobile telephone services according to the Communication Law and the Wireless Telegraph Ordinance (</w:t>
            </w:r>
            <w:r w:rsidR="000B02A1">
              <w:t>New Version</w:t>
            </w:r>
            <w:r>
              <w:t>), 5732-1972.</w:t>
            </w:r>
          </w:p>
        </w:tc>
        <w:tc>
          <w:tcPr>
            <w:tcW w:w="3192" w:type="dxa"/>
            <w:gridSpan w:val="2"/>
          </w:tcPr>
          <w:p w:rsidR="00300D22" w:rsidRPr="00414389" w:rsidRDefault="00300D22" w:rsidP="00300D22">
            <w:pPr>
              <w:jc w:val="center"/>
            </w:pPr>
            <w:r>
              <w:t>-</w:t>
            </w:r>
          </w:p>
        </w:tc>
      </w:tr>
      <w:tr w:rsidR="00300D22" w:rsidTr="00716FF2">
        <w:trPr>
          <w:cantSplit/>
        </w:trPr>
        <w:tc>
          <w:tcPr>
            <w:tcW w:w="3192" w:type="dxa"/>
          </w:tcPr>
          <w:p w:rsidR="00300D22" w:rsidRDefault="00300D22" w:rsidP="0023085B">
            <w:r>
              <w:t>2. Postal Service</w:t>
            </w:r>
          </w:p>
        </w:tc>
        <w:tc>
          <w:tcPr>
            <w:tcW w:w="3192" w:type="dxa"/>
          </w:tcPr>
          <w:p w:rsidR="00300D22" w:rsidRDefault="00300D22" w:rsidP="00122B72">
            <w:r>
              <w:t>2.1 The area of activity that requires a general license according to paragraph 5a of the Postal Law, 5746-1986.</w:t>
            </w:r>
          </w:p>
        </w:tc>
        <w:tc>
          <w:tcPr>
            <w:tcW w:w="3192" w:type="dxa"/>
            <w:gridSpan w:val="2"/>
          </w:tcPr>
          <w:p w:rsidR="00300D22" w:rsidRPr="003053D6" w:rsidRDefault="00300D22" w:rsidP="00300D22">
            <w:pPr>
              <w:jc w:val="center"/>
            </w:pPr>
            <w:r>
              <w:t>-</w:t>
            </w:r>
          </w:p>
        </w:tc>
      </w:tr>
      <w:tr w:rsidR="00300D22" w:rsidTr="00716FF2">
        <w:trPr>
          <w:cantSplit/>
        </w:trPr>
        <w:tc>
          <w:tcPr>
            <w:tcW w:w="3192" w:type="dxa"/>
          </w:tcPr>
          <w:p w:rsidR="00300D22" w:rsidRDefault="00300D22" w:rsidP="0023085B">
            <w:r>
              <w:t>3. Broadcasting</w:t>
            </w:r>
          </w:p>
        </w:tc>
        <w:tc>
          <w:tcPr>
            <w:tcW w:w="3192" w:type="dxa"/>
          </w:tcPr>
          <w:p w:rsidR="00300D22" w:rsidRDefault="00300D22" w:rsidP="00300D22">
            <w:r>
              <w:t xml:space="preserve">3.1 The area of activity that requires a </w:t>
            </w:r>
            <w:r w:rsidR="002106B2">
              <w:t>franchise</w:t>
            </w:r>
            <w:r>
              <w:t xml:space="preserve"> for broadcasting or a license to broadcast according to the </w:t>
            </w:r>
            <w:r w:rsidR="002C2DE2">
              <w:t>Law of the Second Authority for Television and Radio, 5750-1990</w:t>
            </w:r>
            <w:r>
              <w:t xml:space="preserve">. </w:t>
            </w:r>
          </w:p>
        </w:tc>
        <w:tc>
          <w:tcPr>
            <w:tcW w:w="3192" w:type="dxa"/>
            <w:gridSpan w:val="2"/>
          </w:tcPr>
          <w:p w:rsidR="00300D22" w:rsidRPr="003053D6" w:rsidRDefault="00300D22" w:rsidP="00300D22">
            <w:pPr>
              <w:jc w:val="center"/>
            </w:pPr>
            <w:r>
              <w:t>-</w:t>
            </w:r>
          </w:p>
        </w:tc>
      </w:tr>
      <w:tr w:rsidR="00300D22" w:rsidTr="00716FF2">
        <w:trPr>
          <w:cantSplit/>
        </w:trPr>
        <w:tc>
          <w:tcPr>
            <w:tcW w:w="3192" w:type="dxa"/>
          </w:tcPr>
          <w:p w:rsidR="00300D22" w:rsidRDefault="00300D22" w:rsidP="0023085B"/>
        </w:tc>
        <w:tc>
          <w:tcPr>
            <w:tcW w:w="3192" w:type="dxa"/>
          </w:tcPr>
          <w:p w:rsidR="00300D22" w:rsidRDefault="00300D22" w:rsidP="00122B72">
            <w:r>
              <w:t xml:space="preserve">3.2 The area of activity that requires one of the following licenses: </w:t>
            </w:r>
          </w:p>
          <w:p w:rsidR="00300D22" w:rsidRDefault="00300D22">
            <w:r>
              <w:t>(1) General cable broadcas</w:t>
            </w:r>
            <w:r w:rsidR="002C2DE2">
              <w:t>ting license</w:t>
            </w:r>
            <w:r>
              <w:t>, according to Chapter B1 of the Communication Law;</w:t>
            </w:r>
          </w:p>
          <w:p w:rsidR="00300D22" w:rsidRDefault="00300D22" w:rsidP="00122B72">
            <w:r>
              <w:t xml:space="preserve">(2) A license for satellite television broadcasts according to Chapter B2 of the Communication Law. </w:t>
            </w:r>
          </w:p>
        </w:tc>
        <w:tc>
          <w:tcPr>
            <w:tcW w:w="3192" w:type="dxa"/>
            <w:gridSpan w:val="2"/>
          </w:tcPr>
          <w:p w:rsidR="00300D22" w:rsidRPr="00414389" w:rsidRDefault="00300D22" w:rsidP="00300D22">
            <w:pPr>
              <w:jc w:val="center"/>
            </w:pPr>
            <w:r>
              <w:t>-</w:t>
            </w:r>
          </w:p>
        </w:tc>
      </w:tr>
      <w:tr w:rsidR="00300D22" w:rsidTr="00716FF2">
        <w:trPr>
          <w:cantSplit/>
        </w:trPr>
        <w:tc>
          <w:tcPr>
            <w:tcW w:w="3192" w:type="dxa"/>
          </w:tcPr>
          <w:p w:rsidR="00300D22" w:rsidRDefault="00300D22" w:rsidP="0023085B"/>
        </w:tc>
        <w:tc>
          <w:tcPr>
            <w:tcW w:w="3192" w:type="dxa"/>
          </w:tcPr>
          <w:p w:rsidR="00300D22" w:rsidRDefault="00300D22">
            <w:r>
              <w:t xml:space="preserve">3.3 The area of activity that requires a special license for </w:t>
            </w:r>
            <w:r w:rsidR="002C2DE2">
              <w:t>a dedicated channel broadcaster</w:t>
            </w:r>
            <w:r>
              <w:t>, according to Paragraph 6 34 1 of the Communication Law.</w:t>
            </w:r>
          </w:p>
        </w:tc>
        <w:tc>
          <w:tcPr>
            <w:tcW w:w="3192" w:type="dxa"/>
            <w:gridSpan w:val="2"/>
          </w:tcPr>
          <w:p w:rsidR="00300D22" w:rsidRPr="00414389" w:rsidRDefault="00300D22" w:rsidP="00300D22">
            <w:pPr>
              <w:jc w:val="center"/>
            </w:pPr>
            <w:r>
              <w:t>-</w:t>
            </w:r>
          </w:p>
        </w:tc>
      </w:tr>
      <w:tr w:rsidR="00300D22" w:rsidTr="00716FF2">
        <w:trPr>
          <w:cantSplit/>
        </w:trPr>
        <w:tc>
          <w:tcPr>
            <w:tcW w:w="3192" w:type="dxa"/>
          </w:tcPr>
          <w:p w:rsidR="00300D22" w:rsidRDefault="00300D22" w:rsidP="0023085B"/>
        </w:tc>
        <w:tc>
          <w:tcPr>
            <w:tcW w:w="3192" w:type="dxa"/>
          </w:tcPr>
          <w:p w:rsidR="00300D22" w:rsidRDefault="00300D22" w:rsidP="00122B72">
            <w:r>
              <w:t xml:space="preserve">3.4 The area of activity that requires one of the following: </w:t>
            </w:r>
          </w:p>
          <w:p w:rsidR="00300D22" w:rsidRDefault="00300D22">
            <w:r>
              <w:t xml:space="preserve">(1) A license for the broadcast of a </w:t>
            </w:r>
            <w:r w:rsidR="00CF0902">
              <w:t>specialty</w:t>
            </w:r>
            <w:r>
              <w:t xml:space="preserve"> channel according to Paragraph 13 of the Broadcasting </w:t>
            </w:r>
            <w:r w:rsidR="00FD2697">
              <w:t xml:space="preserve">Transmission </w:t>
            </w:r>
            <w:r>
              <w:t>by Means of Digital Broadcast Stations</w:t>
            </w:r>
            <w:r w:rsidR="00FD2697">
              <w:t xml:space="preserve"> Law</w:t>
            </w:r>
            <w:r>
              <w:t>, 5772-2012 (in this Schedule – the Broadcast</w:t>
            </w:r>
            <w:r w:rsidR="00FD2697">
              <w:t>ing Transmission</w:t>
            </w:r>
            <w:r>
              <w:t xml:space="preserve"> Law);</w:t>
            </w:r>
          </w:p>
          <w:p w:rsidR="00300D22" w:rsidRDefault="00300D22" w:rsidP="006D7D85">
            <w:r>
              <w:t>(2) A permit to operate digital broadcast stations according to the Broadcast</w:t>
            </w:r>
            <w:r w:rsidR="00FD2697">
              <w:t>ing Transmission</w:t>
            </w:r>
            <w:r>
              <w:t xml:space="preserve"> Law.</w:t>
            </w:r>
          </w:p>
        </w:tc>
        <w:tc>
          <w:tcPr>
            <w:tcW w:w="3192" w:type="dxa"/>
            <w:gridSpan w:val="2"/>
          </w:tcPr>
          <w:p w:rsidR="00300D22" w:rsidRPr="00414389" w:rsidRDefault="00300D22" w:rsidP="00300D22">
            <w:pPr>
              <w:jc w:val="center"/>
            </w:pPr>
            <w:r>
              <w:t>-</w:t>
            </w:r>
          </w:p>
        </w:tc>
      </w:tr>
      <w:tr w:rsidR="006D7D85" w:rsidTr="00716FF2">
        <w:trPr>
          <w:cantSplit/>
        </w:trPr>
        <w:tc>
          <w:tcPr>
            <w:tcW w:w="3192" w:type="dxa"/>
          </w:tcPr>
          <w:p w:rsidR="006D7D85" w:rsidRDefault="006D7D85" w:rsidP="0023085B">
            <w:r>
              <w:t>4. Water production</w:t>
            </w:r>
          </w:p>
        </w:tc>
        <w:tc>
          <w:tcPr>
            <w:tcW w:w="3192" w:type="dxa"/>
          </w:tcPr>
          <w:p w:rsidR="006D7D85" w:rsidRDefault="006D7D85" w:rsidP="00300D22">
            <w:r>
              <w:t xml:space="preserve">4.1 The area of </w:t>
            </w:r>
            <w:r w:rsidR="0045701C">
              <w:t>activity</w:t>
            </w:r>
            <w:r w:rsidR="003105ED">
              <w:t xml:space="preserve"> </w:t>
            </w:r>
            <w:r>
              <w:t>that requires a production license according</w:t>
            </w:r>
            <w:r w:rsidR="00300D22">
              <w:t xml:space="preserve"> to p</w:t>
            </w:r>
            <w:r w:rsidR="0045701C">
              <w:t>aragraph</w:t>
            </w:r>
            <w:r>
              <w:t xml:space="preserve"> 23 of the </w:t>
            </w:r>
            <w:r w:rsidR="0045701C">
              <w:t>Water</w:t>
            </w:r>
            <w:r>
              <w:t xml:space="preserve"> Law, 5719-1959 (in this Schedule – the Water Law), with regard to desalination of seawater.</w:t>
            </w:r>
          </w:p>
        </w:tc>
        <w:tc>
          <w:tcPr>
            <w:tcW w:w="3192" w:type="dxa"/>
            <w:gridSpan w:val="2"/>
          </w:tcPr>
          <w:p w:rsidR="006D7D85" w:rsidRDefault="006D7D85">
            <w:pPr>
              <w:jc w:val="center"/>
            </w:pPr>
            <w:r>
              <w:t>Desalination of seawater at a min</w:t>
            </w:r>
            <w:r w:rsidR="0045701C">
              <w:t>im</w:t>
            </w:r>
            <w:r>
              <w:t xml:space="preserve">al </w:t>
            </w:r>
            <w:r w:rsidR="005A1C03">
              <w:t xml:space="preserve">share </w:t>
            </w:r>
            <w:r w:rsidR="00300D22">
              <w:t xml:space="preserve">of </w:t>
            </w:r>
            <w:r>
              <w:t>at least 15% of the total annu</w:t>
            </w:r>
            <w:r w:rsidR="00676F67">
              <w:t>al</w:t>
            </w:r>
            <w:r>
              <w:t xml:space="preserve"> maximal amounts that are specified in seawater desalinization </w:t>
            </w:r>
            <w:r w:rsidR="00CE30CE">
              <w:t xml:space="preserve">agreements between all </w:t>
            </w:r>
            <w:r w:rsidR="002E678C">
              <w:t>license</w:t>
            </w:r>
            <w:r w:rsidR="00CE30CE">
              <w:t xml:space="preserve"> holders and the State.</w:t>
            </w:r>
            <w:r>
              <w:t xml:space="preserve"> </w:t>
            </w:r>
          </w:p>
        </w:tc>
      </w:tr>
      <w:tr w:rsidR="006D7D85" w:rsidTr="00716FF2">
        <w:trPr>
          <w:cantSplit/>
        </w:trPr>
        <w:tc>
          <w:tcPr>
            <w:tcW w:w="3192" w:type="dxa"/>
          </w:tcPr>
          <w:p w:rsidR="006D7D85" w:rsidRDefault="006D7D85" w:rsidP="0023085B"/>
        </w:tc>
        <w:tc>
          <w:tcPr>
            <w:tcW w:w="3192" w:type="dxa"/>
          </w:tcPr>
          <w:p w:rsidR="006D7D85" w:rsidRDefault="00CE30CE" w:rsidP="00122B72">
            <w:r>
              <w:t xml:space="preserve">4.2 </w:t>
            </w:r>
            <w:r w:rsidR="00A60176">
              <w:t xml:space="preserve">The area of activity that </w:t>
            </w:r>
            <w:r w:rsidR="0045701C">
              <w:t>requires</w:t>
            </w:r>
            <w:r w:rsidR="00A60176">
              <w:t xml:space="preserve"> a production license </w:t>
            </w:r>
            <w:r w:rsidR="002E678C">
              <w:t>according</w:t>
            </w:r>
            <w:r w:rsidR="00A60176">
              <w:t xml:space="preserve"> to paragraph 23 of the Water Law, with regard to the production of water that is</w:t>
            </w:r>
            <w:r w:rsidR="00054BAF">
              <w:t xml:space="preserve"> </w:t>
            </w:r>
            <w:r w:rsidR="00A60176">
              <w:t>n</w:t>
            </w:r>
            <w:r w:rsidR="00054BAF">
              <w:t>o</w:t>
            </w:r>
            <w:r w:rsidR="00A60176">
              <w:t>t seawater desalinization and is not the production of wastewater.</w:t>
            </w:r>
          </w:p>
        </w:tc>
        <w:tc>
          <w:tcPr>
            <w:tcW w:w="3192" w:type="dxa"/>
            <w:gridSpan w:val="2"/>
          </w:tcPr>
          <w:p w:rsidR="006D7D85" w:rsidRDefault="00A60176">
            <w:pPr>
              <w:jc w:val="center"/>
            </w:pPr>
            <w:r>
              <w:t>Production of water</w:t>
            </w:r>
            <w:r w:rsidR="00054BAF">
              <w:t>,</w:t>
            </w:r>
            <w:r>
              <w:t xml:space="preserve"> that is not seawater </w:t>
            </w:r>
            <w:r w:rsidR="0045701C">
              <w:t>desalinization</w:t>
            </w:r>
            <w:r>
              <w:t xml:space="preserve"> and not production of wastewater, at a minimal </w:t>
            </w:r>
            <w:r w:rsidR="005A1C03">
              <w:t xml:space="preserve">share </w:t>
            </w:r>
            <w:r w:rsidR="00300D22">
              <w:t xml:space="preserve">of </w:t>
            </w:r>
            <w:r>
              <w:t>at least 20% of total annual production that is not desalinized seawater or wastewater.</w:t>
            </w:r>
          </w:p>
        </w:tc>
      </w:tr>
      <w:tr w:rsidR="00421FFA" w:rsidTr="00716FF2">
        <w:trPr>
          <w:cantSplit/>
        </w:trPr>
        <w:tc>
          <w:tcPr>
            <w:tcW w:w="3192" w:type="dxa"/>
          </w:tcPr>
          <w:p w:rsidR="00421FFA" w:rsidRDefault="00421FFA" w:rsidP="0023085B">
            <w:r>
              <w:t>5. Water and Sewage Corporation</w:t>
            </w:r>
          </w:p>
        </w:tc>
        <w:tc>
          <w:tcPr>
            <w:tcW w:w="3192" w:type="dxa"/>
          </w:tcPr>
          <w:p w:rsidR="00421FFA" w:rsidRDefault="00421FFA" w:rsidP="00175296">
            <w:r>
              <w:t xml:space="preserve">5.1 The area of activity that requires a license to operate in an essential activity </w:t>
            </w:r>
            <w:r w:rsidR="002E678C">
              <w:t>according</w:t>
            </w:r>
            <w:r>
              <w:t xml:space="preserve"> to Paragraph 14 of the Water and Sewage Corporations Law, 5761-2001.</w:t>
            </w:r>
          </w:p>
        </w:tc>
        <w:tc>
          <w:tcPr>
            <w:tcW w:w="3192" w:type="dxa"/>
            <w:gridSpan w:val="2"/>
          </w:tcPr>
          <w:p w:rsidR="00421FFA" w:rsidRDefault="00421FFA">
            <w:pPr>
              <w:jc w:val="center"/>
            </w:pPr>
            <w:r>
              <w:t>Operatin</w:t>
            </w:r>
            <w:r w:rsidR="00300D22">
              <w:t>g</w:t>
            </w:r>
            <w:r>
              <w:t xml:space="preserve"> in</w:t>
            </w:r>
            <w:r w:rsidR="00300D22">
              <w:t xml:space="preserve"> an</w:t>
            </w:r>
            <w:r>
              <w:t xml:space="preserve"> essential activity with </w:t>
            </w:r>
            <w:r w:rsidR="00676F67">
              <w:t>waste</w:t>
            </w:r>
            <w:r>
              <w:t>water that constitute</w:t>
            </w:r>
            <w:r w:rsidR="00300D22">
              <w:t>s</w:t>
            </w:r>
            <w:r>
              <w:t xml:space="preserve"> at least 15% of the total </w:t>
            </w:r>
            <w:r w:rsidR="00676F67">
              <w:t>waste</w:t>
            </w:r>
            <w:r>
              <w:t>water treated by</w:t>
            </w:r>
            <w:r w:rsidR="003105ED">
              <w:t xml:space="preserve"> </w:t>
            </w:r>
            <w:r>
              <w:t>water and sewage corporations.</w:t>
            </w:r>
          </w:p>
        </w:tc>
      </w:tr>
      <w:tr w:rsidR="00716FF2" w:rsidTr="00716FF2">
        <w:trPr>
          <w:cantSplit/>
        </w:trPr>
        <w:tc>
          <w:tcPr>
            <w:tcW w:w="3192" w:type="dxa"/>
          </w:tcPr>
          <w:p w:rsidR="00716FF2" w:rsidRDefault="00716FF2" w:rsidP="0023085B">
            <w:r>
              <w:t>6. The electricity sector</w:t>
            </w:r>
          </w:p>
        </w:tc>
        <w:tc>
          <w:tcPr>
            <w:tcW w:w="3192" w:type="dxa"/>
          </w:tcPr>
          <w:p w:rsidR="00716FF2" w:rsidRDefault="00716FF2">
            <w:r>
              <w:t xml:space="preserve">6.1 The area of activity that requires a </w:t>
            </w:r>
            <w:r w:rsidR="00260893">
              <w:t xml:space="preserve">system management </w:t>
            </w:r>
            <w:r>
              <w:t xml:space="preserve">license </w:t>
            </w:r>
            <w:r w:rsidR="002E678C">
              <w:t>according</w:t>
            </w:r>
            <w:r>
              <w:t xml:space="preserve"> to the Electricity Sector Law, 1956-1996 (in this Schedule – the Electricity Sector Law).</w:t>
            </w:r>
          </w:p>
        </w:tc>
        <w:tc>
          <w:tcPr>
            <w:tcW w:w="3192" w:type="dxa"/>
            <w:gridSpan w:val="2"/>
          </w:tcPr>
          <w:p w:rsidR="00716FF2" w:rsidRDefault="00300D22" w:rsidP="002D0B4F">
            <w:pPr>
              <w:jc w:val="center"/>
            </w:pPr>
            <w:r>
              <w:t>-</w:t>
            </w:r>
          </w:p>
        </w:tc>
      </w:tr>
      <w:tr w:rsidR="00716FF2" w:rsidTr="00716FF2">
        <w:trPr>
          <w:cantSplit/>
        </w:trPr>
        <w:tc>
          <w:tcPr>
            <w:tcW w:w="3192" w:type="dxa"/>
          </w:tcPr>
          <w:p w:rsidR="00716FF2" w:rsidRDefault="00716FF2" w:rsidP="0023085B"/>
        </w:tc>
        <w:tc>
          <w:tcPr>
            <w:tcW w:w="3192" w:type="dxa"/>
          </w:tcPr>
          <w:p w:rsidR="00716FF2" w:rsidRDefault="00716FF2">
            <w:r>
              <w:t xml:space="preserve">6.2 </w:t>
            </w:r>
            <w:r w:rsidR="00490FEF">
              <w:t xml:space="preserve">The area of activity that requires a transmission </w:t>
            </w:r>
            <w:r w:rsidR="00091815">
              <w:t xml:space="preserve">system license </w:t>
            </w:r>
            <w:r w:rsidR="0045701C">
              <w:t>according</w:t>
            </w:r>
            <w:r w:rsidR="00490FEF">
              <w:t xml:space="preserve"> to the Electricity Sector Law. </w:t>
            </w:r>
          </w:p>
        </w:tc>
        <w:tc>
          <w:tcPr>
            <w:tcW w:w="3192" w:type="dxa"/>
            <w:gridSpan w:val="2"/>
          </w:tcPr>
          <w:p w:rsidR="00716FF2" w:rsidRDefault="00300D22" w:rsidP="002D0B4F">
            <w:pPr>
              <w:jc w:val="center"/>
            </w:pPr>
            <w:r>
              <w:t>-</w:t>
            </w:r>
          </w:p>
        </w:tc>
      </w:tr>
      <w:tr w:rsidR="00716FF2" w:rsidTr="00716FF2">
        <w:trPr>
          <w:cantSplit/>
        </w:trPr>
        <w:tc>
          <w:tcPr>
            <w:tcW w:w="3192" w:type="dxa"/>
          </w:tcPr>
          <w:p w:rsidR="00716FF2" w:rsidRDefault="00716FF2" w:rsidP="0023085B"/>
        </w:tc>
        <w:tc>
          <w:tcPr>
            <w:tcW w:w="3192" w:type="dxa"/>
          </w:tcPr>
          <w:p w:rsidR="00716FF2" w:rsidRDefault="00490FEF">
            <w:r>
              <w:t xml:space="preserve">6.3 The area of activity that requires </w:t>
            </w:r>
            <w:proofErr w:type="gramStart"/>
            <w:r>
              <w:t>a  distribution</w:t>
            </w:r>
            <w:proofErr w:type="gramEnd"/>
            <w:r>
              <w:t xml:space="preserve"> </w:t>
            </w:r>
            <w:r w:rsidR="00091815">
              <w:t xml:space="preserve">license </w:t>
            </w:r>
            <w:r w:rsidR="002E678C">
              <w:t>according</w:t>
            </w:r>
            <w:r>
              <w:t xml:space="preserve"> to the Electricity Sector Law.</w:t>
            </w:r>
          </w:p>
        </w:tc>
        <w:tc>
          <w:tcPr>
            <w:tcW w:w="3192" w:type="dxa"/>
            <w:gridSpan w:val="2"/>
          </w:tcPr>
          <w:p w:rsidR="00716FF2" w:rsidRDefault="003E358E" w:rsidP="00300D22">
            <w:pPr>
              <w:jc w:val="center"/>
            </w:pPr>
            <w:r>
              <w:t xml:space="preserve">The distribution license relates to the construction, maintenance or operation of at least 1% of the distribution network of all distribution license holders or </w:t>
            </w:r>
            <w:r w:rsidR="00300D22">
              <w:t>of</w:t>
            </w:r>
            <w:r>
              <w:t xml:space="preserve"> the provision of distr</w:t>
            </w:r>
            <w:r w:rsidR="0045701C">
              <w:t>ib</w:t>
            </w:r>
            <w:r>
              <w:t xml:space="preserve">ution services to at least 1% of the total number of </w:t>
            </w:r>
            <w:r w:rsidR="0045701C">
              <w:t>electricity</w:t>
            </w:r>
            <w:r w:rsidR="00300D22">
              <w:t xml:space="preserve"> consumers.</w:t>
            </w:r>
            <w:r>
              <w:t xml:space="preserve"> </w:t>
            </w:r>
          </w:p>
        </w:tc>
      </w:tr>
      <w:tr w:rsidR="00716FF2" w:rsidTr="00716FF2">
        <w:trPr>
          <w:cantSplit/>
        </w:trPr>
        <w:tc>
          <w:tcPr>
            <w:tcW w:w="3192" w:type="dxa"/>
          </w:tcPr>
          <w:p w:rsidR="00716FF2" w:rsidRDefault="00716FF2" w:rsidP="0023085B"/>
        </w:tc>
        <w:tc>
          <w:tcPr>
            <w:tcW w:w="3192" w:type="dxa"/>
          </w:tcPr>
          <w:p w:rsidR="00716FF2" w:rsidRDefault="00421FFA" w:rsidP="00300D22">
            <w:r>
              <w:t xml:space="preserve">6.4 The area of activity </w:t>
            </w:r>
            <w:r w:rsidR="00300D22">
              <w:t>that</w:t>
            </w:r>
            <w:r>
              <w:t xml:space="preserve"> </w:t>
            </w:r>
            <w:r w:rsidR="0045701C">
              <w:t>requires</w:t>
            </w:r>
            <w:r>
              <w:t xml:space="preserve"> a production license </w:t>
            </w:r>
            <w:r w:rsidR="002E678C">
              <w:t>according</w:t>
            </w:r>
            <w:r>
              <w:t xml:space="preserve"> to the Electricity Sector Law. </w:t>
            </w:r>
          </w:p>
        </w:tc>
        <w:tc>
          <w:tcPr>
            <w:tcW w:w="3192" w:type="dxa"/>
            <w:gridSpan w:val="2"/>
          </w:tcPr>
          <w:p w:rsidR="00716FF2" w:rsidRDefault="00421FFA">
            <w:pPr>
              <w:jc w:val="center"/>
            </w:pPr>
            <w:r>
              <w:t xml:space="preserve">The production license relates to the </w:t>
            </w:r>
            <w:r w:rsidR="0045701C">
              <w:t>construction</w:t>
            </w:r>
            <w:r>
              <w:t xml:space="preserve"> and operation of a power station for the </w:t>
            </w:r>
            <w:r w:rsidR="0045701C">
              <w:t>production</w:t>
            </w:r>
            <w:r>
              <w:t xml:space="preserve"> of electricity exceed</w:t>
            </w:r>
            <w:r w:rsidR="00A749B9">
              <w:t>ing</w:t>
            </w:r>
            <w:r>
              <w:t xml:space="preserve"> 175 megawatts, which is connected to the </w:t>
            </w:r>
            <w:r w:rsidR="0045701C">
              <w:t>electricity</w:t>
            </w:r>
            <w:r>
              <w:t xml:space="preserve"> network of a </w:t>
            </w:r>
            <w:proofErr w:type="spellStart"/>
            <w:r w:rsidR="00A749B9">
              <w:t>tranmission</w:t>
            </w:r>
            <w:proofErr w:type="spellEnd"/>
            <w:r w:rsidR="00A749B9">
              <w:t xml:space="preserve"> </w:t>
            </w:r>
            <w:r>
              <w:t xml:space="preserve">license holder </w:t>
            </w:r>
            <w:r w:rsidR="002E678C">
              <w:t>according</w:t>
            </w:r>
            <w:r>
              <w:t xml:space="preserve"> to the Electricity Sector Law.</w:t>
            </w:r>
          </w:p>
        </w:tc>
      </w:tr>
      <w:tr w:rsidR="00FC19F1" w:rsidTr="00175296">
        <w:trPr>
          <w:cantSplit/>
        </w:trPr>
        <w:tc>
          <w:tcPr>
            <w:tcW w:w="3192" w:type="dxa"/>
          </w:tcPr>
          <w:p w:rsidR="00FC19F1" w:rsidRDefault="00FC19F1" w:rsidP="0023085B">
            <w:r>
              <w:t>7. Petroleum</w:t>
            </w:r>
          </w:p>
        </w:tc>
        <w:tc>
          <w:tcPr>
            <w:tcW w:w="3192" w:type="dxa"/>
          </w:tcPr>
          <w:p w:rsidR="00FC19F1" w:rsidRDefault="00FC19F1" w:rsidP="00421FFA">
            <w:r>
              <w:t xml:space="preserve">7.1 The area of activity for which one </w:t>
            </w:r>
            <w:r w:rsidR="00300D22">
              <w:t>o</w:t>
            </w:r>
            <w:r>
              <w:t xml:space="preserve">f the following is issued according to the </w:t>
            </w:r>
            <w:r w:rsidR="0045701C">
              <w:t>Petroleum</w:t>
            </w:r>
            <w:r>
              <w:t xml:space="preserve"> Law, 5713-1952</w:t>
            </w:r>
            <w:r w:rsidR="00815C10">
              <w:t xml:space="preserve"> (in this Schedule – the Petroleum Law):</w:t>
            </w:r>
          </w:p>
          <w:p w:rsidR="00815C10" w:rsidRDefault="00815C10" w:rsidP="00421FFA">
            <w:r>
              <w:t>(1) A petroleum right as defined in the</w:t>
            </w:r>
            <w:r w:rsidR="003105ED">
              <w:t xml:space="preserve"> </w:t>
            </w:r>
            <w:r w:rsidR="0045701C">
              <w:t>Petroleum</w:t>
            </w:r>
            <w:r>
              <w:t xml:space="preserve"> Law; </w:t>
            </w:r>
          </w:p>
          <w:p w:rsidR="00815C10" w:rsidRDefault="00815C10" w:rsidP="00311544">
            <w:r>
              <w:t xml:space="preserve">(2) </w:t>
            </w:r>
            <w:r w:rsidR="00300D22">
              <w:t xml:space="preserve">A </w:t>
            </w:r>
            <w:r w:rsidR="00CF505F">
              <w:t xml:space="preserve">preliminary </w:t>
            </w:r>
            <w:r>
              <w:t xml:space="preserve">permit and </w:t>
            </w:r>
            <w:r w:rsidR="0025331C">
              <w:t>provided</w:t>
            </w:r>
            <w:r>
              <w:t xml:space="preserve"> that it was provided together with a priority </w:t>
            </w:r>
            <w:r w:rsidR="005C52B1">
              <w:t xml:space="preserve">for receipt of permit </w:t>
            </w:r>
            <w:r>
              <w:t>according to paragraph 7A of the law.</w:t>
            </w:r>
          </w:p>
        </w:tc>
        <w:tc>
          <w:tcPr>
            <w:tcW w:w="1596" w:type="dxa"/>
          </w:tcPr>
          <w:p w:rsidR="00FC19F1" w:rsidRDefault="00551579" w:rsidP="002D0B4F">
            <w:pPr>
              <w:jc w:val="center"/>
            </w:pPr>
            <w:r>
              <w:t>Allocation</w:t>
            </w:r>
            <w:r w:rsidR="00FC19F1">
              <w:t xml:space="preserve"> of a </w:t>
            </w:r>
            <w:r w:rsidR="0045701C">
              <w:t>petroleum</w:t>
            </w:r>
            <w:r w:rsidR="00FC19F1">
              <w:t xml:space="preserve"> right </w:t>
            </w:r>
            <w:r w:rsidR="00815C10">
              <w:t xml:space="preserve">to someone who at the time of the </w:t>
            </w:r>
            <w:r>
              <w:t>allocation</w:t>
            </w:r>
            <w:r w:rsidR="00815C10">
              <w:t xml:space="preserve"> did not have any other </w:t>
            </w:r>
            <w:r w:rsidR="0045701C">
              <w:t>petroleum</w:t>
            </w:r>
            <w:r w:rsidR="00815C10">
              <w:t xml:space="preserve"> right for that territory.</w:t>
            </w:r>
          </w:p>
        </w:tc>
        <w:tc>
          <w:tcPr>
            <w:tcW w:w="1596" w:type="dxa"/>
          </w:tcPr>
          <w:p w:rsidR="00FC19F1" w:rsidRDefault="00FC19F1" w:rsidP="002D0B4F">
            <w:pPr>
              <w:jc w:val="center"/>
            </w:pPr>
          </w:p>
        </w:tc>
      </w:tr>
      <w:tr w:rsidR="00815C10" w:rsidTr="00175296">
        <w:trPr>
          <w:cantSplit/>
        </w:trPr>
        <w:tc>
          <w:tcPr>
            <w:tcW w:w="3192" w:type="dxa"/>
          </w:tcPr>
          <w:p w:rsidR="00815C10" w:rsidRDefault="00815C10" w:rsidP="0023085B">
            <w:r>
              <w:t xml:space="preserve">8. A </w:t>
            </w:r>
            <w:r w:rsidR="003A4B98">
              <w:t>specific mineral</w:t>
            </w:r>
          </w:p>
        </w:tc>
        <w:tc>
          <w:tcPr>
            <w:tcW w:w="3192" w:type="dxa"/>
          </w:tcPr>
          <w:p w:rsidR="00815C10" w:rsidRDefault="00815C10" w:rsidP="003A4B98">
            <w:r>
              <w:t xml:space="preserve">8.1 The area of activity </w:t>
            </w:r>
            <w:r w:rsidR="003A4B98">
              <w:t>for a sp</w:t>
            </w:r>
            <w:r>
              <w:t>ecific type</w:t>
            </w:r>
            <w:r w:rsidR="003A4B98">
              <w:t xml:space="preserve"> of mineral</w:t>
            </w:r>
            <w:r>
              <w:t xml:space="preserve"> for which one of the following is granted </w:t>
            </w:r>
            <w:r w:rsidR="002E678C">
              <w:t>according</w:t>
            </w:r>
            <w:r>
              <w:t xml:space="preserve"> to the Mining Ordinance: </w:t>
            </w:r>
          </w:p>
          <w:p w:rsidR="00815C10" w:rsidRDefault="00815C10" w:rsidP="00300D22">
            <w:r>
              <w:t xml:space="preserve">(1) </w:t>
            </w:r>
            <w:r w:rsidR="00300D22">
              <w:t>An e</w:t>
            </w:r>
            <w:r>
              <w:t xml:space="preserve">xploration license or mining right, according to their meaning in the Mining Ordinance; </w:t>
            </w:r>
          </w:p>
          <w:p w:rsidR="00815C10" w:rsidRDefault="00815C10" w:rsidP="00311544">
            <w:r>
              <w:t xml:space="preserve">(2) </w:t>
            </w:r>
            <w:r w:rsidR="00300D22">
              <w:t>An i</w:t>
            </w:r>
            <w:r w:rsidR="003A4B98">
              <w:t xml:space="preserve">ndividual right or </w:t>
            </w:r>
            <w:r w:rsidR="0045701C">
              <w:t>priority</w:t>
            </w:r>
            <w:r w:rsidR="003A4B98">
              <w:t xml:space="preserve"> right to obtain an exploration </w:t>
            </w:r>
            <w:r w:rsidR="005C52B1">
              <w:t xml:space="preserve">license </w:t>
            </w:r>
            <w:r w:rsidR="003A4B98">
              <w:t>according to paragraph 17 of the Mining Ordinance.</w:t>
            </w:r>
          </w:p>
        </w:tc>
        <w:tc>
          <w:tcPr>
            <w:tcW w:w="1596" w:type="dxa"/>
          </w:tcPr>
          <w:p w:rsidR="00815C10" w:rsidRDefault="00551579" w:rsidP="00311544">
            <w:pPr>
              <w:jc w:val="center"/>
            </w:pPr>
            <w:r>
              <w:t>Allocation</w:t>
            </w:r>
            <w:r w:rsidR="003A4B98">
              <w:t xml:space="preserve"> of an exploration license, mining right, exploration permit or permit to investigate</w:t>
            </w:r>
            <w:r w:rsidR="005C52B1">
              <w:t>,</w:t>
            </w:r>
            <w:r w:rsidR="003A4B98">
              <w:t xml:space="preserve"> </w:t>
            </w:r>
            <w:r w:rsidR="005C52B1">
              <w:t xml:space="preserve">to </w:t>
            </w:r>
            <w:r w:rsidR="003A4B98">
              <w:t xml:space="preserve">someone who at the time of the </w:t>
            </w:r>
            <w:r>
              <w:t>allocation</w:t>
            </w:r>
            <w:r w:rsidR="003A4B98">
              <w:t xml:space="preserve"> does not have such a license, right or permit in that territory.</w:t>
            </w:r>
          </w:p>
        </w:tc>
        <w:tc>
          <w:tcPr>
            <w:tcW w:w="1596" w:type="dxa"/>
          </w:tcPr>
          <w:p w:rsidR="00815C10" w:rsidRDefault="00815C10" w:rsidP="002D0B4F">
            <w:pPr>
              <w:jc w:val="center"/>
            </w:pPr>
          </w:p>
        </w:tc>
      </w:tr>
      <w:tr w:rsidR="005344DE" w:rsidTr="00175296">
        <w:trPr>
          <w:cantSplit/>
        </w:trPr>
        <w:tc>
          <w:tcPr>
            <w:tcW w:w="3192" w:type="dxa"/>
          </w:tcPr>
          <w:p w:rsidR="005344DE" w:rsidRDefault="005344DE" w:rsidP="0023085B">
            <w:r>
              <w:lastRenderedPageBreak/>
              <w:t>9. Mining of a certain type of mineral</w:t>
            </w:r>
          </w:p>
        </w:tc>
        <w:tc>
          <w:tcPr>
            <w:tcW w:w="3192" w:type="dxa"/>
          </w:tcPr>
          <w:p w:rsidR="005344DE" w:rsidRDefault="005344DE" w:rsidP="00421FFA">
            <w:r>
              <w:t xml:space="preserve">9.1 The area of activity that requires a quarrying license, for that specific type of mineral, according to </w:t>
            </w:r>
            <w:r w:rsidR="0045701C">
              <w:t>Paragraph</w:t>
            </w:r>
            <w:r>
              <w:t xml:space="preserve"> 109 of the Mining Ordinance.</w:t>
            </w:r>
          </w:p>
        </w:tc>
        <w:tc>
          <w:tcPr>
            <w:tcW w:w="3192" w:type="dxa"/>
            <w:gridSpan w:val="2"/>
          </w:tcPr>
          <w:p w:rsidR="005344DE" w:rsidRDefault="00300D22" w:rsidP="002D0B4F">
            <w:pPr>
              <w:jc w:val="center"/>
            </w:pPr>
            <w:r>
              <w:t>-</w:t>
            </w:r>
          </w:p>
        </w:tc>
      </w:tr>
      <w:tr w:rsidR="005344DE" w:rsidTr="00175296">
        <w:trPr>
          <w:cantSplit/>
        </w:trPr>
        <w:tc>
          <w:tcPr>
            <w:tcW w:w="3192" w:type="dxa"/>
          </w:tcPr>
          <w:p w:rsidR="005344DE" w:rsidRDefault="005344DE" w:rsidP="00311544">
            <w:r>
              <w:t xml:space="preserve">10. The </w:t>
            </w:r>
            <w:r w:rsidR="003543F6">
              <w:t xml:space="preserve">fuel </w:t>
            </w:r>
            <w:r>
              <w:t>sector</w:t>
            </w:r>
          </w:p>
        </w:tc>
        <w:tc>
          <w:tcPr>
            <w:tcW w:w="3192" w:type="dxa"/>
          </w:tcPr>
          <w:p w:rsidR="005344DE" w:rsidRDefault="005344DE" w:rsidP="00311544">
            <w:r>
              <w:t xml:space="preserve">10.1 The area of activity of </w:t>
            </w:r>
            <w:r w:rsidR="00300D22">
              <w:t xml:space="preserve"> a </w:t>
            </w:r>
            <w:r>
              <w:t>gasoline company that is</w:t>
            </w:r>
            <w:r w:rsidR="003105ED">
              <w:t xml:space="preserve"> </w:t>
            </w:r>
            <w:r>
              <w:t xml:space="preserve">listed in the </w:t>
            </w:r>
            <w:r w:rsidR="003543F6">
              <w:t xml:space="preserve">Fuel </w:t>
            </w:r>
            <w:r>
              <w:t xml:space="preserve">Companies Registry according to paragraph 12 of the </w:t>
            </w:r>
            <w:r w:rsidR="0045701C">
              <w:t>Arrangements</w:t>
            </w:r>
            <w:r>
              <w:t xml:space="preserve"> in the Economy Law (amendments to the legislation to achieve the budget objectives for the 2001 fiscal year), 5761-2001 (in this Schedule – the Arrangements Law for 2001).</w:t>
            </w:r>
          </w:p>
        </w:tc>
        <w:tc>
          <w:tcPr>
            <w:tcW w:w="3192" w:type="dxa"/>
            <w:gridSpan w:val="2"/>
          </w:tcPr>
          <w:p w:rsidR="005344DE" w:rsidRDefault="005344DE" w:rsidP="002D0B4F">
            <w:pPr>
              <w:jc w:val="center"/>
            </w:pPr>
          </w:p>
        </w:tc>
      </w:tr>
      <w:tr w:rsidR="005344DE" w:rsidTr="00175296">
        <w:trPr>
          <w:cantSplit/>
        </w:trPr>
        <w:tc>
          <w:tcPr>
            <w:tcW w:w="3192" w:type="dxa"/>
          </w:tcPr>
          <w:p w:rsidR="005344DE" w:rsidRDefault="005344DE" w:rsidP="0023085B"/>
        </w:tc>
        <w:tc>
          <w:tcPr>
            <w:tcW w:w="3192" w:type="dxa"/>
          </w:tcPr>
          <w:p w:rsidR="005344DE" w:rsidRDefault="005344DE" w:rsidP="00421FFA">
            <w:r>
              <w:t xml:space="preserve">10.2 Refining of </w:t>
            </w:r>
            <w:r w:rsidR="003543F6">
              <w:t>fuel</w:t>
            </w:r>
            <w:r w:rsidR="003543F6" w:rsidDel="003543F6">
              <w:t xml:space="preserve"> </w:t>
            </w:r>
            <w:r>
              <w:t xml:space="preserve">as </w:t>
            </w:r>
            <w:r w:rsidR="0045701C">
              <w:t>defined</w:t>
            </w:r>
            <w:r>
              <w:t xml:space="preserve"> in paragraph 9 of the Arrangements Law for 2001).</w:t>
            </w:r>
          </w:p>
        </w:tc>
        <w:tc>
          <w:tcPr>
            <w:tcW w:w="3192" w:type="dxa"/>
            <w:gridSpan w:val="2"/>
          </w:tcPr>
          <w:p w:rsidR="005344DE" w:rsidRDefault="00B55D4B" w:rsidP="002D0B4F">
            <w:pPr>
              <w:jc w:val="center"/>
            </w:pPr>
            <w:r>
              <w:t>-</w:t>
            </w:r>
          </w:p>
        </w:tc>
      </w:tr>
      <w:tr w:rsidR="005344DE" w:rsidTr="00175296">
        <w:trPr>
          <w:cantSplit/>
        </w:trPr>
        <w:tc>
          <w:tcPr>
            <w:tcW w:w="3192" w:type="dxa"/>
          </w:tcPr>
          <w:p w:rsidR="005344DE" w:rsidRDefault="005344DE" w:rsidP="0023085B">
            <w:r>
              <w:t xml:space="preserve">11. </w:t>
            </w:r>
            <w:r w:rsidR="0045701C">
              <w:t>Liquefied</w:t>
            </w:r>
            <w:r>
              <w:t xml:space="preserve"> </w:t>
            </w:r>
            <w:r w:rsidR="0045701C">
              <w:t>petroleum</w:t>
            </w:r>
            <w:r>
              <w:t xml:space="preserve"> gas</w:t>
            </w:r>
          </w:p>
        </w:tc>
        <w:tc>
          <w:tcPr>
            <w:tcW w:w="3192" w:type="dxa"/>
          </w:tcPr>
          <w:p w:rsidR="005344DE" w:rsidRDefault="005344DE" w:rsidP="00311544">
            <w:r>
              <w:t>11.1 The area of activity that requires a gas supplier lice</w:t>
            </w:r>
            <w:r w:rsidR="0045701C">
              <w:t>n</w:t>
            </w:r>
            <w:r>
              <w:t>se, according to the Gas (</w:t>
            </w:r>
            <w:r w:rsidR="003543F6">
              <w:t xml:space="preserve">Safety </w:t>
            </w:r>
            <w:r>
              <w:t xml:space="preserve">and </w:t>
            </w:r>
            <w:r w:rsidR="003543F6">
              <w:t>Licensing</w:t>
            </w:r>
            <w:r>
              <w:t>)</w:t>
            </w:r>
            <w:r w:rsidR="00F20BDB">
              <w:t xml:space="preserve"> Law</w:t>
            </w:r>
            <w:r>
              <w:t>, 5749-1989 (in this Schedule – the Gas Law)</w:t>
            </w:r>
            <w:r w:rsidR="003543F6">
              <w:t>,</w:t>
            </w:r>
            <w:r>
              <w:t xml:space="preserve"> </w:t>
            </w:r>
            <w:r w:rsidR="0025331C">
              <w:t>provided</w:t>
            </w:r>
            <w:r>
              <w:t xml:space="preserve"> that marketing activity is included in the area of activity </w:t>
            </w:r>
            <w:r w:rsidR="002E678C">
              <w:t>according</w:t>
            </w:r>
            <w:r>
              <w:t xml:space="preserve"> to the license.</w:t>
            </w:r>
          </w:p>
        </w:tc>
        <w:tc>
          <w:tcPr>
            <w:tcW w:w="3192" w:type="dxa"/>
            <w:gridSpan w:val="2"/>
          </w:tcPr>
          <w:p w:rsidR="005344DE" w:rsidRDefault="00B55D4B" w:rsidP="002D0B4F">
            <w:pPr>
              <w:jc w:val="center"/>
            </w:pPr>
            <w:r>
              <w:t>-</w:t>
            </w:r>
          </w:p>
        </w:tc>
      </w:tr>
      <w:tr w:rsidR="005344DE" w:rsidTr="00175296">
        <w:trPr>
          <w:cantSplit/>
        </w:trPr>
        <w:tc>
          <w:tcPr>
            <w:tcW w:w="3192" w:type="dxa"/>
          </w:tcPr>
          <w:p w:rsidR="005344DE" w:rsidRDefault="005344DE" w:rsidP="0023085B"/>
        </w:tc>
        <w:tc>
          <w:tcPr>
            <w:tcW w:w="3192" w:type="dxa"/>
          </w:tcPr>
          <w:p w:rsidR="005344DE" w:rsidRDefault="005344DE" w:rsidP="00421FFA">
            <w:r>
              <w:t>11.2 Storage activity which requires a gas supplier license according to the Gas Law.</w:t>
            </w:r>
          </w:p>
        </w:tc>
        <w:tc>
          <w:tcPr>
            <w:tcW w:w="3192" w:type="dxa"/>
            <w:gridSpan w:val="2"/>
          </w:tcPr>
          <w:p w:rsidR="005344DE" w:rsidRDefault="00B55D4B" w:rsidP="002D0B4F">
            <w:pPr>
              <w:jc w:val="center"/>
            </w:pPr>
            <w:r>
              <w:t>-</w:t>
            </w:r>
          </w:p>
        </w:tc>
      </w:tr>
      <w:tr w:rsidR="005344DE" w:rsidTr="00175296">
        <w:trPr>
          <w:cantSplit/>
        </w:trPr>
        <w:tc>
          <w:tcPr>
            <w:tcW w:w="3192" w:type="dxa"/>
          </w:tcPr>
          <w:p w:rsidR="005344DE" w:rsidRDefault="005344DE" w:rsidP="0023085B"/>
        </w:tc>
        <w:tc>
          <w:tcPr>
            <w:tcW w:w="3192" w:type="dxa"/>
          </w:tcPr>
          <w:p w:rsidR="005344DE" w:rsidRDefault="005344DE" w:rsidP="00421FFA">
            <w:r>
              <w:t xml:space="preserve">11.3 Production activity which requires a gas supplier license </w:t>
            </w:r>
            <w:r w:rsidR="0045701C">
              <w:t>according</w:t>
            </w:r>
            <w:r>
              <w:t xml:space="preserve"> to the Gas Law.</w:t>
            </w:r>
          </w:p>
        </w:tc>
        <w:tc>
          <w:tcPr>
            <w:tcW w:w="3192" w:type="dxa"/>
            <w:gridSpan w:val="2"/>
          </w:tcPr>
          <w:p w:rsidR="005344DE" w:rsidRDefault="00B55D4B" w:rsidP="002D0B4F">
            <w:pPr>
              <w:jc w:val="center"/>
            </w:pPr>
            <w:r>
              <w:t>-</w:t>
            </w:r>
          </w:p>
        </w:tc>
      </w:tr>
      <w:tr w:rsidR="005344DE" w:rsidTr="00175296">
        <w:trPr>
          <w:cantSplit/>
        </w:trPr>
        <w:tc>
          <w:tcPr>
            <w:tcW w:w="3192" w:type="dxa"/>
          </w:tcPr>
          <w:p w:rsidR="005344DE" w:rsidRDefault="005344DE" w:rsidP="0023085B">
            <w:r>
              <w:t>12. The natural gas sector</w:t>
            </w:r>
          </w:p>
        </w:tc>
        <w:tc>
          <w:tcPr>
            <w:tcW w:w="3192" w:type="dxa"/>
          </w:tcPr>
          <w:p w:rsidR="005344DE" w:rsidRDefault="005344DE" w:rsidP="00421FFA">
            <w:r>
              <w:t xml:space="preserve">12.1 The area of activity which requires a transmission license </w:t>
            </w:r>
            <w:r w:rsidR="002E678C">
              <w:t>according</w:t>
            </w:r>
            <w:r>
              <w:t xml:space="preserve"> to the </w:t>
            </w:r>
            <w:r w:rsidR="0045701C">
              <w:t>Natural</w:t>
            </w:r>
            <w:r>
              <w:t xml:space="preserve"> Gas Sector Law, 5762-2002 (in this Schedule – the Natural Gas Law).</w:t>
            </w:r>
          </w:p>
        </w:tc>
        <w:tc>
          <w:tcPr>
            <w:tcW w:w="3192" w:type="dxa"/>
            <w:gridSpan w:val="2"/>
          </w:tcPr>
          <w:p w:rsidR="005344DE" w:rsidRDefault="00B55D4B" w:rsidP="002D0B4F">
            <w:pPr>
              <w:jc w:val="center"/>
            </w:pPr>
            <w:r>
              <w:t>-</w:t>
            </w:r>
          </w:p>
        </w:tc>
      </w:tr>
      <w:tr w:rsidR="005344DE" w:rsidTr="00175296">
        <w:trPr>
          <w:cantSplit/>
        </w:trPr>
        <w:tc>
          <w:tcPr>
            <w:tcW w:w="3192" w:type="dxa"/>
          </w:tcPr>
          <w:p w:rsidR="005344DE" w:rsidRDefault="005344DE" w:rsidP="0023085B"/>
        </w:tc>
        <w:tc>
          <w:tcPr>
            <w:tcW w:w="3192" w:type="dxa"/>
          </w:tcPr>
          <w:p w:rsidR="005344DE" w:rsidRDefault="005344DE" w:rsidP="00421FFA">
            <w:r>
              <w:t xml:space="preserve">12.2 The area of activity which requires a distribution license </w:t>
            </w:r>
            <w:r w:rsidR="002E678C">
              <w:t>according</w:t>
            </w:r>
            <w:r>
              <w:t xml:space="preserve"> to the Natural Gas Sector Law.</w:t>
            </w:r>
          </w:p>
        </w:tc>
        <w:tc>
          <w:tcPr>
            <w:tcW w:w="3192" w:type="dxa"/>
            <w:gridSpan w:val="2"/>
          </w:tcPr>
          <w:p w:rsidR="005344DE" w:rsidRDefault="005344DE" w:rsidP="002D0B4F">
            <w:pPr>
              <w:jc w:val="center"/>
            </w:pPr>
          </w:p>
        </w:tc>
      </w:tr>
      <w:tr w:rsidR="005344DE" w:rsidTr="00175296">
        <w:trPr>
          <w:cantSplit/>
        </w:trPr>
        <w:tc>
          <w:tcPr>
            <w:tcW w:w="3192" w:type="dxa"/>
          </w:tcPr>
          <w:p w:rsidR="005344DE" w:rsidRDefault="005344DE" w:rsidP="0023085B"/>
        </w:tc>
        <w:tc>
          <w:tcPr>
            <w:tcW w:w="3192" w:type="dxa"/>
          </w:tcPr>
          <w:p w:rsidR="005344DE" w:rsidRDefault="005344DE" w:rsidP="00FF3ADC">
            <w:r>
              <w:t xml:space="preserve">12.3 The area of activity </w:t>
            </w:r>
            <w:r w:rsidR="00FF3ADC">
              <w:t>which</w:t>
            </w:r>
            <w:r>
              <w:t xml:space="preserve"> requires a </w:t>
            </w:r>
            <w:r w:rsidR="00B55D4B">
              <w:t>license for an LNG facility</w:t>
            </w:r>
            <w:r>
              <w:t xml:space="preserve"> according to the Natural Gas Sector Law.</w:t>
            </w:r>
          </w:p>
        </w:tc>
        <w:tc>
          <w:tcPr>
            <w:tcW w:w="3192" w:type="dxa"/>
            <w:gridSpan w:val="2"/>
          </w:tcPr>
          <w:p w:rsidR="005344DE" w:rsidRDefault="005344DE" w:rsidP="002D0B4F">
            <w:pPr>
              <w:jc w:val="center"/>
            </w:pPr>
          </w:p>
        </w:tc>
      </w:tr>
      <w:tr w:rsidR="005344DE" w:rsidTr="00175296">
        <w:trPr>
          <w:cantSplit/>
        </w:trPr>
        <w:tc>
          <w:tcPr>
            <w:tcW w:w="3192" w:type="dxa"/>
          </w:tcPr>
          <w:p w:rsidR="005344DE" w:rsidRDefault="005344DE" w:rsidP="0023085B"/>
        </w:tc>
        <w:tc>
          <w:tcPr>
            <w:tcW w:w="3192" w:type="dxa"/>
          </w:tcPr>
          <w:p w:rsidR="005344DE" w:rsidRDefault="005344DE" w:rsidP="00421FFA">
            <w:r>
              <w:t xml:space="preserve">12.4 The area of activity which requires a storage license </w:t>
            </w:r>
            <w:r w:rsidR="0045701C">
              <w:t>according</w:t>
            </w:r>
            <w:r>
              <w:t xml:space="preserve"> to the </w:t>
            </w:r>
            <w:r w:rsidR="0045701C">
              <w:t>Natural</w:t>
            </w:r>
            <w:r>
              <w:t xml:space="preserve"> Gas Sector Law.</w:t>
            </w:r>
          </w:p>
        </w:tc>
        <w:tc>
          <w:tcPr>
            <w:tcW w:w="3192" w:type="dxa"/>
            <w:gridSpan w:val="2"/>
          </w:tcPr>
          <w:p w:rsidR="005344DE" w:rsidRDefault="005344DE" w:rsidP="002D0B4F">
            <w:pPr>
              <w:jc w:val="center"/>
            </w:pPr>
          </w:p>
        </w:tc>
      </w:tr>
      <w:tr w:rsidR="005344DE" w:rsidTr="00175296">
        <w:trPr>
          <w:cantSplit/>
        </w:trPr>
        <w:tc>
          <w:tcPr>
            <w:tcW w:w="3192" w:type="dxa"/>
          </w:tcPr>
          <w:p w:rsidR="005344DE" w:rsidRDefault="005344DE" w:rsidP="0023085B"/>
        </w:tc>
        <w:tc>
          <w:tcPr>
            <w:tcW w:w="3192" w:type="dxa"/>
          </w:tcPr>
          <w:p w:rsidR="005344DE" w:rsidRDefault="005344DE" w:rsidP="00421FFA">
            <w:r>
              <w:t xml:space="preserve">12.5 The area of activity that </w:t>
            </w:r>
            <w:r w:rsidR="0045701C">
              <w:t>requires</w:t>
            </w:r>
            <w:r>
              <w:t xml:space="preserve"> a marketing license according to the Natural Gas Sector Law.</w:t>
            </w:r>
          </w:p>
        </w:tc>
        <w:tc>
          <w:tcPr>
            <w:tcW w:w="3192" w:type="dxa"/>
            <w:gridSpan w:val="2"/>
          </w:tcPr>
          <w:p w:rsidR="005344DE" w:rsidRDefault="005344DE" w:rsidP="002D0B4F">
            <w:pPr>
              <w:jc w:val="center"/>
            </w:pPr>
          </w:p>
        </w:tc>
      </w:tr>
      <w:tr w:rsidR="005344DE" w:rsidTr="00175296">
        <w:trPr>
          <w:cantSplit/>
        </w:trPr>
        <w:tc>
          <w:tcPr>
            <w:tcW w:w="3192" w:type="dxa"/>
          </w:tcPr>
          <w:p w:rsidR="005344DE" w:rsidRDefault="005344DE" w:rsidP="0023085B">
            <w:r>
              <w:t xml:space="preserve">13. Dead Sea </w:t>
            </w:r>
            <w:r w:rsidR="002106B2">
              <w:t>franchise</w:t>
            </w:r>
          </w:p>
        </w:tc>
        <w:tc>
          <w:tcPr>
            <w:tcW w:w="3192" w:type="dxa"/>
          </w:tcPr>
          <w:p w:rsidR="005344DE" w:rsidRDefault="005344DE" w:rsidP="00421FFA">
            <w:r>
              <w:t xml:space="preserve">13.1 The area of activity to which applies the Dead Sea </w:t>
            </w:r>
            <w:r w:rsidR="002106B2">
              <w:t>Franchise</w:t>
            </w:r>
            <w:r>
              <w:t xml:space="preserve"> Law</w:t>
            </w:r>
            <w:r w:rsidR="00BA77FC">
              <w:t>, 5771-2011.</w:t>
            </w:r>
          </w:p>
        </w:tc>
        <w:tc>
          <w:tcPr>
            <w:tcW w:w="3192" w:type="dxa"/>
            <w:gridSpan w:val="2"/>
          </w:tcPr>
          <w:p w:rsidR="005344DE" w:rsidRDefault="005344DE" w:rsidP="002D0B4F">
            <w:pPr>
              <w:jc w:val="center"/>
            </w:pPr>
          </w:p>
        </w:tc>
      </w:tr>
      <w:tr w:rsidR="00BA77FC" w:rsidTr="00175296">
        <w:trPr>
          <w:cantSplit/>
        </w:trPr>
        <w:tc>
          <w:tcPr>
            <w:tcW w:w="3192" w:type="dxa"/>
          </w:tcPr>
          <w:p w:rsidR="00BA77FC" w:rsidRDefault="00BA77FC" w:rsidP="0023085B">
            <w:r>
              <w:t>14. Other natural resources</w:t>
            </w:r>
          </w:p>
        </w:tc>
        <w:tc>
          <w:tcPr>
            <w:tcW w:w="3192" w:type="dxa"/>
          </w:tcPr>
          <w:p w:rsidR="00BA77FC" w:rsidRDefault="00BA77FC" w:rsidP="00B55D4B">
            <w:r>
              <w:t xml:space="preserve">14.1 Use and exploitation of natural resources that </w:t>
            </w:r>
            <w:r w:rsidR="00B55D4B">
              <w:t>are</w:t>
            </w:r>
            <w:r>
              <w:t xml:space="preserve"> not listed in </w:t>
            </w:r>
            <w:r w:rsidR="0045701C">
              <w:t>another</w:t>
            </w:r>
            <w:r>
              <w:t xml:space="preserve"> item in this Schedule – for each type of natural resource separately.</w:t>
            </w:r>
          </w:p>
        </w:tc>
        <w:tc>
          <w:tcPr>
            <w:tcW w:w="3192" w:type="dxa"/>
            <w:gridSpan w:val="2"/>
          </w:tcPr>
          <w:p w:rsidR="00BA77FC" w:rsidRDefault="00BA77FC" w:rsidP="002D0B4F">
            <w:pPr>
              <w:jc w:val="center"/>
            </w:pPr>
          </w:p>
        </w:tc>
      </w:tr>
      <w:tr w:rsidR="00BA77FC" w:rsidTr="00175296">
        <w:trPr>
          <w:cantSplit/>
        </w:trPr>
        <w:tc>
          <w:tcPr>
            <w:tcW w:w="3192" w:type="dxa"/>
          </w:tcPr>
          <w:p w:rsidR="00BA77FC" w:rsidRDefault="00BA77FC" w:rsidP="0023085B">
            <w:r>
              <w:t>15. Airports</w:t>
            </w:r>
          </w:p>
        </w:tc>
        <w:tc>
          <w:tcPr>
            <w:tcW w:w="3192" w:type="dxa"/>
          </w:tcPr>
          <w:p w:rsidR="00BA77FC" w:rsidRDefault="00BA77FC" w:rsidP="00421FFA">
            <w:r>
              <w:t xml:space="preserve">15.1 The area of activity that requires a license to </w:t>
            </w:r>
            <w:r w:rsidR="0045701C">
              <w:t>operate</w:t>
            </w:r>
            <w:r>
              <w:t xml:space="preserve"> an airport </w:t>
            </w:r>
            <w:r w:rsidR="002E678C">
              <w:t>according</w:t>
            </w:r>
            <w:r>
              <w:t xml:space="preserve"> to paragraph 31 of the Flight Law, 5771-2011.</w:t>
            </w:r>
          </w:p>
        </w:tc>
        <w:tc>
          <w:tcPr>
            <w:tcW w:w="3192" w:type="dxa"/>
            <w:gridSpan w:val="2"/>
          </w:tcPr>
          <w:p w:rsidR="00BA77FC" w:rsidRDefault="00BA77FC" w:rsidP="002D0B4F">
            <w:pPr>
              <w:jc w:val="center"/>
            </w:pPr>
          </w:p>
        </w:tc>
      </w:tr>
      <w:tr w:rsidR="00BA77FC" w:rsidTr="00175296">
        <w:trPr>
          <w:cantSplit/>
        </w:trPr>
        <w:tc>
          <w:tcPr>
            <w:tcW w:w="3192" w:type="dxa"/>
          </w:tcPr>
          <w:p w:rsidR="00BA77FC" w:rsidRDefault="00BA77FC" w:rsidP="000B70CA">
            <w:r>
              <w:t>16. Bus service</w:t>
            </w:r>
          </w:p>
        </w:tc>
        <w:tc>
          <w:tcPr>
            <w:tcW w:w="3192" w:type="dxa"/>
          </w:tcPr>
          <w:p w:rsidR="00BA77FC" w:rsidRDefault="00BA77FC" w:rsidP="00421FFA">
            <w:r>
              <w:t xml:space="preserve">16.1 The area of activity that requires a route license for the operation of a bus line according to the second chapter in Part E of the </w:t>
            </w:r>
            <w:r w:rsidR="0045701C">
              <w:t>Transportation</w:t>
            </w:r>
            <w:r>
              <w:t xml:space="preserve"> Regulations, 5721-1961.</w:t>
            </w:r>
          </w:p>
        </w:tc>
        <w:tc>
          <w:tcPr>
            <w:tcW w:w="3192" w:type="dxa"/>
            <w:gridSpan w:val="2"/>
          </w:tcPr>
          <w:p w:rsidR="00BA77FC" w:rsidRDefault="00BA77FC" w:rsidP="00311544">
            <w:pPr>
              <w:jc w:val="center"/>
            </w:pPr>
            <w:r>
              <w:t xml:space="preserve">The total length in kilometers of the service routes to which the bus line license applies is at least 5% of the total length of bus routes for </w:t>
            </w:r>
            <w:r w:rsidR="00BA3757">
              <w:t>which route licenses were issued.</w:t>
            </w:r>
          </w:p>
        </w:tc>
      </w:tr>
      <w:tr w:rsidR="00BA77FC" w:rsidTr="00175296">
        <w:trPr>
          <w:cantSplit/>
        </w:trPr>
        <w:tc>
          <w:tcPr>
            <w:tcW w:w="3192" w:type="dxa"/>
          </w:tcPr>
          <w:p w:rsidR="00BA77FC" w:rsidRDefault="00BA3757" w:rsidP="0023085B">
            <w:r>
              <w:t>17. Local railways</w:t>
            </w:r>
          </w:p>
        </w:tc>
        <w:tc>
          <w:tcPr>
            <w:tcW w:w="3192" w:type="dxa"/>
          </w:tcPr>
          <w:p w:rsidR="00BA77FC" w:rsidRDefault="00BA3757" w:rsidP="00421FFA">
            <w:r>
              <w:t xml:space="preserve">17.1 The area of activity that requires a </w:t>
            </w:r>
            <w:r w:rsidR="002106B2">
              <w:t>franchise</w:t>
            </w:r>
            <w:r>
              <w:t xml:space="preserve"> for the operation of a local railway according to paragraph 46A of the Railways </w:t>
            </w:r>
            <w:r w:rsidR="0045701C">
              <w:t>Ordinance</w:t>
            </w:r>
            <w:r>
              <w:t xml:space="preserve"> (</w:t>
            </w:r>
            <w:r w:rsidR="00A76FA6">
              <w:t>N</w:t>
            </w:r>
            <w:r>
              <w:t xml:space="preserve">ew </w:t>
            </w:r>
            <w:r w:rsidR="00A76FA6">
              <w:t>V</w:t>
            </w:r>
            <w:r>
              <w:t xml:space="preserve">ersion), 5761-2001 (in this Schedule – the Railways Ordinance). </w:t>
            </w:r>
          </w:p>
        </w:tc>
        <w:tc>
          <w:tcPr>
            <w:tcW w:w="3192" w:type="dxa"/>
            <w:gridSpan w:val="2"/>
          </w:tcPr>
          <w:p w:rsidR="00BA77FC" w:rsidRDefault="000B70CA" w:rsidP="002D0B4F">
            <w:pPr>
              <w:jc w:val="center"/>
            </w:pPr>
            <w:r>
              <w:t>-</w:t>
            </w:r>
          </w:p>
        </w:tc>
      </w:tr>
      <w:tr w:rsidR="00BA77FC" w:rsidTr="00175296">
        <w:trPr>
          <w:cantSplit/>
        </w:trPr>
        <w:tc>
          <w:tcPr>
            <w:tcW w:w="3192" w:type="dxa"/>
          </w:tcPr>
          <w:p w:rsidR="00BA77FC" w:rsidRDefault="00BA3757" w:rsidP="0023085B">
            <w:r>
              <w:t xml:space="preserve">18. </w:t>
            </w:r>
            <w:r w:rsidR="0045701C">
              <w:t>Railways</w:t>
            </w:r>
            <w:r w:rsidR="00CA2075">
              <w:t xml:space="preserve"> that are not local railways</w:t>
            </w:r>
          </w:p>
        </w:tc>
        <w:tc>
          <w:tcPr>
            <w:tcW w:w="3192" w:type="dxa"/>
          </w:tcPr>
          <w:p w:rsidR="00BA77FC" w:rsidRDefault="00CA2075" w:rsidP="00421FFA">
            <w:r>
              <w:t xml:space="preserve">18.1 The area of activity that </w:t>
            </w:r>
            <w:r w:rsidR="0045701C">
              <w:t>requires</w:t>
            </w:r>
            <w:r>
              <w:t xml:space="preserve"> one of the following: </w:t>
            </w:r>
          </w:p>
          <w:p w:rsidR="00CA2075" w:rsidRDefault="00CA2075" w:rsidP="00FF3ADC">
            <w:r>
              <w:t xml:space="preserve">(1) </w:t>
            </w:r>
            <w:r w:rsidR="00FF3ADC">
              <w:t>A p</w:t>
            </w:r>
            <w:r>
              <w:t>ermit to operate or manage a rail</w:t>
            </w:r>
            <w:r w:rsidR="000B70CA">
              <w:t>way</w:t>
            </w:r>
            <w:r>
              <w:t xml:space="preserve"> that is not a local railway, according to paragraph 48 of the Railways Ordinance;</w:t>
            </w:r>
          </w:p>
          <w:p w:rsidR="00CA2075" w:rsidRDefault="00CA2075" w:rsidP="00FF3ADC">
            <w:r>
              <w:t>(</w:t>
            </w:r>
            <w:r w:rsidR="000B70CA">
              <w:t>2</w:t>
            </w:r>
            <w:r>
              <w:t xml:space="preserve">) </w:t>
            </w:r>
            <w:r w:rsidR="00FF3ADC">
              <w:t>An o</w:t>
            </w:r>
            <w:r>
              <w:t xml:space="preserve">rder </w:t>
            </w:r>
            <w:r w:rsidR="002E678C">
              <w:t>according</w:t>
            </w:r>
            <w:r>
              <w:t xml:space="preserve"> to </w:t>
            </w:r>
            <w:r w:rsidR="002E678C">
              <w:t>paragraph</w:t>
            </w:r>
            <w:r>
              <w:t xml:space="preserve"> 48a of the Railway </w:t>
            </w:r>
            <w:r w:rsidR="0045701C">
              <w:t>Ordinance</w:t>
            </w:r>
            <w:r>
              <w:t>.</w:t>
            </w:r>
          </w:p>
        </w:tc>
        <w:tc>
          <w:tcPr>
            <w:tcW w:w="3192" w:type="dxa"/>
            <w:gridSpan w:val="2"/>
          </w:tcPr>
          <w:p w:rsidR="00BA77FC" w:rsidRDefault="000B70CA" w:rsidP="002D0B4F">
            <w:pPr>
              <w:jc w:val="center"/>
            </w:pPr>
            <w:r>
              <w:t>-</w:t>
            </w:r>
          </w:p>
        </w:tc>
      </w:tr>
      <w:tr w:rsidR="00BA77FC" w:rsidTr="00175296">
        <w:trPr>
          <w:cantSplit/>
        </w:trPr>
        <w:tc>
          <w:tcPr>
            <w:tcW w:w="3192" w:type="dxa"/>
          </w:tcPr>
          <w:p w:rsidR="00BA77FC" w:rsidRDefault="00CA2075" w:rsidP="0023085B">
            <w:r>
              <w:lastRenderedPageBreak/>
              <w:t>19. Shipping and ports</w:t>
            </w:r>
          </w:p>
        </w:tc>
        <w:tc>
          <w:tcPr>
            <w:tcW w:w="3192" w:type="dxa"/>
          </w:tcPr>
          <w:p w:rsidR="00BA77FC" w:rsidRDefault="00CA2075" w:rsidP="00421FFA">
            <w:r>
              <w:t xml:space="preserve">19.1 The area of activity that requires certification to become a port company or authorized </w:t>
            </w:r>
            <w:r w:rsidR="0045701C">
              <w:t>corporation</w:t>
            </w:r>
            <w:r>
              <w:t xml:space="preserve"> </w:t>
            </w:r>
            <w:r w:rsidR="002E678C">
              <w:t>according</w:t>
            </w:r>
            <w:r>
              <w:t xml:space="preserve"> to paragraph 10 of the Shipping and Ports Authority</w:t>
            </w:r>
            <w:r w:rsidR="00EE0138">
              <w:t xml:space="preserve"> Law</w:t>
            </w:r>
            <w:r>
              <w:t>, 5764-2004.</w:t>
            </w:r>
          </w:p>
        </w:tc>
        <w:tc>
          <w:tcPr>
            <w:tcW w:w="3192" w:type="dxa"/>
            <w:gridSpan w:val="2"/>
          </w:tcPr>
          <w:p w:rsidR="00BA77FC" w:rsidRDefault="000B70CA" w:rsidP="002D0B4F">
            <w:pPr>
              <w:jc w:val="center"/>
            </w:pPr>
            <w:r>
              <w:t>-</w:t>
            </w:r>
          </w:p>
        </w:tc>
      </w:tr>
      <w:tr w:rsidR="00CA2075" w:rsidTr="00175296">
        <w:trPr>
          <w:cantSplit/>
        </w:trPr>
        <w:tc>
          <w:tcPr>
            <w:tcW w:w="3192" w:type="dxa"/>
          </w:tcPr>
          <w:p w:rsidR="00CA2075" w:rsidRDefault="00BB1E62" w:rsidP="0023085B">
            <w:r>
              <w:t>20. Roads</w:t>
            </w:r>
          </w:p>
        </w:tc>
        <w:tc>
          <w:tcPr>
            <w:tcW w:w="3192" w:type="dxa"/>
          </w:tcPr>
          <w:p w:rsidR="00CA2075" w:rsidRDefault="00BB1E62" w:rsidP="00421FFA">
            <w:r>
              <w:t xml:space="preserve">20.1 The area of activity related to the maintenance of a road and provision of service for it or the </w:t>
            </w:r>
            <w:r w:rsidR="0045701C">
              <w:t>operation</w:t>
            </w:r>
            <w:r>
              <w:t xml:space="preserve"> of a road and the provision </w:t>
            </w:r>
            <w:r w:rsidR="000B70CA">
              <w:t xml:space="preserve">of service </w:t>
            </w:r>
            <w:r>
              <w:t xml:space="preserve">for it, including – </w:t>
            </w:r>
          </w:p>
          <w:p w:rsidR="00BB1E62" w:rsidRDefault="00BB1E62" w:rsidP="00311544">
            <w:r>
              <w:t>(1) The area of activity to which applies the Toll Road (National Road for Israel)</w:t>
            </w:r>
            <w:r w:rsidR="00EE0138">
              <w:t xml:space="preserve"> Law </w:t>
            </w:r>
            <w:r>
              <w:t xml:space="preserve">, 5755-1995; </w:t>
            </w:r>
          </w:p>
          <w:p w:rsidR="00BB1E62" w:rsidRDefault="00BB1E62" w:rsidP="00311544">
            <w:r>
              <w:t xml:space="preserve">(2) The area of activity to which applies the Toll </w:t>
            </w:r>
            <w:r w:rsidR="0045701C">
              <w:t>Road</w:t>
            </w:r>
            <w:r>
              <w:t xml:space="preserve"> (the Carmel Tunnels)</w:t>
            </w:r>
            <w:r w:rsidR="00EE0138">
              <w:t xml:space="preserve"> Law</w:t>
            </w:r>
            <w:r>
              <w:t xml:space="preserve">, 5755-1955; </w:t>
            </w:r>
          </w:p>
          <w:p w:rsidR="00BB1E62" w:rsidRDefault="00BB1E62" w:rsidP="00421FFA">
            <w:r>
              <w:t>(3) The area of activity to which applies the Fast Lanes Law, 5760-2000</w:t>
            </w:r>
          </w:p>
        </w:tc>
        <w:tc>
          <w:tcPr>
            <w:tcW w:w="3192" w:type="dxa"/>
            <w:gridSpan w:val="2"/>
          </w:tcPr>
          <w:p w:rsidR="00CA2075" w:rsidRDefault="000B70CA" w:rsidP="002D0B4F">
            <w:pPr>
              <w:jc w:val="center"/>
            </w:pPr>
            <w:r>
              <w:t>-</w:t>
            </w:r>
          </w:p>
        </w:tc>
      </w:tr>
      <w:tr w:rsidR="00CA2075" w:rsidTr="00175296">
        <w:trPr>
          <w:cantSplit/>
        </w:trPr>
        <w:tc>
          <w:tcPr>
            <w:tcW w:w="3192" w:type="dxa"/>
          </w:tcPr>
          <w:p w:rsidR="00CA2075" w:rsidRDefault="00BB1E62" w:rsidP="0023085B">
            <w:r>
              <w:t>21. Air cargo terminal warehouses</w:t>
            </w:r>
          </w:p>
        </w:tc>
        <w:tc>
          <w:tcPr>
            <w:tcW w:w="3192" w:type="dxa"/>
          </w:tcPr>
          <w:p w:rsidR="00CA2075" w:rsidRDefault="00BB1E62" w:rsidP="000B70CA">
            <w:r>
              <w:t xml:space="preserve">21.1 </w:t>
            </w:r>
            <w:r w:rsidR="008C622E">
              <w:t xml:space="preserve">The area of activity that requires an </w:t>
            </w:r>
            <w:r w:rsidR="00EE0138">
              <w:t>a</w:t>
            </w:r>
            <w:r w:rsidR="008C622E">
              <w:t xml:space="preserve">ir </w:t>
            </w:r>
            <w:r w:rsidR="00EE0138">
              <w:t>c</w:t>
            </w:r>
            <w:r w:rsidR="008C622E">
              <w:t xml:space="preserve">argo </w:t>
            </w:r>
            <w:r w:rsidR="00EE0138">
              <w:t>t</w:t>
            </w:r>
            <w:r w:rsidR="0045701C">
              <w:t>erminal</w:t>
            </w:r>
            <w:r w:rsidR="008C622E">
              <w:t xml:space="preserve"> </w:t>
            </w:r>
            <w:r w:rsidR="00EE0138">
              <w:t>w</w:t>
            </w:r>
            <w:r w:rsidR="008C622E">
              <w:t xml:space="preserve">arehouse </w:t>
            </w:r>
            <w:r w:rsidR="00EE0138">
              <w:t>l</w:t>
            </w:r>
            <w:r w:rsidR="008C622E">
              <w:t xml:space="preserve">icense </w:t>
            </w:r>
            <w:r w:rsidR="002E678C">
              <w:t>according</w:t>
            </w:r>
            <w:r w:rsidR="008C622E">
              <w:t xml:space="preserve"> to the Customs Regulations, 5726-1965 </w:t>
            </w:r>
          </w:p>
        </w:tc>
        <w:tc>
          <w:tcPr>
            <w:tcW w:w="3192" w:type="dxa"/>
            <w:gridSpan w:val="2"/>
          </w:tcPr>
          <w:p w:rsidR="00CA2075" w:rsidRDefault="00CA2075" w:rsidP="002D0B4F">
            <w:pPr>
              <w:jc w:val="center"/>
            </w:pPr>
          </w:p>
        </w:tc>
      </w:tr>
      <w:tr w:rsidR="00CA2075" w:rsidTr="00175296">
        <w:trPr>
          <w:cantSplit/>
        </w:trPr>
        <w:tc>
          <w:tcPr>
            <w:tcW w:w="3192" w:type="dxa"/>
          </w:tcPr>
          <w:p w:rsidR="00CA2075" w:rsidRDefault="008C622E" w:rsidP="0023085B">
            <w:r>
              <w:t>22. Central Pension Clearing Systems</w:t>
            </w:r>
          </w:p>
        </w:tc>
        <w:tc>
          <w:tcPr>
            <w:tcW w:w="3192" w:type="dxa"/>
          </w:tcPr>
          <w:p w:rsidR="00CA2075" w:rsidRDefault="008C622E" w:rsidP="00311544">
            <w:r>
              <w:t xml:space="preserve">22.1 </w:t>
            </w:r>
            <w:r w:rsidR="00056608">
              <w:t xml:space="preserve">The area of activity that requires a license to operate a central pension clearing system </w:t>
            </w:r>
            <w:r w:rsidR="0045701C">
              <w:t>according</w:t>
            </w:r>
            <w:r w:rsidR="00056608">
              <w:t xml:space="preserve"> to the </w:t>
            </w:r>
            <w:r w:rsidR="00EE0138">
              <w:t xml:space="preserve">Financial Services </w:t>
            </w:r>
            <w:r w:rsidR="00056608">
              <w:t>Supervi</w:t>
            </w:r>
            <w:r w:rsidR="0045701C">
              <w:t>sion</w:t>
            </w:r>
            <w:r w:rsidR="00056608">
              <w:t xml:space="preserve"> (</w:t>
            </w:r>
            <w:r w:rsidR="009F6CAD">
              <w:t xml:space="preserve">pension </w:t>
            </w:r>
            <w:r w:rsidR="00056608">
              <w:t>advis</w:t>
            </w:r>
            <w:r w:rsidR="009F6CAD">
              <w:t>ing, marketing and clearing system)</w:t>
            </w:r>
            <w:r w:rsidR="00EE0138">
              <w:t xml:space="preserve"> Law</w:t>
            </w:r>
            <w:r w:rsidR="009F6CAD">
              <w:t>, 5765-2005.</w:t>
            </w:r>
          </w:p>
        </w:tc>
        <w:tc>
          <w:tcPr>
            <w:tcW w:w="3192" w:type="dxa"/>
            <w:gridSpan w:val="2"/>
          </w:tcPr>
          <w:p w:rsidR="00CA2075" w:rsidRDefault="00CA2075" w:rsidP="002D0B4F">
            <w:pPr>
              <w:jc w:val="center"/>
            </w:pPr>
          </w:p>
        </w:tc>
      </w:tr>
    </w:tbl>
    <w:p w:rsidR="008464CB" w:rsidRDefault="002D0B4F" w:rsidP="002D0B4F">
      <w:pPr>
        <w:jc w:val="center"/>
      </w:pPr>
      <w: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E678C" w:rsidTr="002E678C">
        <w:tc>
          <w:tcPr>
            <w:tcW w:w="2394" w:type="dxa"/>
          </w:tcPr>
          <w:p w:rsidR="002E678C" w:rsidRDefault="002E678C" w:rsidP="002D0B4F">
            <w:pPr>
              <w:jc w:val="center"/>
            </w:pPr>
          </w:p>
        </w:tc>
        <w:tc>
          <w:tcPr>
            <w:tcW w:w="2394" w:type="dxa"/>
          </w:tcPr>
          <w:p w:rsidR="002E678C" w:rsidRDefault="002E678C" w:rsidP="002D0B4F">
            <w:pPr>
              <w:jc w:val="center"/>
            </w:pPr>
            <w:r>
              <w:t>Benyamin Netanyahu</w:t>
            </w:r>
          </w:p>
          <w:p w:rsidR="002E678C" w:rsidRDefault="002E678C" w:rsidP="002D0B4F">
            <w:pPr>
              <w:jc w:val="center"/>
            </w:pPr>
            <w:r>
              <w:t>Prime Minister</w:t>
            </w:r>
          </w:p>
        </w:tc>
        <w:tc>
          <w:tcPr>
            <w:tcW w:w="2394" w:type="dxa"/>
          </w:tcPr>
          <w:p w:rsidR="002E678C" w:rsidRDefault="002E678C" w:rsidP="002D0B4F">
            <w:pPr>
              <w:jc w:val="center"/>
            </w:pPr>
          </w:p>
        </w:tc>
        <w:tc>
          <w:tcPr>
            <w:tcW w:w="2394" w:type="dxa"/>
          </w:tcPr>
          <w:p w:rsidR="002E678C" w:rsidRDefault="002E678C" w:rsidP="002D0B4F">
            <w:pPr>
              <w:jc w:val="center"/>
            </w:pPr>
            <w:r>
              <w:t>Yair Lapid</w:t>
            </w:r>
          </w:p>
          <w:p w:rsidR="002E678C" w:rsidRDefault="002E678C" w:rsidP="002D0B4F">
            <w:pPr>
              <w:jc w:val="center"/>
            </w:pPr>
            <w:r>
              <w:t>Minister of Finance</w:t>
            </w:r>
          </w:p>
        </w:tc>
      </w:tr>
      <w:tr w:rsidR="002E678C" w:rsidTr="002E678C">
        <w:tc>
          <w:tcPr>
            <w:tcW w:w="2394" w:type="dxa"/>
          </w:tcPr>
          <w:p w:rsidR="002E678C" w:rsidRDefault="002E678C" w:rsidP="002D0B4F">
            <w:pPr>
              <w:jc w:val="center"/>
            </w:pPr>
            <w:r>
              <w:t>Shimon Peres</w:t>
            </w:r>
          </w:p>
          <w:p w:rsidR="002E678C" w:rsidRDefault="002E678C" w:rsidP="002D0B4F">
            <w:pPr>
              <w:jc w:val="center"/>
            </w:pPr>
            <w:r>
              <w:t xml:space="preserve">President </w:t>
            </w:r>
          </w:p>
        </w:tc>
        <w:tc>
          <w:tcPr>
            <w:tcW w:w="2394" w:type="dxa"/>
          </w:tcPr>
          <w:p w:rsidR="002E678C" w:rsidRDefault="002E678C" w:rsidP="002D0B4F">
            <w:pPr>
              <w:jc w:val="center"/>
            </w:pPr>
          </w:p>
        </w:tc>
        <w:tc>
          <w:tcPr>
            <w:tcW w:w="2394" w:type="dxa"/>
          </w:tcPr>
          <w:p w:rsidR="002E678C" w:rsidRDefault="002E678C" w:rsidP="002D0B4F">
            <w:pPr>
              <w:jc w:val="center"/>
            </w:pPr>
            <w:r>
              <w:t>Yuli Yoel Edelstein</w:t>
            </w:r>
          </w:p>
          <w:p w:rsidR="002E678C" w:rsidRDefault="002E678C" w:rsidP="002D0B4F">
            <w:pPr>
              <w:jc w:val="center"/>
            </w:pPr>
            <w:r>
              <w:t>Chairman of the Knesset</w:t>
            </w:r>
          </w:p>
        </w:tc>
        <w:tc>
          <w:tcPr>
            <w:tcW w:w="2394" w:type="dxa"/>
          </w:tcPr>
          <w:p w:rsidR="002E678C" w:rsidRDefault="002E678C" w:rsidP="002D0B4F">
            <w:pPr>
              <w:jc w:val="center"/>
            </w:pPr>
          </w:p>
        </w:tc>
      </w:tr>
    </w:tbl>
    <w:p w:rsidR="002E678C" w:rsidRPr="008464CB" w:rsidRDefault="002E678C" w:rsidP="002D0B4F">
      <w:pPr>
        <w:jc w:val="center"/>
      </w:pPr>
    </w:p>
    <w:p w:rsidR="008464CB" w:rsidRDefault="008464CB" w:rsidP="008464CB"/>
    <w:p w:rsidR="0016189D" w:rsidRDefault="0016189D" w:rsidP="0016189D"/>
    <w:p w:rsidR="00487D9B" w:rsidRDefault="00487D9B" w:rsidP="00487D9B">
      <w:r>
        <w:t xml:space="preserve"> </w:t>
      </w:r>
    </w:p>
    <w:p w:rsidR="006E61ED" w:rsidRDefault="006E61ED" w:rsidP="006E61ED">
      <w:pPr>
        <w:pStyle w:val="a6"/>
      </w:pPr>
    </w:p>
    <w:p w:rsidR="00EE7C52" w:rsidRDefault="00EE7C52" w:rsidP="00EE7C52">
      <w:pPr>
        <w:ind w:left="360"/>
      </w:pPr>
    </w:p>
    <w:p w:rsidR="006559FC" w:rsidRPr="00954026" w:rsidRDefault="006559FC" w:rsidP="006559FC">
      <w:pPr>
        <w:pStyle w:val="a6"/>
      </w:pPr>
    </w:p>
    <w:sectPr w:rsidR="006559FC" w:rsidRPr="00954026" w:rsidSect="000501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544" w:rsidRDefault="00311544" w:rsidP="00E83F1B">
      <w:pPr>
        <w:spacing w:after="0" w:line="240" w:lineRule="auto"/>
      </w:pPr>
      <w:r>
        <w:separator/>
      </w:r>
    </w:p>
  </w:endnote>
  <w:endnote w:type="continuationSeparator" w:id="0">
    <w:p w:rsidR="00311544" w:rsidRDefault="00311544" w:rsidP="00E8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44" w:rsidRDefault="0031154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44" w:rsidRDefault="0031154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44" w:rsidRDefault="0031154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544" w:rsidRDefault="00311544" w:rsidP="00E83F1B">
      <w:pPr>
        <w:spacing w:after="0" w:line="240" w:lineRule="auto"/>
      </w:pPr>
      <w:r>
        <w:separator/>
      </w:r>
    </w:p>
  </w:footnote>
  <w:footnote w:type="continuationSeparator" w:id="0">
    <w:p w:rsidR="00311544" w:rsidRDefault="00311544" w:rsidP="00E83F1B">
      <w:pPr>
        <w:spacing w:after="0" w:line="240" w:lineRule="auto"/>
      </w:pPr>
      <w:r>
        <w:continuationSeparator/>
      </w:r>
    </w:p>
  </w:footnote>
  <w:footnote w:id="1">
    <w:p w:rsidR="00311544" w:rsidRDefault="00311544">
      <w:pPr>
        <w:pStyle w:val="a3"/>
      </w:pPr>
      <w:r w:rsidRPr="00E83F1B">
        <w:rPr>
          <w:rStyle w:val="a5"/>
        </w:rPr>
        <w:sym w:font="Symbol" w:char="F02A"/>
      </w:r>
      <w:r>
        <w:t xml:space="preserve"> Published in the Book of Laws 5774 no. 2420 on December 11, 2013 p. 92 (Government Decision 5772 no. 706 p. 1084).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44" w:rsidRDefault="00C4087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14200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44" w:rsidRPr="004674E6" w:rsidRDefault="00C40873" w:rsidP="004674E6">
    <w:pPr>
      <w:pStyle w:val="a8"/>
      <w:rPr>
        <w:i/>
        <w:iCs/>
      </w:rPr>
    </w:pPr>
    <w:r>
      <w:rPr>
        <w:i/>
        <w:iC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142002" o:spid="_x0000_s2051" type="#_x0000_t136" style="position:absolute;margin-left:0;margin-top:0;width:412.4pt;height:278.2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674E6" w:rsidRPr="004674E6">
      <w:rPr>
        <w:i/>
        <w:iCs/>
      </w:rPr>
      <w:t>Unofficial Translation – Provided for Reference Only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44" w:rsidRDefault="00C4087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14200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57E"/>
    <w:multiLevelType w:val="hybridMultilevel"/>
    <w:tmpl w:val="B62653DC"/>
    <w:lvl w:ilvl="0" w:tplc="67661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A5A5D"/>
    <w:multiLevelType w:val="hybridMultilevel"/>
    <w:tmpl w:val="CFC42DB2"/>
    <w:lvl w:ilvl="0" w:tplc="AA88A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8458AE"/>
    <w:multiLevelType w:val="hybridMultilevel"/>
    <w:tmpl w:val="F5647D18"/>
    <w:lvl w:ilvl="0" w:tplc="ED02083A">
      <w:start w:val="1"/>
      <w:numFmt w:val="lowerLetter"/>
      <w:lvlText w:val="(%1)"/>
      <w:lvlJc w:val="left"/>
      <w:pPr>
        <w:ind w:left="720" w:hanging="360"/>
      </w:pPr>
      <w:rPr>
        <w:rFonts w:hint="default"/>
      </w:rPr>
    </w:lvl>
    <w:lvl w:ilvl="1" w:tplc="A3069004">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97C636AC">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258DD"/>
    <w:multiLevelType w:val="multilevel"/>
    <w:tmpl w:val="D25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F6313"/>
    <w:multiLevelType w:val="hybridMultilevel"/>
    <w:tmpl w:val="19EA775C"/>
    <w:lvl w:ilvl="0" w:tplc="A9383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AA6E4B"/>
    <w:multiLevelType w:val="hybridMultilevel"/>
    <w:tmpl w:val="D0748CCE"/>
    <w:lvl w:ilvl="0" w:tplc="CBAC067E">
      <w:start w:val="2"/>
      <w:numFmt w:val="lowerLetter"/>
      <w:lvlText w:val="(%1)"/>
      <w:lvlJc w:val="left"/>
      <w:pPr>
        <w:ind w:left="720" w:hanging="360"/>
      </w:pPr>
      <w:rPr>
        <w:rFonts w:hint="default"/>
      </w:rPr>
    </w:lvl>
    <w:lvl w:ilvl="1" w:tplc="33128B84">
      <w:start w:val="1"/>
      <w:numFmt w:val="lowerLetter"/>
      <w:lvlText w:val="(%2)"/>
      <w:lvlJc w:val="left"/>
      <w:pPr>
        <w:ind w:left="1637"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2E62BD62">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8AEABD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C1A4B"/>
    <w:multiLevelType w:val="hybridMultilevel"/>
    <w:tmpl w:val="46CEC442"/>
    <w:lvl w:ilvl="0" w:tplc="D87A3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FF06A3"/>
    <w:multiLevelType w:val="hybridMultilevel"/>
    <w:tmpl w:val="186084F6"/>
    <w:lvl w:ilvl="0" w:tplc="2A64B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894738"/>
    <w:multiLevelType w:val="hybridMultilevel"/>
    <w:tmpl w:val="55E232F4"/>
    <w:lvl w:ilvl="0" w:tplc="7BF26C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96951"/>
    <w:multiLevelType w:val="hybridMultilevel"/>
    <w:tmpl w:val="26389040"/>
    <w:lvl w:ilvl="0" w:tplc="7A08F9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5D53E2"/>
    <w:multiLevelType w:val="hybridMultilevel"/>
    <w:tmpl w:val="84FC533C"/>
    <w:lvl w:ilvl="0" w:tplc="D40C5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384243"/>
    <w:multiLevelType w:val="hybridMultilevel"/>
    <w:tmpl w:val="0518B6FE"/>
    <w:lvl w:ilvl="0" w:tplc="AA1C5E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B14893"/>
    <w:multiLevelType w:val="hybridMultilevel"/>
    <w:tmpl w:val="0A4E977C"/>
    <w:lvl w:ilvl="0" w:tplc="D40C52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031982"/>
    <w:multiLevelType w:val="hybridMultilevel"/>
    <w:tmpl w:val="CD78F1E4"/>
    <w:lvl w:ilvl="0" w:tplc="5C9EAA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0F6D6D"/>
    <w:multiLevelType w:val="hybridMultilevel"/>
    <w:tmpl w:val="9D1A8FB0"/>
    <w:lvl w:ilvl="0" w:tplc="7978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8D08EC"/>
    <w:multiLevelType w:val="hybridMultilevel"/>
    <w:tmpl w:val="C10432BA"/>
    <w:lvl w:ilvl="0" w:tplc="B8845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8B14AD"/>
    <w:multiLevelType w:val="hybridMultilevel"/>
    <w:tmpl w:val="D7AEAE96"/>
    <w:lvl w:ilvl="0" w:tplc="5C9EAA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3D199F"/>
    <w:multiLevelType w:val="hybridMultilevel"/>
    <w:tmpl w:val="8042C4F0"/>
    <w:lvl w:ilvl="0" w:tplc="BA54BC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8D93EE2"/>
    <w:multiLevelType w:val="hybridMultilevel"/>
    <w:tmpl w:val="3A62497E"/>
    <w:lvl w:ilvl="0" w:tplc="90C8F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F618D2"/>
    <w:multiLevelType w:val="hybridMultilevel"/>
    <w:tmpl w:val="193A325E"/>
    <w:lvl w:ilvl="0" w:tplc="A064C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5110EF"/>
    <w:multiLevelType w:val="hybridMultilevel"/>
    <w:tmpl w:val="2D22DDE0"/>
    <w:lvl w:ilvl="0" w:tplc="666CB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491957"/>
    <w:multiLevelType w:val="hybridMultilevel"/>
    <w:tmpl w:val="175EAED8"/>
    <w:lvl w:ilvl="0" w:tplc="938CE5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1D2D65"/>
    <w:multiLevelType w:val="hybridMultilevel"/>
    <w:tmpl w:val="55227268"/>
    <w:lvl w:ilvl="0" w:tplc="23642F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5371A6"/>
    <w:multiLevelType w:val="hybridMultilevel"/>
    <w:tmpl w:val="F82416DE"/>
    <w:lvl w:ilvl="0" w:tplc="F49EF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72AC3"/>
    <w:multiLevelType w:val="hybridMultilevel"/>
    <w:tmpl w:val="C89A4CFC"/>
    <w:lvl w:ilvl="0" w:tplc="694A93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642F71"/>
    <w:multiLevelType w:val="hybridMultilevel"/>
    <w:tmpl w:val="E3223EDA"/>
    <w:lvl w:ilvl="0" w:tplc="D40C5248">
      <w:start w:val="1"/>
      <w:numFmt w:val="lowerLetter"/>
      <w:lvlText w:val="(%1)"/>
      <w:lvlJc w:val="left"/>
      <w:pPr>
        <w:ind w:left="720" w:hanging="360"/>
      </w:pPr>
      <w:rPr>
        <w:rFonts w:hint="default"/>
      </w:rPr>
    </w:lvl>
    <w:lvl w:ilvl="1" w:tplc="22EC0A38">
      <w:start w:val="1"/>
      <w:numFmt w:val="lowerLetter"/>
      <w:lvlText w:val="(%2)"/>
      <w:lvlJc w:val="left"/>
      <w:pPr>
        <w:ind w:left="1440" w:hanging="360"/>
      </w:pPr>
      <w:rPr>
        <w:rFonts w:hint="default"/>
      </w:rPr>
    </w:lvl>
    <w:lvl w:ilvl="2" w:tplc="A636E51A">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A3D35"/>
    <w:multiLevelType w:val="hybridMultilevel"/>
    <w:tmpl w:val="912E3C44"/>
    <w:lvl w:ilvl="0" w:tplc="23642F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A0B21"/>
    <w:multiLevelType w:val="hybridMultilevel"/>
    <w:tmpl w:val="FA16B6F4"/>
    <w:lvl w:ilvl="0" w:tplc="CBAC067E">
      <w:start w:val="2"/>
      <w:numFmt w:val="lowerLetter"/>
      <w:lvlText w:val="(%1)"/>
      <w:lvlJc w:val="left"/>
      <w:pPr>
        <w:ind w:left="1080" w:hanging="360"/>
      </w:pPr>
      <w:rPr>
        <w:rFonts w:hint="default"/>
      </w:rPr>
    </w:lvl>
    <w:lvl w:ilvl="1" w:tplc="98D470B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5961B75"/>
    <w:multiLevelType w:val="hybridMultilevel"/>
    <w:tmpl w:val="E89C52B0"/>
    <w:lvl w:ilvl="0" w:tplc="A272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33393B"/>
    <w:multiLevelType w:val="hybridMultilevel"/>
    <w:tmpl w:val="7AE88214"/>
    <w:lvl w:ilvl="0" w:tplc="F49EF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F3067A"/>
    <w:multiLevelType w:val="hybridMultilevel"/>
    <w:tmpl w:val="53EE5BF0"/>
    <w:lvl w:ilvl="0" w:tplc="5C7C8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9C10EB"/>
    <w:multiLevelType w:val="hybridMultilevel"/>
    <w:tmpl w:val="E95C179C"/>
    <w:lvl w:ilvl="0" w:tplc="D1B0CC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3DA688B"/>
    <w:multiLevelType w:val="hybridMultilevel"/>
    <w:tmpl w:val="9CCA7FD6"/>
    <w:lvl w:ilvl="0" w:tplc="8CA8B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E44BD3"/>
    <w:multiLevelType w:val="hybridMultilevel"/>
    <w:tmpl w:val="43A0C26E"/>
    <w:lvl w:ilvl="0" w:tplc="D4FA0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065159"/>
    <w:multiLevelType w:val="hybridMultilevel"/>
    <w:tmpl w:val="85D24EBC"/>
    <w:lvl w:ilvl="0" w:tplc="D3480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DF2D0E"/>
    <w:multiLevelType w:val="hybridMultilevel"/>
    <w:tmpl w:val="8194798C"/>
    <w:lvl w:ilvl="0" w:tplc="D40C52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302C07"/>
    <w:multiLevelType w:val="hybridMultilevel"/>
    <w:tmpl w:val="BA6E8178"/>
    <w:lvl w:ilvl="0" w:tplc="1C541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6022CB"/>
    <w:multiLevelType w:val="hybridMultilevel"/>
    <w:tmpl w:val="7C1A6870"/>
    <w:lvl w:ilvl="0" w:tplc="08B211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1E1233D"/>
    <w:multiLevelType w:val="hybridMultilevel"/>
    <w:tmpl w:val="FE049A3C"/>
    <w:lvl w:ilvl="0" w:tplc="0ADE3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845202"/>
    <w:multiLevelType w:val="hybridMultilevel"/>
    <w:tmpl w:val="C81ECAEA"/>
    <w:lvl w:ilvl="0" w:tplc="2E2CDC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3612F3"/>
    <w:multiLevelType w:val="hybridMultilevel"/>
    <w:tmpl w:val="2E12CD6A"/>
    <w:lvl w:ilvl="0" w:tplc="22047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594309"/>
    <w:multiLevelType w:val="hybridMultilevel"/>
    <w:tmpl w:val="D5DCD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C01647"/>
    <w:multiLevelType w:val="hybridMultilevel"/>
    <w:tmpl w:val="584E2546"/>
    <w:lvl w:ilvl="0" w:tplc="F5624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13141D"/>
    <w:multiLevelType w:val="hybridMultilevel"/>
    <w:tmpl w:val="33D266D0"/>
    <w:lvl w:ilvl="0" w:tplc="B3D0D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987AA4"/>
    <w:multiLevelType w:val="hybridMultilevel"/>
    <w:tmpl w:val="55A4CAA8"/>
    <w:lvl w:ilvl="0" w:tplc="BA2CBE8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D16BD4"/>
    <w:multiLevelType w:val="hybridMultilevel"/>
    <w:tmpl w:val="BB6490BA"/>
    <w:lvl w:ilvl="0" w:tplc="9788B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E214BA"/>
    <w:multiLevelType w:val="hybridMultilevel"/>
    <w:tmpl w:val="5926940C"/>
    <w:lvl w:ilvl="0" w:tplc="2E2CD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E72AC0"/>
    <w:multiLevelType w:val="hybridMultilevel"/>
    <w:tmpl w:val="66A2C4CE"/>
    <w:lvl w:ilvl="0" w:tplc="D40C524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28"/>
  </w:num>
  <w:num w:numId="4">
    <w:abstractNumId w:val="9"/>
  </w:num>
  <w:num w:numId="5">
    <w:abstractNumId w:val="11"/>
  </w:num>
  <w:num w:numId="6">
    <w:abstractNumId w:val="37"/>
  </w:num>
  <w:num w:numId="7">
    <w:abstractNumId w:val="33"/>
  </w:num>
  <w:num w:numId="8">
    <w:abstractNumId w:val="19"/>
  </w:num>
  <w:num w:numId="9">
    <w:abstractNumId w:val="24"/>
  </w:num>
  <w:num w:numId="10">
    <w:abstractNumId w:val="31"/>
  </w:num>
  <w:num w:numId="11">
    <w:abstractNumId w:val="16"/>
  </w:num>
  <w:num w:numId="12">
    <w:abstractNumId w:val="40"/>
  </w:num>
  <w:num w:numId="13">
    <w:abstractNumId w:val="38"/>
  </w:num>
  <w:num w:numId="14">
    <w:abstractNumId w:val="13"/>
  </w:num>
  <w:num w:numId="15">
    <w:abstractNumId w:val="20"/>
  </w:num>
  <w:num w:numId="16">
    <w:abstractNumId w:val="34"/>
  </w:num>
  <w:num w:numId="17">
    <w:abstractNumId w:val="7"/>
  </w:num>
  <w:num w:numId="18">
    <w:abstractNumId w:val="21"/>
  </w:num>
  <w:num w:numId="19">
    <w:abstractNumId w:val="30"/>
  </w:num>
  <w:num w:numId="20">
    <w:abstractNumId w:val="1"/>
  </w:num>
  <w:num w:numId="21">
    <w:abstractNumId w:val="45"/>
  </w:num>
  <w:num w:numId="22">
    <w:abstractNumId w:val="18"/>
  </w:num>
  <w:num w:numId="23">
    <w:abstractNumId w:val="0"/>
  </w:num>
  <w:num w:numId="24">
    <w:abstractNumId w:val="17"/>
  </w:num>
  <w:num w:numId="25">
    <w:abstractNumId w:val="42"/>
  </w:num>
  <w:num w:numId="26">
    <w:abstractNumId w:val="43"/>
  </w:num>
  <w:num w:numId="27">
    <w:abstractNumId w:val="36"/>
  </w:num>
  <w:num w:numId="28">
    <w:abstractNumId w:val="32"/>
  </w:num>
  <w:num w:numId="29">
    <w:abstractNumId w:val="6"/>
  </w:num>
  <w:num w:numId="30">
    <w:abstractNumId w:val="23"/>
  </w:num>
  <w:num w:numId="31">
    <w:abstractNumId w:val="29"/>
  </w:num>
  <w:num w:numId="32">
    <w:abstractNumId w:val="47"/>
  </w:num>
  <w:num w:numId="33">
    <w:abstractNumId w:val="15"/>
  </w:num>
  <w:num w:numId="34">
    <w:abstractNumId w:val="41"/>
  </w:num>
  <w:num w:numId="35">
    <w:abstractNumId w:val="25"/>
  </w:num>
  <w:num w:numId="36">
    <w:abstractNumId w:val="27"/>
  </w:num>
  <w:num w:numId="37">
    <w:abstractNumId w:val="4"/>
  </w:num>
  <w:num w:numId="38">
    <w:abstractNumId w:val="10"/>
  </w:num>
  <w:num w:numId="39">
    <w:abstractNumId w:val="12"/>
  </w:num>
  <w:num w:numId="40">
    <w:abstractNumId w:val="46"/>
  </w:num>
  <w:num w:numId="41">
    <w:abstractNumId w:val="39"/>
  </w:num>
  <w:num w:numId="42">
    <w:abstractNumId w:val="35"/>
  </w:num>
  <w:num w:numId="43">
    <w:abstractNumId w:val="22"/>
  </w:num>
  <w:num w:numId="44">
    <w:abstractNumId w:val="26"/>
  </w:num>
  <w:num w:numId="45">
    <w:abstractNumId w:val="44"/>
  </w:num>
  <w:num w:numId="46">
    <w:abstractNumId w:val="8"/>
  </w:num>
  <w:num w:numId="47">
    <w:abstractNumId w:val="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1B"/>
    <w:rsid w:val="00001753"/>
    <w:rsid w:val="00034EFF"/>
    <w:rsid w:val="000422AF"/>
    <w:rsid w:val="0004355E"/>
    <w:rsid w:val="0004579B"/>
    <w:rsid w:val="0005018F"/>
    <w:rsid w:val="00054BAF"/>
    <w:rsid w:val="00056608"/>
    <w:rsid w:val="000616A5"/>
    <w:rsid w:val="000860FC"/>
    <w:rsid w:val="00090A83"/>
    <w:rsid w:val="00091815"/>
    <w:rsid w:val="000A0654"/>
    <w:rsid w:val="000B02A1"/>
    <w:rsid w:val="000B70CA"/>
    <w:rsid w:val="000C052E"/>
    <w:rsid w:val="000D6268"/>
    <w:rsid w:val="000E6E5F"/>
    <w:rsid w:val="000F17E0"/>
    <w:rsid w:val="000F5B76"/>
    <w:rsid w:val="00106C61"/>
    <w:rsid w:val="00122B72"/>
    <w:rsid w:val="001303FC"/>
    <w:rsid w:val="001452E2"/>
    <w:rsid w:val="00146BFF"/>
    <w:rsid w:val="0016189D"/>
    <w:rsid w:val="001645D5"/>
    <w:rsid w:val="001715AA"/>
    <w:rsid w:val="00175296"/>
    <w:rsid w:val="00176E71"/>
    <w:rsid w:val="00193DD2"/>
    <w:rsid w:val="001947D1"/>
    <w:rsid w:val="001A1869"/>
    <w:rsid w:val="001B4871"/>
    <w:rsid w:val="001C1051"/>
    <w:rsid w:val="001C2D46"/>
    <w:rsid w:val="001D4E03"/>
    <w:rsid w:val="001D51F9"/>
    <w:rsid w:val="001E5A85"/>
    <w:rsid w:val="001E73AE"/>
    <w:rsid w:val="001F24BB"/>
    <w:rsid w:val="001F652F"/>
    <w:rsid w:val="002106B2"/>
    <w:rsid w:val="00214644"/>
    <w:rsid w:val="0022250C"/>
    <w:rsid w:val="0023085B"/>
    <w:rsid w:val="00237F9E"/>
    <w:rsid w:val="002472B3"/>
    <w:rsid w:val="0025331C"/>
    <w:rsid w:val="00260893"/>
    <w:rsid w:val="002656FD"/>
    <w:rsid w:val="002718FE"/>
    <w:rsid w:val="00276F17"/>
    <w:rsid w:val="00296FB3"/>
    <w:rsid w:val="002A7237"/>
    <w:rsid w:val="002B59FD"/>
    <w:rsid w:val="002C0023"/>
    <w:rsid w:val="002C2DE2"/>
    <w:rsid w:val="002D0B4F"/>
    <w:rsid w:val="002D2E11"/>
    <w:rsid w:val="002E678C"/>
    <w:rsid w:val="00300D22"/>
    <w:rsid w:val="00303D92"/>
    <w:rsid w:val="003105ED"/>
    <w:rsid w:val="00311544"/>
    <w:rsid w:val="003143A8"/>
    <w:rsid w:val="00332CF9"/>
    <w:rsid w:val="0033674C"/>
    <w:rsid w:val="003543F6"/>
    <w:rsid w:val="00363111"/>
    <w:rsid w:val="00363C87"/>
    <w:rsid w:val="00382888"/>
    <w:rsid w:val="003877E0"/>
    <w:rsid w:val="003A4B98"/>
    <w:rsid w:val="003A59D9"/>
    <w:rsid w:val="003C0CA2"/>
    <w:rsid w:val="003C3912"/>
    <w:rsid w:val="003C54B3"/>
    <w:rsid w:val="003C79A3"/>
    <w:rsid w:val="003D3256"/>
    <w:rsid w:val="003D5030"/>
    <w:rsid w:val="003E358E"/>
    <w:rsid w:val="003F2015"/>
    <w:rsid w:val="003F6F1B"/>
    <w:rsid w:val="00400A69"/>
    <w:rsid w:val="00406B92"/>
    <w:rsid w:val="004145E4"/>
    <w:rsid w:val="00421FFA"/>
    <w:rsid w:val="0043438D"/>
    <w:rsid w:val="004404C5"/>
    <w:rsid w:val="0045701C"/>
    <w:rsid w:val="004674E6"/>
    <w:rsid w:val="004736B1"/>
    <w:rsid w:val="00487D9B"/>
    <w:rsid w:val="00490FEF"/>
    <w:rsid w:val="00495884"/>
    <w:rsid w:val="00496F23"/>
    <w:rsid w:val="004A04CB"/>
    <w:rsid w:val="004D477D"/>
    <w:rsid w:val="004D7331"/>
    <w:rsid w:val="0050234D"/>
    <w:rsid w:val="0050787C"/>
    <w:rsid w:val="00532BF3"/>
    <w:rsid w:val="005344DE"/>
    <w:rsid w:val="00551579"/>
    <w:rsid w:val="00554030"/>
    <w:rsid w:val="00556802"/>
    <w:rsid w:val="005604C8"/>
    <w:rsid w:val="00574D4E"/>
    <w:rsid w:val="005861DD"/>
    <w:rsid w:val="005A08E7"/>
    <w:rsid w:val="005A1C03"/>
    <w:rsid w:val="005C52B1"/>
    <w:rsid w:val="005E28B8"/>
    <w:rsid w:val="005F34C8"/>
    <w:rsid w:val="005F485D"/>
    <w:rsid w:val="006274DB"/>
    <w:rsid w:val="00634CF6"/>
    <w:rsid w:val="00636824"/>
    <w:rsid w:val="00641D6B"/>
    <w:rsid w:val="00651965"/>
    <w:rsid w:val="006559FC"/>
    <w:rsid w:val="00665CED"/>
    <w:rsid w:val="006704A2"/>
    <w:rsid w:val="00670CB5"/>
    <w:rsid w:val="0067512E"/>
    <w:rsid w:val="00676F67"/>
    <w:rsid w:val="0068618D"/>
    <w:rsid w:val="006C4BBF"/>
    <w:rsid w:val="006D1AFA"/>
    <w:rsid w:val="006D7D85"/>
    <w:rsid w:val="006E61ED"/>
    <w:rsid w:val="006F2215"/>
    <w:rsid w:val="006F4575"/>
    <w:rsid w:val="00716FF2"/>
    <w:rsid w:val="00750DE1"/>
    <w:rsid w:val="00764E68"/>
    <w:rsid w:val="007A3335"/>
    <w:rsid w:val="007A3AC6"/>
    <w:rsid w:val="007B53D1"/>
    <w:rsid w:val="007D6E6F"/>
    <w:rsid w:val="007E0903"/>
    <w:rsid w:val="007F1F50"/>
    <w:rsid w:val="007F35DD"/>
    <w:rsid w:val="00815C10"/>
    <w:rsid w:val="00822DCF"/>
    <w:rsid w:val="00831013"/>
    <w:rsid w:val="00837D15"/>
    <w:rsid w:val="00840EC9"/>
    <w:rsid w:val="008464CB"/>
    <w:rsid w:val="00865BC1"/>
    <w:rsid w:val="00882065"/>
    <w:rsid w:val="00882BDC"/>
    <w:rsid w:val="0088761B"/>
    <w:rsid w:val="008A63D7"/>
    <w:rsid w:val="008A66D5"/>
    <w:rsid w:val="008B78B8"/>
    <w:rsid w:val="008C622E"/>
    <w:rsid w:val="008E1147"/>
    <w:rsid w:val="008F5A05"/>
    <w:rsid w:val="00903E5E"/>
    <w:rsid w:val="00915592"/>
    <w:rsid w:val="00932732"/>
    <w:rsid w:val="00933291"/>
    <w:rsid w:val="0095273C"/>
    <w:rsid w:val="00954026"/>
    <w:rsid w:val="00996147"/>
    <w:rsid w:val="009A08CC"/>
    <w:rsid w:val="009B09F2"/>
    <w:rsid w:val="009C3A07"/>
    <w:rsid w:val="009D4101"/>
    <w:rsid w:val="009D6687"/>
    <w:rsid w:val="009F366F"/>
    <w:rsid w:val="009F6CAD"/>
    <w:rsid w:val="00A1416C"/>
    <w:rsid w:val="00A22C59"/>
    <w:rsid w:val="00A253CC"/>
    <w:rsid w:val="00A54C87"/>
    <w:rsid w:val="00A60176"/>
    <w:rsid w:val="00A617FC"/>
    <w:rsid w:val="00A749B9"/>
    <w:rsid w:val="00A76FA6"/>
    <w:rsid w:val="00A77DAF"/>
    <w:rsid w:val="00A82B28"/>
    <w:rsid w:val="00AA6721"/>
    <w:rsid w:val="00AB5374"/>
    <w:rsid w:val="00AD1345"/>
    <w:rsid w:val="00AD1716"/>
    <w:rsid w:val="00AE04C1"/>
    <w:rsid w:val="00AE482D"/>
    <w:rsid w:val="00B04B26"/>
    <w:rsid w:val="00B2262B"/>
    <w:rsid w:val="00B24CCA"/>
    <w:rsid w:val="00B41E77"/>
    <w:rsid w:val="00B53EB1"/>
    <w:rsid w:val="00B53F5D"/>
    <w:rsid w:val="00B55D4B"/>
    <w:rsid w:val="00B61F94"/>
    <w:rsid w:val="00B654FD"/>
    <w:rsid w:val="00B774A9"/>
    <w:rsid w:val="00BA1283"/>
    <w:rsid w:val="00BA3757"/>
    <w:rsid w:val="00BA60AD"/>
    <w:rsid w:val="00BA77FC"/>
    <w:rsid w:val="00BB1E62"/>
    <w:rsid w:val="00BD2815"/>
    <w:rsid w:val="00BD5DE3"/>
    <w:rsid w:val="00BF7500"/>
    <w:rsid w:val="00C0330D"/>
    <w:rsid w:val="00C23481"/>
    <w:rsid w:val="00C27E8F"/>
    <w:rsid w:val="00C36999"/>
    <w:rsid w:val="00C37121"/>
    <w:rsid w:val="00C40873"/>
    <w:rsid w:val="00C52DEA"/>
    <w:rsid w:val="00CA2075"/>
    <w:rsid w:val="00CA2703"/>
    <w:rsid w:val="00CA5B68"/>
    <w:rsid w:val="00CB1C3D"/>
    <w:rsid w:val="00CB4237"/>
    <w:rsid w:val="00CC69F8"/>
    <w:rsid w:val="00CD3CCE"/>
    <w:rsid w:val="00CD6E1D"/>
    <w:rsid w:val="00CD716A"/>
    <w:rsid w:val="00CD7A57"/>
    <w:rsid w:val="00CE30CE"/>
    <w:rsid w:val="00CE50DB"/>
    <w:rsid w:val="00CF0902"/>
    <w:rsid w:val="00CF505F"/>
    <w:rsid w:val="00D03563"/>
    <w:rsid w:val="00D03E49"/>
    <w:rsid w:val="00D12715"/>
    <w:rsid w:val="00D20C2E"/>
    <w:rsid w:val="00D21F26"/>
    <w:rsid w:val="00D41B47"/>
    <w:rsid w:val="00D4282A"/>
    <w:rsid w:val="00D460CA"/>
    <w:rsid w:val="00D461C9"/>
    <w:rsid w:val="00D513EA"/>
    <w:rsid w:val="00D52345"/>
    <w:rsid w:val="00D63E9B"/>
    <w:rsid w:val="00D64ED6"/>
    <w:rsid w:val="00D90292"/>
    <w:rsid w:val="00D91913"/>
    <w:rsid w:val="00D93C34"/>
    <w:rsid w:val="00DA0C74"/>
    <w:rsid w:val="00DA4813"/>
    <w:rsid w:val="00DA5B4B"/>
    <w:rsid w:val="00DB0540"/>
    <w:rsid w:val="00DD037C"/>
    <w:rsid w:val="00E01358"/>
    <w:rsid w:val="00E17B27"/>
    <w:rsid w:val="00E24B6B"/>
    <w:rsid w:val="00E32F8D"/>
    <w:rsid w:val="00E56D4F"/>
    <w:rsid w:val="00E656A3"/>
    <w:rsid w:val="00E6737F"/>
    <w:rsid w:val="00E72030"/>
    <w:rsid w:val="00E80636"/>
    <w:rsid w:val="00E83F1B"/>
    <w:rsid w:val="00E95884"/>
    <w:rsid w:val="00EA36F4"/>
    <w:rsid w:val="00EC321D"/>
    <w:rsid w:val="00ED7172"/>
    <w:rsid w:val="00EE0138"/>
    <w:rsid w:val="00EE7C52"/>
    <w:rsid w:val="00EF67FC"/>
    <w:rsid w:val="00F01416"/>
    <w:rsid w:val="00F02AEC"/>
    <w:rsid w:val="00F20BDB"/>
    <w:rsid w:val="00F43A2A"/>
    <w:rsid w:val="00F54919"/>
    <w:rsid w:val="00F90BDF"/>
    <w:rsid w:val="00FC19F1"/>
    <w:rsid w:val="00FD2697"/>
    <w:rsid w:val="00FD4ED8"/>
    <w:rsid w:val="00FE26C9"/>
    <w:rsid w:val="00FF3A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83F1B"/>
    <w:pPr>
      <w:spacing w:after="0" w:line="240" w:lineRule="auto"/>
    </w:pPr>
    <w:rPr>
      <w:sz w:val="20"/>
      <w:szCs w:val="20"/>
    </w:rPr>
  </w:style>
  <w:style w:type="character" w:customStyle="1" w:styleId="a4">
    <w:name w:val="טקסט הערת שוליים תו"/>
    <w:basedOn w:val="a0"/>
    <w:link w:val="a3"/>
    <w:uiPriority w:val="99"/>
    <w:semiHidden/>
    <w:rsid w:val="00E83F1B"/>
    <w:rPr>
      <w:sz w:val="20"/>
      <w:szCs w:val="20"/>
    </w:rPr>
  </w:style>
  <w:style w:type="character" w:styleId="a5">
    <w:name w:val="footnote reference"/>
    <w:basedOn w:val="a0"/>
    <w:uiPriority w:val="99"/>
    <w:semiHidden/>
    <w:unhideWhenUsed/>
    <w:rsid w:val="00E83F1B"/>
    <w:rPr>
      <w:vertAlign w:val="superscript"/>
    </w:rPr>
  </w:style>
  <w:style w:type="paragraph" w:styleId="a6">
    <w:name w:val="List Paragraph"/>
    <w:basedOn w:val="a"/>
    <w:uiPriority w:val="34"/>
    <w:qFormat/>
    <w:rsid w:val="00E83F1B"/>
    <w:pPr>
      <w:ind w:left="720"/>
      <w:contextualSpacing/>
    </w:pPr>
  </w:style>
  <w:style w:type="table" w:styleId="a7">
    <w:name w:val="Table Grid"/>
    <w:basedOn w:val="a1"/>
    <w:uiPriority w:val="59"/>
    <w:rsid w:val="007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semiHidden/>
    <w:unhideWhenUsed/>
    <w:rsid w:val="00CD3CCE"/>
    <w:rPr>
      <w:color w:val="0000FF"/>
      <w:u w:val="single"/>
    </w:rPr>
  </w:style>
  <w:style w:type="paragraph" w:styleId="a8">
    <w:name w:val="header"/>
    <w:basedOn w:val="a"/>
    <w:link w:val="a9"/>
    <w:uiPriority w:val="99"/>
    <w:unhideWhenUsed/>
    <w:rsid w:val="00311544"/>
    <w:pPr>
      <w:tabs>
        <w:tab w:val="center" w:pos="4153"/>
        <w:tab w:val="right" w:pos="8306"/>
      </w:tabs>
      <w:spacing w:after="0" w:line="240" w:lineRule="auto"/>
    </w:pPr>
  </w:style>
  <w:style w:type="character" w:customStyle="1" w:styleId="a9">
    <w:name w:val="כותרת עליונה תו"/>
    <w:basedOn w:val="a0"/>
    <w:link w:val="a8"/>
    <w:uiPriority w:val="99"/>
    <w:rsid w:val="00311544"/>
  </w:style>
  <w:style w:type="paragraph" w:styleId="aa">
    <w:name w:val="footer"/>
    <w:basedOn w:val="a"/>
    <w:link w:val="ab"/>
    <w:uiPriority w:val="99"/>
    <w:unhideWhenUsed/>
    <w:rsid w:val="00311544"/>
    <w:pPr>
      <w:tabs>
        <w:tab w:val="center" w:pos="4153"/>
        <w:tab w:val="right" w:pos="8306"/>
      </w:tabs>
      <w:spacing w:after="0" w:line="240" w:lineRule="auto"/>
    </w:pPr>
  </w:style>
  <w:style w:type="character" w:customStyle="1" w:styleId="ab">
    <w:name w:val="כותרת תחתונה תו"/>
    <w:basedOn w:val="a0"/>
    <w:link w:val="aa"/>
    <w:uiPriority w:val="99"/>
    <w:rsid w:val="00311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83F1B"/>
    <w:pPr>
      <w:spacing w:after="0" w:line="240" w:lineRule="auto"/>
    </w:pPr>
    <w:rPr>
      <w:sz w:val="20"/>
      <w:szCs w:val="20"/>
    </w:rPr>
  </w:style>
  <w:style w:type="character" w:customStyle="1" w:styleId="a4">
    <w:name w:val="טקסט הערת שוליים תו"/>
    <w:basedOn w:val="a0"/>
    <w:link w:val="a3"/>
    <w:uiPriority w:val="99"/>
    <w:semiHidden/>
    <w:rsid w:val="00E83F1B"/>
    <w:rPr>
      <w:sz w:val="20"/>
      <w:szCs w:val="20"/>
    </w:rPr>
  </w:style>
  <w:style w:type="character" w:styleId="a5">
    <w:name w:val="footnote reference"/>
    <w:basedOn w:val="a0"/>
    <w:uiPriority w:val="99"/>
    <w:semiHidden/>
    <w:unhideWhenUsed/>
    <w:rsid w:val="00E83F1B"/>
    <w:rPr>
      <w:vertAlign w:val="superscript"/>
    </w:rPr>
  </w:style>
  <w:style w:type="paragraph" w:styleId="a6">
    <w:name w:val="List Paragraph"/>
    <w:basedOn w:val="a"/>
    <w:uiPriority w:val="34"/>
    <w:qFormat/>
    <w:rsid w:val="00E83F1B"/>
    <w:pPr>
      <w:ind w:left="720"/>
      <w:contextualSpacing/>
    </w:pPr>
  </w:style>
  <w:style w:type="table" w:styleId="a7">
    <w:name w:val="Table Grid"/>
    <w:basedOn w:val="a1"/>
    <w:uiPriority w:val="59"/>
    <w:rsid w:val="007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semiHidden/>
    <w:unhideWhenUsed/>
    <w:rsid w:val="00CD3CCE"/>
    <w:rPr>
      <w:color w:val="0000FF"/>
      <w:u w:val="single"/>
    </w:rPr>
  </w:style>
  <w:style w:type="paragraph" w:styleId="a8">
    <w:name w:val="header"/>
    <w:basedOn w:val="a"/>
    <w:link w:val="a9"/>
    <w:uiPriority w:val="99"/>
    <w:unhideWhenUsed/>
    <w:rsid w:val="00311544"/>
    <w:pPr>
      <w:tabs>
        <w:tab w:val="center" w:pos="4153"/>
        <w:tab w:val="right" w:pos="8306"/>
      </w:tabs>
      <w:spacing w:after="0" w:line="240" w:lineRule="auto"/>
    </w:pPr>
  </w:style>
  <w:style w:type="character" w:customStyle="1" w:styleId="a9">
    <w:name w:val="כותרת עליונה תו"/>
    <w:basedOn w:val="a0"/>
    <w:link w:val="a8"/>
    <w:uiPriority w:val="99"/>
    <w:rsid w:val="00311544"/>
  </w:style>
  <w:style w:type="paragraph" w:styleId="aa">
    <w:name w:val="footer"/>
    <w:basedOn w:val="a"/>
    <w:link w:val="ab"/>
    <w:uiPriority w:val="99"/>
    <w:unhideWhenUsed/>
    <w:rsid w:val="00311544"/>
    <w:pPr>
      <w:tabs>
        <w:tab w:val="center" w:pos="4153"/>
        <w:tab w:val="right" w:pos="8306"/>
      </w:tabs>
      <w:spacing w:after="0" w:line="240" w:lineRule="auto"/>
    </w:pPr>
  </w:style>
  <w:style w:type="character" w:customStyle="1" w:styleId="ab">
    <w:name w:val="כותרת תחתונה תו"/>
    <w:basedOn w:val="a0"/>
    <w:link w:val="aa"/>
    <w:uiPriority w:val="99"/>
    <w:rsid w:val="00311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658814">
      <w:bodyDiv w:val="1"/>
      <w:marLeft w:val="0"/>
      <w:marRight w:val="0"/>
      <w:marTop w:val="0"/>
      <w:marBottom w:val="0"/>
      <w:divBdr>
        <w:top w:val="none" w:sz="0" w:space="0" w:color="auto"/>
        <w:left w:val="none" w:sz="0" w:space="0" w:color="auto"/>
        <w:bottom w:val="none" w:sz="0" w:space="0" w:color="auto"/>
        <w:right w:val="none" w:sz="0" w:space="0" w:color="auto"/>
      </w:divBdr>
    </w:div>
    <w:div w:id="19040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526A7-E5FE-4A89-B377-B474FAB1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10324</Words>
  <Characters>51625</Characters>
  <Application>Microsoft Office Word</Application>
  <DocSecurity>4</DocSecurity>
  <Lines>430</Lines>
  <Paragraphs>123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Melita Shafir</cp:lastModifiedBy>
  <cp:revision>2</cp:revision>
  <cp:lastPrinted>2016-11-07T13:06:00Z</cp:lastPrinted>
  <dcterms:created xsi:type="dcterms:W3CDTF">2017-06-14T07:46:00Z</dcterms:created>
  <dcterms:modified xsi:type="dcterms:W3CDTF">2017-06-14T07:46:00Z</dcterms:modified>
</cp:coreProperties>
</file>