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jc w:val="center"/>
        <w:tblLook w:val="0000" w:firstRow="0" w:lastRow="0" w:firstColumn="0" w:lastColumn="0" w:noHBand="0" w:noVBand="0"/>
      </w:tblPr>
      <w:tblGrid>
        <w:gridCol w:w="4924"/>
        <w:gridCol w:w="3581"/>
      </w:tblGrid>
      <w:tr w:rsidR="00B93938" w:rsidRPr="00B93938" w14:paraId="14F4965B" w14:textId="77777777" w:rsidTr="0073276F">
        <w:trPr>
          <w:trHeight w:hRule="exact" w:val="704"/>
          <w:jc w:val="center"/>
        </w:trPr>
        <w:tc>
          <w:tcPr>
            <w:tcW w:w="8721" w:type="dxa"/>
            <w:gridSpan w:val="2"/>
          </w:tcPr>
          <w:p w14:paraId="4F91519B" w14:textId="77777777" w:rsidR="00B93938" w:rsidRPr="00B93938" w:rsidRDefault="00B93938" w:rsidP="0073276F">
            <w:pPr>
              <w:pStyle w:val="a3"/>
              <w:jc w:val="center"/>
              <w:rPr>
                <w:rFonts w:ascii="Tahoma" w:hAnsi="Tahoma"/>
                <w:noProof w:val="0"/>
                <w:color w:val="000080"/>
                <w:sz w:val="32"/>
                <w:szCs w:val="32"/>
                <w:rtl/>
              </w:rPr>
            </w:pPr>
            <w:r w:rsidRPr="00B93938">
              <w:rPr>
                <w:rFonts w:ascii="Tahoma" w:hAnsi="Tahoma"/>
                <w:b/>
                <w:bCs/>
                <w:color w:val="000080"/>
                <w:sz w:val="32"/>
                <w:szCs w:val="32"/>
                <w:rtl/>
              </w:rPr>
              <w:t>בית המשפט המחוזי בתל אביב - יפו בשבתו כבית-משפט לערעורים אזרחיים</w:t>
            </w:r>
          </w:p>
        </w:tc>
      </w:tr>
      <w:tr w:rsidR="00B93938" w:rsidRPr="00B93938" w14:paraId="23881ABA" w14:textId="77777777" w:rsidTr="0073276F">
        <w:trPr>
          <w:trHeight w:val="337"/>
          <w:jc w:val="center"/>
        </w:trPr>
        <w:tc>
          <w:tcPr>
            <w:tcW w:w="5047" w:type="dxa"/>
          </w:tcPr>
          <w:p w14:paraId="0638DBE2" w14:textId="77777777" w:rsidR="00B93938" w:rsidRPr="00B93938" w:rsidRDefault="00B93938" w:rsidP="0073276F">
            <w:pPr>
              <w:rPr>
                <w:b/>
                <w:bCs/>
                <w:noProof w:val="0"/>
                <w:sz w:val="26"/>
                <w:szCs w:val="26"/>
                <w:rtl/>
              </w:rPr>
            </w:pPr>
          </w:p>
        </w:tc>
        <w:tc>
          <w:tcPr>
            <w:tcW w:w="3674" w:type="dxa"/>
          </w:tcPr>
          <w:p w14:paraId="4E5810C4" w14:textId="77777777" w:rsidR="00B93938" w:rsidRPr="00B93938" w:rsidRDefault="00B93938" w:rsidP="0073276F">
            <w:pPr>
              <w:pStyle w:val="a3"/>
              <w:jc w:val="right"/>
              <w:rPr>
                <w:b/>
                <w:bCs/>
                <w:noProof w:val="0"/>
                <w:sz w:val="26"/>
                <w:szCs w:val="26"/>
                <w:rtl/>
              </w:rPr>
            </w:pPr>
          </w:p>
        </w:tc>
      </w:tr>
      <w:tr w:rsidR="00B93938" w:rsidRPr="00B93938" w14:paraId="57B0161B" w14:textId="77777777" w:rsidTr="0073276F">
        <w:trPr>
          <w:trHeight w:val="337"/>
          <w:jc w:val="center"/>
        </w:trPr>
        <w:tc>
          <w:tcPr>
            <w:tcW w:w="8721" w:type="dxa"/>
            <w:gridSpan w:val="2"/>
          </w:tcPr>
          <w:p w14:paraId="37761E26" w14:textId="77777777" w:rsidR="00B93938" w:rsidRPr="00B93938" w:rsidRDefault="00B93938" w:rsidP="0073276F">
            <w:pPr>
              <w:rPr>
                <w:b/>
                <w:bCs/>
                <w:noProof w:val="0"/>
                <w:sz w:val="26"/>
                <w:szCs w:val="26"/>
                <w:rtl/>
              </w:rPr>
            </w:pPr>
            <w:r w:rsidRPr="00B93938">
              <w:rPr>
                <w:b/>
                <w:bCs/>
                <w:noProof w:val="0"/>
                <w:sz w:val="26"/>
                <w:szCs w:val="26"/>
                <w:rtl/>
              </w:rPr>
              <w:t>עמ"ש 15595-09-19 ב</w:t>
            </w:r>
            <w:r w:rsidRPr="00B93938">
              <w:rPr>
                <w:rFonts w:hint="cs"/>
                <w:b/>
                <w:bCs/>
                <w:noProof w:val="0"/>
                <w:sz w:val="26"/>
                <w:szCs w:val="26"/>
                <w:rtl/>
              </w:rPr>
              <w:t>'</w:t>
            </w:r>
            <w:r w:rsidRPr="00B93938">
              <w:rPr>
                <w:b/>
                <w:bCs/>
                <w:noProof w:val="0"/>
                <w:sz w:val="26"/>
                <w:szCs w:val="26"/>
                <w:rtl/>
              </w:rPr>
              <w:t xml:space="preserve"> נ' ב</w:t>
            </w:r>
            <w:r w:rsidRPr="00B93938">
              <w:rPr>
                <w:rFonts w:hint="cs"/>
                <w:b/>
                <w:bCs/>
                <w:noProof w:val="0"/>
                <w:sz w:val="26"/>
                <w:szCs w:val="26"/>
                <w:rtl/>
              </w:rPr>
              <w:t>'</w:t>
            </w:r>
            <w:r w:rsidRPr="00B93938">
              <w:rPr>
                <w:b/>
                <w:bCs/>
                <w:noProof w:val="0"/>
                <w:sz w:val="26"/>
                <w:szCs w:val="26"/>
                <w:rtl/>
              </w:rPr>
              <w:t xml:space="preserve"> ואח'</w:t>
            </w:r>
          </w:p>
          <w:p w14:paraId="496F63B5" w14:textId="77777777" w:rsidR="00B93938" w:rsidRPr="00B93938" w:rsidRDefault="00B93938" w:rsidP="0073276F">
            <w:pPr>
              <w:rPr>
                <w:rtl/>
              </w:rPr>
            </w:pPr>
          </w:p>
          <w:p w14:paraId="5150F0AB" w14:textId="77777777" w:rsidR="00B93938" w:rsidRPr="00B93938" w:rsidRDefault="00B93938" w:rsidP="0073276F">
            <w:pPr>
              <w:rPr>
                <w:rtl/>
              </w:rPr>
            </w:pPr>
            <w:r w:rsidRPr="00B93938">
              <w:rPr>
                <w:rtl/>
              </w:rPr>
              <w:t xml:space="preserve"> </w:t>
            </w:r>
            <w:r w:rsidRPr="00B93938">
              <w:rPr>
                <w:rFonts w:hint="cs"/>
                <w:rtl/>
              </w:rPr>
              <w:t xml:space="preserve">                                                                                                          </w:t>
            </w:r>
            <w:r w:rsidRPr="00B93938">
              <w:rPr>
                <w:rFonts w:hint="eastAsia"/>
                <w:rtl/>
              </w:rPr>
              <w:t>09 ינואר 2020</w:t>
            </w:r>
            <w:r w:rsidRPr="00B93938">
              <w:rPr>
                <w:rtl/>
              </w:rPr>
              <w:t xml:space="preserve"> </w:t>
            </w:r>
          </w:p>
          <w:p w14:paraId="292DA8C3" w14:textId="77777777" w:rsidR="00B93938" w:rsidRPr="00B93938" w:rsidRDefault="00B93938" w:rsidP="0073276F">
            <w:pPr>
              <w:rPr>
                <w:rtl/>
              </w:rPr>
            </w:pPr>
          </w:p>
        </w:tc>
      </w:tr>
    </w:tbl>
    <w:p w14:paraId="194CFEC6" w14:textId="77777777" w:rsidR="00B93938" w:rsidRPr="00B93938" w:rsidRDefault="00B93938" w:rsidP="00B93938">
      <w:pPr>
        <w:pStyle w:val="a3"/>
        <w:rPr>
          <w:noProof w:val="0"/>
          <w:rtl/>
        </w:rPr>
      </w:pPr>
      <w:r w:rsidRPr="00B93938">
        <w:rPr>
          <w:noProof w:val="0"/>
          <w:rtl/>
        </w:rPr>
        <w:t xml:space="preserve"> </w:t>
      </w:r>
    </w:p>
    <w:p w14:paraId="39D6BA29" w14:textId="77777777" w:rsidR="00E31C2B" w:rsidRPr="00B93938" w:rsidRDefault="00E31C2B" w:rsidP="006D3B31">
      <w:pPr>
        <w:suppressLineNumbers/>
        <w:rPr>
          <w:rtl/>
        </w:rPr>
      </w:pPr>
    </w:p>
    <w:tbl>
      <w:tblPr>
        <w:bidiVisual/>
        <w:tblW w:w="8820" w:type="dxa"/>
        <w:jc w:val="center"/>
        <w:tblLook w:val="01E0" w:firstRow="1" w:lastRow="1" w:firstColumn="1" w:lastColumn="1" w:noHBand="0" w:noVBand="0"/>
      </w:tblPr>
      <w:tblGrid>
        <w:gridCol w:w="743"/>
        <w:gridCol w:w="2506"/>
        <w:gridCol w:w="5571"/>
      </w:tblGrid>
      <w:tr w:rsidR="00B93938" w:rsidRPr="00B93938" w14:paraId="298B845B" w14:textId="77777777" w:rsidTr="0073276F">
        <w:trPr>
          <w:jc w:val="center"/>
        </w:trPr>
        <w:tc>
          <w:tcPr>
            <w:tcW w:w="743" w:type="dxa"/>
            <w:shd w:val="clear" w:color="auto" w:fill="auto"/>
          </w:tcPr>
          <w:p w14:paraId="7DB094A0" w14:textId="77777777" w:rsidR="00B93938" w:rsidRPr="00B93938" w:rsidRDefault="00B93938" w:rsidP="0073276F">
            <w:pPr>
              <w:jc w:val="both"/>
              <w:rPr>
                <w:rFonts w:ascii="Arial" w:hAnsi="Arial"/>
                <w:b/>
                <w:bCs/>
                <w:sz w:val="26"/>
                <w:szCs w:val="26"/>
              </w:rPr>
            </w:pPr>
            <w:r w:rsidRPr="00B93938">
              <w:rPr>
                <w:rFonts w:ascii="Arial" w:hAnsi="Arial" w:hint="cs"/>
                <w:b/>
                <w:bCs/>
                <w:sz w:val="26"/>
                <w:szCs w:val="26"/>
                <w:rtl/>
              </w:rPr>
              <w:t>ל</w:t>
            </w:r>
            <w:r w:rsidRPr="00B93938">
              <w:rPr>
                <w:rFonts w:ascii="Arial" w:hAnsi="Arial"/>
                <w:b/>
                <w:bCs/>
                <w:sz w:val="26"/>
                <w:szCs w:val="26"/>
                <w:rtl/>
              </w:rPr>
              <w:t xml:space="preserve">פני </w:t>
            </w:r>
          </w:p>
        </w:tc>
        <w:tc>
          <w:tcPr>
            <w:tcW w:w="8077" w:type="dxa"/>
            <w:gridSpan w:val="2"/>
            <w:shd w:val="clear" w:color="auto" w:fill="auto"/>
          </w:tcPr>
          <w:p w14:paraId="7A42C73E" w14:textId="77777777" w:rsidR="00B93938" w:rsidRPr="00B93938" w:rsidRDefault="00B93938" w:rsidP="0073276F">
            <w:pPr>
              <w:rPr>
                <w:b/>
                <w:bCs/>
                <w:sz w:val="26"/>
                <w:szCs w:val="26"/>
                <w:rtl/>
              </w:rPr>
            </w:pPr>
            <w:r w:rsidRPr="00B93938">
              <w:rPr>
                <w:rFonts w:hint="cs"/>
                <w:b/>
                <w:bCs/>
                <w:sz w:val="26"/>
                <w:szCs w:val="26"/>
                <w:rtl/>
              </w:rPr>
              <w:t>כב' השופט שאול שוחט, סגן נשיא, אב"ד</w:t>
            </w:r>
          </w:p>
          <w:p w14:paraId="6EE27EF2" w14:textId="77777777" w:rsidR="00B93938" w:rsidRPr="00B93938" w:rsidRDefault="00B93938" w:rsidP="0073276F">
            <w:pPr>
              <w:rPr>
                <w:b/>
                <w:bCs/>
                <w:sz w:val="26"/>
                <w:szCs w:val="26"/>
                <w:rtl/>
              </w:rPr>
            </w:pPr>
            <w:r w:rsidRPr="00B93938">
              <w:rPr>
                <w:rFonts w:hint="cs"/>
                <w:b/>
                <w:bCs/>
                <w:sz w:val="26"/>
                <w:szCs w:val="26"/>
                <w:rtl/>
              </w:rPr>
              <w:t>כב' השופטת עינת רביד</w:t>
            </w:r>
          </w:p>
          <w:p w14:paraId="022CF9A3" w14:textId="77777777" w:rsidR="00B93938" w:rsidRPr="00B93938" w:rsidRDefault="00B93938" w:rsidP="0073276F">
            <w:pPr>
              <w:rPr>
                <w:b/>
                <w:bCs/>
                <w:sz w:val="26"/>
                <w:szCs w:val="26"/>
                <w:rtl/>
              </w:rPr>
            </w:pPr>
            <w:r w:rsidRPr="00B93938">
              <w:rPr>
                <w:rFonts w:hint="cs"/>
                <w:b/>
                <w:bCs/>
                <w:sz w:val="26"/>
                <w:szCs w:val="26"/>
                <w:rtl/>
              </w:rPr>
              <w:t>כב' השופט נפתלי שילה</w:t>
            </w:r>
          </w:p>
          <w:p w14:paraId="12718F1A" w14:textId="77777777" w:rsidR="00B93938" w:rsidRPr="00B93938" w:rsidRDefault="00B93938" w:rsidP="0073276F">
            <w:pPr>
              <w:rPr>
                <w:b/>
                <w:bCs/>
                <w:sz w:val="26"/>
                <w:szCs w:val="26"/>
                <w:rtl/>
              </w:rPr>
            </w:pPr>
          </w:p>
        </w:tc>
      </w:tr>
      <w:tr w:rsidR="00B93938" w:rsidRPr="00B93938" w14:paraId="37456EF7" w14:textId="77777777" w:rsidTr="0073276F">
        <w:trPr>
          <w:jc w:val="center"/>
        </w:trPr>
        <w:tc>
          <w:tcPr>
            <w:tcW w:w="3249" w:type="dxa"/>
            <w:gridSpan w:val="2"/>
            <w:shd w:val="clear" w:color="auto" w:fill="auto"/>
          </w:tcPr>
          <w:p w14:paraId="68617278" w14:textId="77777777" w:rsidR="00B93938" w:rsidRPr="00B93938" w:rsidRDefault="00B93938" w:rsidP="0073276F">
            <w:pPr>
              <w:bidi w:val="0"/>
              <w:jc w:val="right"/>
              <w:rPr>
                <w:rFonts w:ascii="Arial" w:hAnsi="Arial"/>
                <w:b/>
                <w:bCs/>
                <w:noProof w:val="0"/>
                <w:sz w:val="26"/>
                <w:szCs w:val="26"/>
              </w:rPr>
            </w:pPr>
            <w:bookmarkStart w:id="0" w:name="FirstAppellant"/>
            <w:bookmarkStart w:id="1" w:name="LastJudge"/>
            <w:bookmarkEnd w:id="1"/>
          </w:p>
          <w:p w14:paraId="7D715682" w14:textId="77777777" w:rsidR="00B93938" w:rsidRPr="00B93938" w:rsidRDefault="00B93938" w:rsidP="0073276F">
            <w:pPr>
              <w:bidi w:val="0"/>
              <w:jc w:val="right"/>
              <w:rPr>
                <w:rFonts w:ascii="Arial" w:hAnsi="Arial"/>
                <w:b/>
                <w:bCs/>
                <w:noProof w:val="0"/>
                <w:sz w:val="26"/>
                <w:szCs w:val="26"/>
                <w:rtl/>
              </w:rPr>
            </w:pPr>
            <w:r w:rsidRPr="00B93938">
              <w:rPr>
                <w:rFonts w:ascii="Arial" w:hAnsi="Arial"/>
                <w:b/>
                <w:bCs/>
                <w:noProof w:val="0"/>
                <w:sz w:val="26"/>
                <w:szCs w:val="26"/>
                <w:rtl/>
              </w:rPr>
              <w:t>מערער</w:t>
            </w:r>
          </w:p>
        </w:tc>
        <w:tc>
          <w:tcPr>
            <w:tcW w:w="5571" w:type="dxa"/>
            <w:shd w:val="clear" w:color="auto" w:fill="auto"/>
          </w:tcPr>
          <w:p w14:paraId="0010AF2B" w14:textId="77777777" w:rsidR="00B93938" w:rsidRPr="00B93938" w:rsidRDefault="00B93938" w:rsidP="0073276F">
            <w:pPr>
              <w:rPr>
                <w:rFonts w:ascii="Arial" w:hAnsi="Arial"/>
                <w:b/>
                <w:bCs/>
                <w:noProof w:val="0"/>
                <w:sz w:val="26"/>
                <w:szCs w:val="26"/>
                <w:rtl/>
              </w:rPr>
            </w:pPr>
          </w:p>
          <w:p w14:paraId="1B1CB481" w14:textId="77777777" w:rsidR="00B93938" w:rsidRPr="00B93938" w:rsidRDefault="00B93938" w:rsidP="0073276F">
            <w:pPr>
              <w:rPr>
                <w:b/>
                <w:bCs/>
                <w:noProof w:val="0"/>
                <w:sz w:val="26"/>
                <w:szCs w:val="26"/>
              </w:rPr>
            </w:pPr>
            <w:r w:rsidRPr="00B93938">
              <w:rPr>
                <w:rFonts w:ascii="Arial" w:hAnsi="Arial"/>
                <w:b/>
                <w:bCs/>
                <w:noProof w:val="0"/>
                <w:sz w:val="26"/>
                <w:szCs w:val="26"/>
                <w:rtl/>
              </w:rPr>
              <w:t>ד</w:t>
            </w:r>
            <w:r w:rsidRPr="00B93938">
              <w:rPr>
                <w:rFonts w:ascii="Arial" w:hAnsi="Arial" w:hint="cs"/>
                <w:b/>
                <w:bCs/>
                <w:noProof w:val="0"/>
                <w:sz w:val="26"/>
                <w:szCs w:val="26"/>
                <w:rtl/>
              </w:rPr>
              <w:t xml:space="preserve">' </w:t>
            </w:r>
            <w:r w:rsidRPr="00B93938">
              <w:rPr>
                <w:rFonts w:ascii="Arial" w:hAnsi="Arial"/>
                <w:b/>
                <w:bCs/>
                <w:noProof w:val="0"/>
                <w:sz w:val="26"/>
                <w:szCs w:val="26"/>
                <w:rtl/>
              </w:rPr>
              <w:t>ב</w:t>
            </w:r>
            <w:r w:rsidRPr="00B93938">
              <w:rPr>
                <w:rFonts w:ascii="Arial" w:hAnsi="Arial" w:hint="cs"/>
                <w:b/>
                <w:bCs/>
                <w:noProof w:val="0"/>
                <w:sz w:val="26"/>
                <w:szCs w:val="26"/>
                <w:rtl/>
              </w:rPr>
              <w:t>'</w:t>
            </w:r>
          </w:p>
        </w:tc>
      </w:tr>
      <w:bookmarkEnd w:id="0"/>
      <w:tr w:rsidR="00B93938" w:rsidRPr="00B93938" w14:paraId="4D3CF949" w14:textId="77777777" w:rsidTr="0073276F">
        <w:trPr>
          <w:jc w:val="center"/>
        </w:trPr>
        <w:tc>
          <w:tcPr>
            <w:tcW w:w="8820" w:type="dxa"/>
            <w:gridSpan w:val="3"/>
            <w:shd w:val="clear" w:color="auto" w:fill="auto"/>
          </w:tcPr>
          <w:p w14:paraId="7DBEC062" w14:textId="77777777" w:rsidR="00B93938" w:rsidRPr="00B93938" w:rsidRDefault="00B93938" w:rsidP="0073276F">
            <w:pPr>
              <w:rPr>
                <w:rFonts w:ascii="Arial" w:hAnsi="Arial"/>
                <w:b/>
                <w:bCs/>
                <w:noProof w:val="0"/>
                <w:sz w:val="26"/>
                <w:szCs w:val="26"/>
                <w:rtl/>
              </w:rPr>
            </w:pPr>
          </w:p>
          <w:p w14:paraId="19E77AD2" w14:textId="77777777" w:rsidR="00B93938" w:rsidRPr="00B93938" w:rsidRDefault="00B93938" w:rsidP="0073276F">
            <w:pPr>
              <w:jc w:val="center"/>
              <w:rPr>
                <w:rFonts w:ascii="Arial" w:hAnsi="Arial"/>
                <w:b/>
                <w:bCs/>
                <w:noProof w:val="0"/>
                <w:sz w:val="26"/>
                <w:szCs w:val="26"/>
                <w:rtl/>
              </w:rPr>
            </w:pPr>
            <w:r w:rsidRPr="00B93938">
              <w:rPr>
                <w:rFonts w:ascii="Arial" w:hAnsi="Arial"/>
                <w:b/>
                <w:bCs/>
                <w:noProof w:val="0"/>
                <w:sz w:val="26"/>
                <w:szCs w:val="26"/>
                <w:rtl/>
              </w:rPr>
              <w:t>נגד</w:t>
            </w:r>
          </w:p>
          <w:p w14:paraId="605F90A5" w14:textId="77777777" w:rsidR="00B93938" w:rsidRPr="00B93938" w:rsidRDefault="00B93938" w:rsidP="0073276F">
            <w:pPr>
              <w:rPr>
                <w:rFonts w:ascii="Arial" w:hAnsi="Arial"/>
                <w:b/>
                <w:bCs/>
                <w:noProof w:val="0"/>
                <w:sz w:val="26"/>
                <w:szCs w:val="26"/>
              </w:rPr>
            </w:pPr>
          </w:p>
        </w:tc>
      </w:tr>
      <w:tr w:rsidR="00B93938" w:rsidRPr="00B93938" w14:paraId="002458A2" w14:textId="77777777" w:rsidTr="0073276F">
        <w:trPr>
          <w:jc w:val="center"/>
        </w:trPr>
        <w:tc>
          <w:tcPr>
            <w:tcW w:w="3249" w:type="dxa"/>
            <w:gridSpan w:val="2"/>
            <w:shd w:val="clear" w:color="auto" w:fill="auto"/>
          </w:tcPr>
          <w:p w14:paraId="37343C36" w14:textId="77777777" w:rsidR="00B93938" w:rsidRPr="00B93938" w:rsidRDefault="00B93938" w:rsidP="0073276F">
            <w:pPr>
              <w:rPr>
                <w:rFonts w:ascii="Arial" w:hAnsi="Arial"/>
                <w:b/>
                <w:bCs/>
                <w:noProof w:val="0"/>
                <w:sz w:val="26"/>
                <w:szCs w:val="26"/>
                <w:rtl/>
              </w:rPr>
            </w:pPr>
            <w:bookmarkStart w:id="2" w:name="FirstLawyer"/>
          </w:p>
          <w:p w14:paraId="69F6C386" w14:textId="77777777" w:rsidR="00B93938" w:rsidRPr="00B93938" w:rsidRDefault="00B93938" w:rsidP="0073276F">
            <w:pPr>
              <w:rPr>
                <w:rFonts w:ascii="Arial" w:hAnsi="Arial"/>
                <w:b/>
                <w:bCs/>
                <w:noProof w:val="0"/>
                <w:sz w:val="26"/>
                <w:szCs w:val="26"/>
              </w:rPr>
            </w:pPr>
            <w:r w:rsidRPr="00B93938">
              <w:rPr>
                <w:rFonts w:ascii="Arial" w:hAnsi="Arial"/>
                <w:b/>
                <w:bCs/>
                <w:noProof w:val="0"/>
                <w:sz w:val="26"/>
                <w:szCs w:val="26"/>
                <w:rtl/>
              </w:rPr>
              <w:t>משיבים</w:t>
            </w:r>
          </w:p>
        </w:tc>
        <w:tc>
          <w:tcPr>
            <w:tcW w:w="5571" w:type="dxa"/>
            <w:shd w:val="clear" w:color="auto" w:fill="auto"/>
          </w:tcPr>
          <w:p w14:paraId="3AB7D8B3" w14:textId="77777777" w:rsidR="00B93938" w:rsidRPr="00B93938" w:rsidRDefault="00B93938" w:rsidP="0073276F">
            <w:pPr>
              <w:rPr>
                <w:rFonts w:ascii="Arial" w:hAnsi="Arial"/>
                <w:b/>
                <w:bCs/>
                <w:noProof w:val="0"/>
                <w:sz w:val="26"/>
                <w:szCs w:val="26"/>
                <w:rtl/>
              </w:rPr>
            </w:pPr>
          </w:p>
          <w:p w14:paraId="3A012FE2" w14:textId="77777777" w:rsidR="00B93938" w:rsidRPr="00B93938" w:rsidRDefault="00B93938" w:rsidP="0073276F">
            <w:pPr>
              <w:rPr>
                <w:sz w:val="26"/>
                <w:szCs w:val="26"/>
                <w:rtl/>
              </w:rPr>
            </w:pPr>
            <w:r w:rsidRPr="00B93938">
              <w:rPr>
                <w:rFonts w:ascii="Arial" w:hAnsi="Arial"/>
                <w:b/>
                <w:bCs/>
                <w:noProof w:val="0"/>
                <w:sz w:val="26"/>
                <w:szCs w:val="26"/>
                <w:rtl/>
              </w:rPr>
              <w:t>1.</w:t>
            </w:r>
            <w:r w:rsidRPr="00B93938">
              <w:rPr>
                <w:rFonts w:ascii="Arial" w:hAnsi="Arial" w:hint="cs"/>
                <w:b/>
                <w:bCs/>
                <w:noProof w:val="0"/>
                <w:sz w:val="26"/>
                <w:szCs w:val="26"/>
                <w:rtl/>
              </w:rPr>
              <w:t xml:space="preserve"> </w:t>
            </w:r>
            <w:r w:rsidRPr="00B93938">
              <w:rPr>
                <w:rFonts w:ascii="Arial" w:hAnsi="Arial"/>
                <w:b/>
                <w:bCs/>
                <w:noProof w:val="0"/>
                <w:sz w:val="26"/>
                <w:szCs w:val="26"/>
                <w:rtl/>
              </w:rPr>
              <w:t>ת</w:t>
            </w:r>
            <w:r w:rsidRPr="00B93938">
              <w:rPr>
                <w:rFonts w:ascii="Arial" w:hAnsi="Arial" w:hint="cs"/>
                <w:b/>
                <w:bCs/>
                <w:noProof w:val="0"/>
                <w:sz w:val="26"/>
                <w:szCs w:val="26"/>
                <w:rtl/>
              </w:rPr>
              <w:t>'</w:t>
            </w:r>
            <w:r w:rsidRPr="00B93938">
              <w:rPr>
                <w:rFonts w:ascii="Arial" w:hAnsi="Arial"/>
                <w:b/>
                <w:bCs/>
                <w:noProof w:val="0"/>
                <w:sz w:val="26"/>
                <w:szCs w:val="26"/>
                <w:rtl/>
              </w:rPr>
              <w:t xml:space="preserve"> ב</w:t>
            </w:r>
            <w:r w:rsidRPr="00B93938">
              <w:rPr>
                <w:rFonts w:ascii="Arial" w:hAnsi="Arial" w:hint="cs"/>
                <w:b/>
                <w:bCs/>
                <w:noProof w:val="0"/>
                <w:sz w:val="26"/>
                <w:szCs w:val="26"/>
                <w:rtl/>
              </w:rPr>
              <w:t>'</w:t>
            </w:r>
          </w:p>
          <w:p w14:paraId="5A96B74F" w14:textId="77777777" w:rsidR="00B93938" w:rsidRPr="00B93938" w:rsidRDefault="00B93938" w:rsidP="0073276F">
            <w:pPr>
              <w:rPr>
                <w:sz w:val="26"/>
                <w:szCs w:val="26"/>
                <w:rtl/>
              </w:rPr>
            </w:pPr>
            <w:r w:rsidRPr="00B93938">
              <w:rPr>
                <w:rFonts w:ascii="Arial" w:hAnsi="Arial"/>
                <w:b/>
                <w:bCs/>
                <w:noProof w:val="0"/>
                <w:sz w:val="26"/>
                <w:szCs w:val="26"/>
                <w:rtl/>
              </w:rPr>
              <w:t>2.</w:t>
            </w:r>
            <w:r w:rsidRPr="00B93938">
              <w:rPr>
                <w:rFonts w:ascii="Arial" w:hAnsi="Arial" w:hint="cs"/>
                <w:b/>
                <w:bCs/>
                <w:noProof w:val="0"/>
                <w:sz w:val="26"/>
                <w:szCs w:val="26"/>
                <w:rtl/>
              </w:rPr>
              <w:t xml:space="preserve"> </w:t>
            </w:r>
            <w:r w:rsidRPr="00B93938">
              <w:rPr>
                <w:rFonts w:ascii="Arial" w:hAnsi="Arial"/>
                <w:b/>
                <w:bCs/>
                <w:noProof w:val="0"/>
                <w:sz w:val="26"/>
                <w:szCs w:val="26"/>
                <w:rtl/>
              </w:rPr>
              <w:t>ח</w:t>
            </w:r>
            <w:r w:rsidRPr="00B93938">
              <w:rPr>
                <w:rFonts w:ascii="Arial" w:hAnsi="Arial" w:hint="cs"/>
                <w:b/>
                <w:bCs/>
                <w:noProof w:val="0"/>
                <w:sz w:val="26"/>
                <w:szCs w:val="26"/>
                <w:rtl/>
              </w:rPr>
              <w:t>'</w:t>
            </w:r>
            <w:r w:rsidRPr="00B93938">
              <w:rPr>
                <w:rFonts w:ascii="Arial" w:hAnsi="Arial"/>
                <w:b/>
                <w:bCs/>
                <w:noProof w:val="0"/>
                <w:sz w:val="26"/>
                <w:szCs w:val="26"/>
                <w:rtl/>
              </w:rPr>
              <w:t xml:space="preserve"> ב</w:t>
            </w:r>
            <w:r w:rsidRPr="00B93938">
              <w:rPr>
                <w:rFonts w:ascii="Arial" w:hAnsi="Arial" w:hint="cs"/>
                <w:b/>
                <w:bCs/>
                <w:noProof w:val="0"/>
                <w:sz w:val="26"/>
                <w:szCs w:val="26"/>
                <w:rtl/>
              </w:rPr>
              <w:t>'</w:t>
            </w:r>
          </w:p>
          <w:p w14:paraId="6303331B" w14:textId="77777777" w:rsidR="00B93938" w:rsidRPr="00B93938" w:rsidRDefault="00B93938" w:rsidP="0073276F">
            <w:pPr>
              <w:rPr>
                <w:noProof w:val="0"/>
                <w:sz w:val="26"/>
                <w:szCs w:val="26"/>
                <w:rtl/>
              </w:rPr>
            </w:pPr>
            <w:r w:rsidRPr="00B93938">
              <w:rPr>
                <w:rFonts w:hint="cs"/>
                <w:sz w:val="26"/>
                <w:szCs w:val="26"/>
                <w:rtl/>
              </w:rPr>
              <w:t>ע"י ב"כ עו"ד</w:t>
            </w:r>
            <w:r w:rsidRPr="00B93938">
              <w:rPr>
                <w:rFonts w:hint="cs"/>
                <w:b/>
                <w:bCs/>
                <w:noProof w:val="0"/>
                <w:sz w:val="26"/>
                <w:szCs w:val="26"/>
                <w:rtl/>
              </w:rPr>
              <w:t xml:space="preserve"> </w:t>
            </w:r>
            <w:r w:rsidRPr="00B93938">
              <w:rPr>
                <w:rFonts w:hint="cs"/>
                <w:noProof w:val="0"/>
                <w:sz w:val="26"/>
                <w:szCs w:val="26"/>
                <w:rtl/>
              </w:rPr>
              <w:t>אסף שובינסקי</w:t>
            </w:r>
          </w:p>
          <w:p w14:paraId="0CCC71BF" w14:textId="77777777" w:rsidR="00B93938" w:rsidRPr="00B93938" w:rsidRDefault="00B93938" w:rsidP="0073276F">
            <w:pPr>
              <w:rPr>
                <w:sz w:val="26"/>
                <w:szCs w:val="26"/>
                <w:rtl/>
              </w:rPr>
            </w:pPr>
            <w:r w:rsidRPr="00B93938">
              <w:rPr>
                <w:rFonts w:ascii="Arial" w:hAnsi="Arial"/>
                <w:b/>
                <w:bCs/>
                <w:noProof w:val="0"/>
                <w:sz w:val="26"/>
                <w:szCs w:val="26"/>
                <w:rtl/>
              </w:rPr>
              <w:t>3.</w:t>
            </w:r>
            <w:r w:rsidRPr="00B93938">
              <w:rPr>
                <w:rFonts w:ascii="Arial" w:hAnsi="Arial" w:hint="cs"/>
                <w:b/>
                <w:bCs/>
                <w:noProof w:val="0"/>
                <w:sz w:val="26"/>
                <w:szCs w:val="26"/>
                <w:rtl/>
              </w:rPr>
              <w:t xml:space="preserve"> </w:t>
            </w:r>
            <w:r w:rsidRPr="00B93938">
              <w:rPr>
                <w:rFonts w:ascii="Arial" w:hAnsi="Arial"/>
                <w:b/>
                <w:bCs/>
                <w:noProof w:val="0"/>
                <w:sz w:val="26"/>
                <w:szCs w:val="26"/>
                <w:rtl/>
              </w:rPr>
              <w:t xml:space="preserve">היועץ המשפטי לממשלה – משרד </w:t>
            </w:r>
            <w:r w:rsidRPr="00B93938">
              <w:rPr>
                <w:rFonts w:ascii="Arial" w:hAnsi="Arial" w:hint="cs"/>
                <w:b/>
                <w:bCs/>
                <w:noProof w:val="0"/>
                <w:sz w:val="26"/>
                <w:szCs w:val="26"/>
                <w:rtl/>
              </w:rPr>
              <w:t>הרווחה</w:t>
            </w:r>
          </w:p>
          <w:p w14:paraId="1A34652F" w14:textId="77777777" w:rsidR="00B93938" w:rsidRPr="00B93938" w:rsidRDefault="00B93938" w:rsidP="0073276F">
            <w:pPr>
              <w:rPr>
                <w:noProof w:val="0"/>
                <w:sz w:val="26"/>
                <w:szCs w:val="26"/>
                <w:rtl/>
              </w:rPr>
            </w:pPr>
            <w:r w:rsidRPr="00B93938">
              <w:rPr>
                <w:rFonts w:hint="cs"/>
                <w:sz w:val="26"/>
                <w:szCs w:val="26"/>
                <w:rtl/>
              </w:rPr>
              <w:t>ע"י ב"כ עו"ד</w:t>
            </w:r>
            <w:r w:rsidRPr="00B93938">
              <w:rPr>
                <w:rFonts w:hint="cs"/>
                <w:b/>
                <w:bCs/>
                <w:noProof w:val="0"/>
                <w:sz w:val="26"/>
                <w:szCs w:val="26"/>
                <w:rtl/>
              </w:rPr>
              <w:t xml:space="preserve"> </w:t>
            </w:r>
            <w:r w:rsidRPr="00B93938">
              <w:rPr>
                <w:rFonts w:hint="cs"/>
                <w:noProof w:val="0"/>
                <w:sz w:val="26"/>
                <w:szCs w:val="26"/>
                <w:rtl/>
              </w:rPr>
              <w:t>רדליך</w:t>
            </w:r>
          </w:p>
          <w:p w14:paraId="671A89C6" w14:textId="77777777" w:rsidR="00B93938" w:rsidRPr="00B93938" w:rsidRDefault="00B93938" w:rsidP="0073276F">
            <w:pPr>
              <w:rPr>
                <w:b/>
                <w:bCs/>
                <w:noProof w:val="0"/>
                <w:sz w:val="26"/>
                <w:szCs w:val="26"/>
                <w:rtl/>
              </w:rPr>
            </w:pPr>
          </w:p>
        </w:tc>
      </w:tr>
      <w:bookmarkEnd w:id="2"/>
    </w:tbl>
    <w:p w14:paraId="0D690151" w14:textId="77777777" w:rsidR="00B93938" w:rsidRPr="00B93938" w:rsidRDefault="00B93938" w:rsidP="006D3B31">
      <w:pPr>
        <w:suppressLineNumbers/>
        <w:rPr>
          <w:rtl/>
        </w:rPr>
      </w:pPr>
    </w:p>
    <w:p w14:paraId="10643854" w14:textId="77777777" w:rsidR="00B93938" w:rsidRPr="00B93938" w:rsidRDefault="00B93938" w:rsidP="00B93938">
      <w:pPr>
        <w:spacing w:before="120" w:after="120" w:line="240" w:lineRule="exact"/>
        <w:ind w:left="283" w:hanging="283"/>
        <w:jc w:val="both"/>
        <w:rPr>
          <w:rFonts w:ascii="FrankRuehl" w:hAnsi="FrankRuehl" w:cs="FrankRuehl"/>
          <w:noProof w:val="0"/>
          <w:rtl/>
        </w:rPr>
      </w:pPr>
    </w:p>
    <w:p w14:paraId="6FD19D53" w14:textId="77777777" w:rsidR="00B93938" w:rsidRPr="00B93938" w:rsidRDefault="00B93938" w:rsidP="00B93938">
      <w:pPr>
        <w:spacing w:line="360" w:lineRule="auto"/>
        <w:jc w:val="both"/>
        <w:rPr>
          <w:rFonts w:ascii="Arial" w:hAnsi="Arial" w:hint="cs"/>
          <w:noProof w:val="0"/>
          <w:rtl/>
        </w:rPr>
      </w:pPr>
    </w:p>
    <w:p w14:paraId="578D6EFF" w14:textId="77777777" w:rsidR="00DB2FD3" w:rsidRPr="00DB2FD3" w:rsidRDefault="00DB2FD3" w:rsidP="00DB2FD3">
      <w:pPr>
        <w:spacing w:before="120" w:after="120" w:line="240" w:lineRule="exact"/>
        <w:ind w:left="283" w:hanging="283"/>
        <w:jc w:val="both"/>
        <w:rPr>
          <w:rFonts w:ascii="FrankRuehl" w:hAnsi="FrankRuehl" w:cs="FrankRuehl"/>
          <w:noProof w:val="0"/>
          <w:rtl/>
        </w:rPr>
      </w:pPr>
      <w:bookmarkStart w:id="3" w:name="LawTable"/>
      <w:bookmarkEnd w:id="3"/>
      <w:r w:rsidRPr="00DB2FD3">
        <w:rPr>
          <w:rFonts w:ascii="FrankRuehl" w:hAnsi="FrankRuehl" w:cs="FrankRuehl"/>
          <w:noProof w:val="0"/>
          <w:rtl/>
        </w:rPr>
        <w:t xml:space="preserve">חקיקה שאוזכרה: </w:t>
      </w:r>
    </w:p>
    <w:p w14:paraId="67E803A0" w14:textId="77777777" w:rsidR="00DB2FD3" w:rsidRPr="00DB2FD3" w:rsidRDefault="00DB2FD3" w:rsidP="00DB2FD3">
      <w:pPr>
        <w:spacing w:before="120" w:after="120" w:line="240" w:lineRule="exact"/>
        <w:ind w:left="283" w:hanging="283"/>
        <w:jc w:val="both"/>
        <w:rPr>
          <w:rFonts w:ascii="FrankRuehl" w:hAnsi="FrankRuehl" w:cs="FrankRuehl"/>
          <w:noProof w:val="0"/>
          <w:rtl/>
        </w:rPr>
      </w:pPr>
      <w:hyperlink r:id="rId7" w:history="1">
        <w:r w:rsidRPr="00DB2FD3">
          <w:rPr>
            <w:rFonts w:ascii="FrankRuehl" w:hAnsi="FrankRuehl" w:cs="FrankRuehl"/>
            <w:noProof w:val="0"/>
            <w:color w:val="0000FF"/>
            <w:u w:val="single"/>
            <w:rtl/>
          </w:rPr>
          <w:t>חוק הכשרות המשפטית והאפוטרופסות, תשכ"ב-1962</w:t>
        </w:r>
      </w:hyperlink>
      <w:r w:rsidRPr="00DB2FD3">
        <w:rPr>
          <w:rFonts w:ascii="FrankRuehl" w:hAnsi="FrankRuehl" w:cs="FrankRuehl"/>
          <w:noProof w:val="0"/>
          <w:rtl/>
        </w:rPr>
        <w:t xml:space="preserve">: סע'  </w:t>
      </w:r>
      <w:hyperlink r:id="rId8" w:history="1">
        <w:r w:rsidRPr="00DB2FD3">
          <w:rPr>
            <w:rFonts w:ascii="FrankRuehl" w:hAnsi="FrankRuehl" w:cs="FrankRuehl"/>
            <w:noProof w:val="0"/>
            <w:color w:val="0000FF"/>
            <w:u w:val="single"/>
            <w:rtl/>
          </w:rPr>
          <w:t>33א</w:t>
        </w:r>
      </w:hyperlink>
      <w:r w:rsidRPr="00DB2FD3">
        <w:rPr>
          <w:rFonts w:ascii="FrankRuehl" w:hAnsi="FrankRuehl" w:cs="FrankRuehl"/>
          <w:noProof w:val="0"/>
          <w:rtl/>
        </w:rPr>
        <w:t xml:space="preserve">, </w:t>
      </w:r>
      <w:hyperlink r:id="rId9" w:history="1">
        <w:r w:rsidRPr="00DB2FD3">
          <w:rPr>
            <w:rFonts w:ascii="FrankRuehl" w:hAnsi="FrankRuehl" w:cs="FrankRuehl"/>
            <w:noProof w:val="0"/>
            <w:color w:val="0000FF"/>
            <w:u w:val="single"/>
            <w:rtl/>
          </w:rPr>
          <w:t>33א(4)</w:t>
        </w:r>
      </w:hyperlink>
    </w:p>
    <w:p w14:paraId="4AE00CE8" w14:textId="77777777" w:rsidR="00694556" w:rsidRPr="00DB2FD3" w:rsidRDefault="00694556" w:rsidP="00DB2FD3">
      <w:pPr>
        <w:spacing w:line="360" w:lineRule="auto"/>
        <w:jc w:val="both"/>
        <w:rPr>
          <w:rFonts w:ascii="Arial" w:hAnsi="Arial"/>
          <w:noProof w:val="0"/>
          <w:rtl/>
        </w:rPr>
      </w:pPr>
      <w:bookmarkStart w:id="4" w:name="LawTable_End"/>
      <w:bookmarkEnd w:id="4"/>
    </w:p>
    <w:tbl>
      <w:tblPr>
        <w:bidiVisual/>
        <w:tblW w:w="8820" w:type="dxa"/>
        <w:jc w:val="center"/>
        <w:tblLook w:val="01E0" w:firstRow="1" w:lastRow="1" w:firstColumn="1" w:lastColumn="1" w:noHBand="0" w:noVBand="0"/>
      </w:tblPr>
      <w:tblGrid>
        <w:gridCol w:w="8820"/>
      </w:tblGrid>
      <w:tr w:rsidR="00B93938" w14:paraId="4FBCB647" w14:textId="77777777" w:rsidTr="0073276F">
        <w:trPr>
          <w:jc w:val="center"/>
        </w:trPr>
        <w:tc>
          <w:tcPr>
            <w:tcW w:w="8820" w:type="dxa"/>
            <w:shd w:val="clear" w:color="auto" w:fill="auto"/>
          </w:tcPr>
          <w:p w14:paraId="105BFCD2" w14:textId="77777777" w:rsidR="00B93938" w:rsidRPr="00B93938" w:rsidRDefault="00B93938" w:rsidP="00B93938">
            <w:pPr>
              <w:bidi w:val="0"/>
              <w:jc w:val="center"/>
              <w:rPr>
                <w:rFonts w:ascii="Arial" w:hAnsi="Arial"/>
                <w:b/>
                <w:bCs/>
                <w:noProof w:val="0"/>
                <w:sz w:val="28"/>
                <w:szCs w:val="28"/>
                <w:u w:val="single"/>
              </w:rPr>
            </w:pPr>
            <w:bookmarkStart w:id="5" w:name="PsakDin" w:colFirst="0" w:colLast="0"/>
            <w:r w:rsidRPr="00B93938">
              <w:rPr>
                <w:rFonts w:ascii="Arial" w:hAnsi="Arial"/>
                <w:b/>
                <w:bCs/>
                <w:noProof w:val="0"/>
                <w:sz w:val="28"/>
                <w:szCs w:val="28"/>
                <w:u w:val="single"/>
                <w:rtl/>
              </w:rPr>
              <w:t>פסק דין</w:t>
            </w:r>
          </w:p>
          <w:p w14:paraId="33FEC447" w14:textId="77777777" w:rsidR="00B93938" w:rsidRPr="00B93938" w:rsidRDefault="00B93938" w:rsidP="00B93938">
            <w:pPr>
              <w:bidi w:val="0"/>
              <w:jc w:val="center"/>
              <w:rPr>
                <w:rFonts w:ascii="Arial" w:hAnsi="Arial"/>
                <w:b/>
                <w:bCs/>
                <w:noProof w:val="0"/>
                <w:sz w:val="28"/>
                <w:szCs w:val="28"/>
                <w:u w:val="single"/>
              </w:rPr>
            </w:pPr>
          </w:p>
        </w:tc>
      </w:tr>
      <w:bookmarkEnd w:id="5"/>
    </w:tbl>
    <w:p w14:paraId="15A99D82" w14:textId="77777777" w:rsidR="00B93938" w:rsidRDefault="00B93938">
      <w:pPr>
        <w:spacing w:line="360" w:lineRule="auto"/>
        <w:jc w:val="both"/>
        <w:rPr>
          <w:rFonts w:ascii="Arial" w:hAnsi="Arial" w:hint="cs"/>
          <w:noProof w:val="0"/>
          <w:rtl/>
        </w:rPr>
      </w:pPr>
    </w:p>
    <w:p w14:paraId="270C444B" w14:textId="77777777" w:rsidR="00F11473" w:rsidRPr="003D7BBA" w:rsidRDefault="00F11473" w:rsidP="00F11473">
      <w:pPr>
        <w:rPr>
          <w:rFonts w:cs="Arial"/>
          <w:b/>
          <w:bCs/>
          <w:noProof w:val="0"/>
          <w:sz w:val="22"/>
          <w:szCs w:val="22"/>
          <w:u w:val="single"/>
          <w:rtl/>
        </w:rPr>
      </w:pPr>
      <w:r>
        <w:rPr>
          <w:b/>
          <w:bCs/>
          <w:u w:val="single"/>
          <w:rtl/>
        </w:rPr>
        <w:t>הש' שאול שוחט, אב"ד, סגן נשיא:</w:t>
      </w:r>
    </w:p>
    <w:p w14:paraId="1CA4B057" w14:textId="77777777" w:rsidR="00015048" w:rsidRPr="003D7BBA" w:rsidRDefault="00015048" w:rsidP="00F11473">
      <w:pPr>
        <w:rPr>
          <w:rFonts w:cs="Arial"/>
          <w:b/>
          <w:bCs/>
          <w:noProof w:val="0"/>
          <w:sz w:val="22"/>
          <w:szCs w:val="22"/>
          <w:u w:val="single"/>
        </w:rPr>
      </w:pPr>
    </w:p>
    <w:p w14:paraId="750DAAD5" w14:textId="77777777" w:rsidR="00F11473" w:rsidRDefault="00F11473" w:rsidP="00F11473">
      <w:pPr>
        <w:spacing w:line="360" w:lineRule="auto"/>
        <w:ind w:left="720" w:hanging="720"/>
        <w:jc w:val="both"/>
        <w:rPr>
          <w:rtl/>
        </w:rPr>
      </w:pPr>
      <w:r>
        <w:rPr>
          <w:rtl/>
        </w:rPr>
        <w:t xml:space="preserve">1. </w:t>
      </w:r>
      <w:r>
        <w:rPr>
          <w:rtl/>
        </w:rPr>
        <w:tab/>
        <w:t xml:space="preserve">בית משפט קמא דחה את בקשתו של המערער לביטול אפוטרופסותם של הוריו, המשיבים 1-2 (להלן: </w:t>
      </w:r>
      <w:r>
        <w:rPr>
          <w:b/>
          <w:bCs/>
          <w:rtl/>
        </w:rPr>
        <w:t>"ההורים"</w:t>
      </w:r>
      <w:r>
        <w:rPr>
          <w:rtl/>
        </w:rPr>
        <w:t xml:space="preserve">), עליו. </w:t>
      </w:r>
    </w:p>
    <w:p w14:paraId="285F942F" w14:textId="77777777" w:rsidR="00015048" w:rsidRDefault="00015048" w:rsidP="00F11473">
      <w:pPr>
        <w:spacing w:line="360" w:lineRule="auto"/>
        <w:ind w:left="720" w:hanging="720"/>
        <w:jc w:val="both"/>
        <w:rPr>
          <w:rtl/>
        </w:rPr>
      </w:pPr>
    </w:p>
    <w:p w14:paraId="75C48AA4" w14:textId="77777777" w:rsidR="00F11473" w:rsidRDefault="00F11473" w:rsidP="00F11473">
      <w:pPr>
        <w:spacing w:line="360" w:lineRule="auto"/>
        <w:ind w:left="720" w:hanging="720"/>
        <w:jc w:val="both"/>
        <w:rPr>
          <w:rtl/>
        </w:rPr>
      </w:pPr>
      <w:r>
        <w:rPr>
          <w:rtl/>
        </w:rPr>
        <w:t>2.</w:t>
      </w:r>
      <w:r>
        <w:rPr>
          <w:rtl/>
        </w:rPr>
        <w:tab/>
      </w:r>
      <w:bookmarkStart w:id="6" w:name="ABSTRACT_START"/>
      <w:bookmarkEnd w:id="6"/>
      <w:r>
        <w:rPr>
          <w:rtl/>
        </w:rPr>
        <w:t xml:space="preserve">ההורים מונו כאפוטרופוסים קבועים על גופו ורכושו של המערער ביום 12.9.13, בתום הליך מסודר בו התבקשו והתקבלו תסקירים וחוו"ד של גורמים טיפוליים שונים ותוך שמיעת המערער עצמו. </w:t>
      </w:r>
    </w:p>
    <w:p w14:paraId="10079EEE" w14:textId="77777777" w:rsidR="00015048" w:rsidRDefault="00015048" w:rsidP="00F11473">
      <w:pPr>
        <w:spacing w:line="360" w:lineRule="auto"/>
        <w:ind w:left="720" w:hanging="720"/>
        <w:jc w:val="both"/>
        <w:rPr>
          <w:rtl/>
        </w:rPr>
      </w:pPr>
      <w:bookmarkStart w:id="7" w:name="ABSTRACT_END"/>
      <w:bookmarkEnd w:id="7"/>
    </w:p>
    <w:p w14:paraId="0F68D2ED" w14:textId="77777777" w:rsidR="00F11473" w:rsidRDefault="00F11473" w:rsidP="00F11473">
      <w:pPr>
        <w:spacing w:line="360" w:lineRule="auto"/>
        <w:ind w:left="720" w:hanging="720"/>
        <w:jc w:val="both"/>
        <w:rPr>
          <w:rtl/>
        </w:rPr>
      </w:pPr>
      <w:r>
        <w:rPr>
          <w:rtl/>
        </w:rPr>
        <w:t>3.</w:t>
      </w:r>
      <w:r>
        <w:rPr>
          <w:rtl/>
        </w:rPr>
        <w:tab/>
        <w:t xml:space="preserve">בחלוף כ-5 שנים, ביום 10.10.18, פנה המערער, לראשונה, לבית משפט קמא, בבקשה לביטול ו/או צמצום האפוטרופסות. הוזמן תסקיר סעד מעודכן, אף התקיים דיון ביום 24.2.19 אליו הוזמן המערער. המערער לא התייצב אלא דקות ספורות לאחר שניתן פסק דין בהעדרו בו נדחתה הבקשה. משהתייצב המערער ביקש לומר את דבריו ובית משפט קמא התיר לו לעשות כן ופסק הדין נותר על כנו (פסק הדין מיום 24.2.19). </w:t>
      </w:r>
    </w:p>
    <w:p w14:paraId="437085FF" w14:textId="77777777" w:rsidR="00015048" w:rsidRDefault="00015048" w:rsidP="00F11473">
      <w:pPr>
        <w:spacing w:line="360" w:lineRule="auto"/>
        <w:ind w:left="720" w:hanging="720"/>
        <w:jc w:val="both"/>
        <w:rPr>
          <w:rtl/>
        </w:rPr>
      </w:pPr>
    </w:p>
    <w:p w14:paraId="4ED14E72" w14:textId="77777777" w:rsidR="00F11473" w:rsidRDefault="00F11473" w:rsidP="00F11473">
      <w:pPr>
        <w:spacing w:line="360" w:lineRule="auto"/>
        <w:ind w:firstLine="720"/>
        <w:jc w:val="both"/>
        <w:rPr>
          <w:rtl/>
        </w:rPr>
      </w:pPr>
      <w:r>
        <w:rPr>
          <w:rtl/>
        </w:rPr>
        <w:t xml:space="preserve">על פסק הדין לא הגיש המערער ערעור (להלן: </w:t>
      </w:r>
      <w:r>
        <w:rPr>
          <w:b/>
          <w:bCs/>
          <w:rtl/>
        </w:rPr>
        <w:t>"הבקשה הראשונה לביטול האפוטרופסות"</w:t>
      </w:r>
      <w:r>
        <w:rPr>
          <w:rtl/>
        </w:rPr>
        <w:t>).</w:t>
      </w:r>
    </w:p>
    <w:p w14:paraId="4EBB37D7" w14:textId="77777777" w:rsidR="00015048" w:rsidRDefault="00015048" w:rsidP="00F11473">
      <w:pPr>
        <w:spacing w:line="360" w:lineRule="auto"/>
        <w:ind w:firstLine="720"/>
        <w:jc w:val="both"/>
        <w:rPr>
          <w:rtl/>
        </w:rPr>
      </w:pPr>
    </w:p>
    <w:p w14:paraId="7F5A176E" w14:textId="77777777" w:rsidR="00F11473" w:rsidRDefault="00F11473" w:rsidP="00F11473">
      <w:pPr>
        <w:spacing w:line="360" w:lineRule="auto"/>
        <w:ind w:left="720" w:hanging="720"/>
        <w:jc w:val="both"/>
        <w:rPr>
          <w:rtl/>
        </w:rPr>
      </w:pPr>
      <w:r>
        <w:rPr>
          <w:rtl/>
        </w:rPr>
        <w:t>4.</w:t>
      </w:r>
      <w:r>
        <w:rPr>
          <w:rtl/>
        </w:rPr>
        <w:tab/>
        <w:t>ביום 2.7.19 חזר ופנה המערער לבית משפט קמא ב"</w:t>
      </w:r>
      <w:r>
        <w:rPr>
          <w:b/>
          <w:bCs/>
          <w:rtl/>
        </w:rPr>
        <w:t>בקשה בהולה לביטול האפוטרופסות</w:t>
      </w:r>
      <w:r>
        <w:rPr>
          <w:rtl/>
        </w:rPr>
        <w:t xml:space="preserve">". בהחלטה מיום 4.7.19 הורה בית משפט קמא על קבלת תגובת ההורים, תוך שציין את עובדת קיומו של ההליך בו נדחתה הבקשה הראשונה לביטול האפוטרופסות. לאחר שהתקבלה תגובת ההורים ובהתבסס עליה, ניתן פסק דין שדחה את הבקשה (להלן: </w:t>
      </w:r>
      <w:r>
        <w:rPr>
          <w:b/>
          <w:bCs/>
          <w:rtl/>
        </w:rPr>
        <w:t>"הבקשה מושא הערעור"</w:t>
      </w:r>
      <w:r>
        <w:rPr>
          <w:rtl/>
        </w:rPr>
        <w:t xml:space="preserve">). </w:t>
      </w:r>
    </w:p>
    <w:p w14:paraId="3E41DF7B" w14:textId="77777777" w:rsidR="00015048" w:rsidRDefault="00015048" w:rsidP="00F11473">
      <w:pPr>
        <w:spacing w:line="360" w:lineRule="auto"/>
        <w:ind w:left="720" w:hanging="720"/>
        <w:jc w:val="both"/>
        <w:rPr>
          <w:rtl/>
        </w:rPr>
      </w:pPr>
    </w:p>
    <w:p w14:paraId="002749BB" w14:textId="77777777" w:rsidR="00F11473" w:rsidRDefault="00F11473" w:rsidP="00F11473">
      <w:pPr>
        <w:spacing w:line="360" w:lineRule="auto"/>
        <w:ind w:firstLine="720"/>
        <w:jc w:val="both"/>
        <w:rPr>
          <w:rtl/>
        </w:rPr>
      </w:pPr>
      <w:r>
        <w:rPr>
          <w:rtl/>
        </w:rPr>
        <w:t>על פסק דין זה הוגש הערעור שלפנינו.</w:t>
      </w:r>
    </w:p>
    <w:p w14:paraId="7E442874" w14:textId="77777777" w:rsidR="00015048" w:rsidRDefault="00015048" w:rsidP="00F11473">
      <w:pPr>
        <w:spacing w:line="360" w:lineRule="auto"/>
        <w:ind w:firstLine="720"/>
        <w:jc w:val="both"/>
        <w:rPr>
          <w:rtl/>
        </w:rPr>
      </w:pPr>
    </w:p>
    <w:p w14:paraId="17D0D9B7" w14:textId="77777777" w:rsidR="00F11473" w:rsidRDefault="00F11473" w:rsidP="00F11473">
      <w:pPr>
        <w:spacing w:line="360" w:lineRule="auto"/>
        <w:ind w:left="720" w:hanging="720"/>
        <w:jc w:val="both"/>
        <w:rPr>
          <w:rtl/>
        </w:rPr>
      </w:pPr>
      <w:r>
        <w:rPr>
          <w:rtl/>
        </w:rPr>
        <w:t>5.</w:t>
      </w:r>
      <w:r>
        <w:rPr>
          <w:rtl/>
        </w:rPr>
        <w:tab/>
        <w:t xml:space="preserve">בפסק הדין הפנה בית משפט קמא אל ההחלטה מיום 12.9.13, היא החלטת המינוי; אל פרוטוקול הדיון וההחלטה בבקשה הראשונה לביטול האפוטרופסות וקבע כי אין בבקשה, מושא הערעור שלפנינו, משום שינוי נסיבות כלשהו שמצדיק דיון מחדש בעניינו של המערער. בית המשפט ציין כי ההורים פועלים לטובת המערער, עושים לילות כימים למענו, מקדישים זמן רב ואת כל מרצם לטובה ולדאגה לו ואף מוציאים כספים רבים לטיפול בו. מצבו של המערער, כך בית משפט קמא, אשר הצדיק את המינוי מלכתחילה, נותר בעינו ואף החריף והבקשה האמורה לא מעלה כל נימוק או עילה לביטול או לשינוי האפוטרופסות. </w:t>
      </w:r>
    </w:p>
    <w:p w14:paraId="423CEED0" w14:textId="77777777" w:rsidR="00015048" w:rsidRDefault="00015048" w:rsidP="00F11473">
      <w:pPr>
        <w:spacing w:line="360" w:lineRule="auto"/>
        <w:ind w:left="720" w:hanging="720"/>
        <w:jc w:val="both"/>
        <w:rPr>
          <w:rtl/>
        </w:rPr>
      </w:pPr>
    </w:p>
    <w:p w14:paraId="36A27748" w14:textId="77777777" w:rsidR="00F11473" w:rsidRDefault="00F11473" w:rsidP="00F11473">
      <w:pPr>
        <w:spacing w:line="360" w:lineRule="auto"/>
        <w:ind w:left="720" w:hanging="720"/>
        <w:jc w:val="both"/>
        <w:rPr>
          <w:rtl/>
        </w:rPr>
      </w:pPr>
      <w:r>
        <w:rPr>
          <w:rtl/>
        </w:rPr>
        <w:t>6.</w:t>
      </w:r>
      <w:r>
        <w:rPr>
          <w:rtl/>
        </w:rPr>
        <w:tab/>
        <w:t xml:space="preserve">בערעור שלפנינו חזר המערער על בקשתו וטען כי אין כל עילה להמשך האפוטרופסות עליו, וביקש לבטל אותה ו/או לצמצמה. לדבריו, הוא נבדק אצל נוירולוג אשר ציין כי אין הוא זקוק למינוי  אפוטרופוס. </w:t>
      </w:r>
    </w:p>
    <w:p w14:paraId="11C6D735" w14:textId="77777777" w:rsidR="00015048" w:rsidRDefault="00015048" w:rsidP="00F11473">
      <w:pPr>
        <w:spacing w:line="360" w:lineRule="auto"/>
        <w:ind w:left="720" w:hanging="720"/>
        <w:jc w:val="both"/>
        <w:rPr>
          <w:rtl/>
        </w:rPr>
      </w:pPr>
    </w:p>
    <w:p w14:paraId="143ABBC3" w14:textId="77777777" w:rsidR="00F11473" w:rsidRDefault="00F11473" w:rsidP="00F11473">
      <w:pPr>
        <w:spacing w:line="360" w:lineRule="auto"/>
        <w:ind w:left="720" w:hanging="720"/>
        <w:jc w:val="both"/>
        <w:rPr>
          <w:rtl/>
        </w:rPr>
      </w:pPr>
      <w:r>
        <w:rPr>
          <w:rtl/>
        </w:rPr>
        <w:t>7.</w:t>
      </w:r>
      <w:r>
        <w:rPr>
          <w:rtl/>
        </w:rPr>
        <w:tab/>
        <w:t xml:space="preserve">במהלך הדיון ביקש בית המשפט מב"כ המשיב 3 לעיין באותו מסמך נוירולוגי. מסתבר כי מדובר בפניה של המערער לנוירולוג לקבלת יעוץ באשר לטיפול בנדודי שינה ולא לצורך בדיקה מקצועית מקיפה בשאלת האפוטרופסות. ספק גם אם נוירולוג הוא המומחה המתאים לשם כך. </w:t>
      </w:r>
    </w:p>
    <w:p w14:paraId="2C41E176" w14:textId="77777777" w:rsidR="00015048" w:rsidRDefault="00015048" w:rsidP="00F11473">
      <w:pPr>
        <w:spacing w:line="360" w:lineRule="auto"/>
        <w:ind w:left="720" w:hanging="720"/>
        <w:jc w:val="both"/>
        <w:rPr>
          <w:rtl/>
        </w:rPr>
      </w:pPr>
    </w:p>
    <w:p w14:paraId="7673397D" w14:textId="77777777" w:rsidR="00F11473" w:rsidRDefault="00F11473" w:rsidP="00F11473">
      <w:pPr>
        <w:spacing w:line="360" w:lineRule="auto"/>
        <w:ind w:left="720" w:hanging="720"/>
        <w:jc w:val="both"/>
        <w:rPr>
          <w:rtl/>
        </w:rPr>
      </w:pPr>
      <w:r>
        <w:rPr>
          <w:rtl/>
        </w:rPr>
        <w:lastRenderedPageBreak/>
        <w:t>8.</w:t>
      </w:r>
      <w:r>
        <w:rPr>
          <w:rtl/>
        </w:rPr>
        <w:tab/>
        <w:t xml:space="preserve">חזרתי ועיינתי בבקשתו של המערער לביטול האפוטרופסות, אף בכתב הערעור שהוגש אשר היווה על פי החלטתנו גם עיקרי טיעון, ולא מצאתי, מבחינה מהותית, עילה להתערבות בפסק דינו של בית משפט קמא. אכן, החלטת המינוי מיום 12.9.13 ניתנה לאחר דיון ארוך בו נשמעו הצדדים, לרבות המערער אשר היה מיוצג; לצורך הכרעה בבקשה הקודמת לביטול האפוטרופסות הוזמן תסקיר עדכני שההמלצה בו הייתה ברורה וחד משמעית, לפיה אין מקום להורות על ביטול הצו או צמצום הסמכויות על פיו, מה שהביא לאותה החלטה מיום 24.2.19. הבקשה מושא הערעור הוגשה מספר חודשים לאחר אותה החלטה מיום 24.2.19 ולמעשה אין בה חדש. </w:t>
      </w:r>
    </w:p>
    <w:p w14:paraId="3D717782" w14:textId="77777777" w:rsidR="00015048" w:rsidRDefault="00015048" w:rsidP="00F11473">
      <w:pPr>
        <w:spacing w:line="360" w:lineRule="auto"/>
        <w:ind w:left="720" w:hanging="720"/>
        <w:jc w:val="both"/>
        <w:rPr>
          <w:rtl/>
        </w:rPr>
      </w:pPr>
    </w:p>
    <w:p w14:paraId="45027CE2" w14:textId="77777777" w:rsidR="00F11473" w:rsidRDefault="00F11473" w:rsidP="00F11473">
      <w:pPr>
        <w:spacing w:line="360" w:lineRule="auto"/>
        <w:jc w:val="both"/>
        <w:rPr>
          <w:rtl/>
        </w:rPr>
      </w:pPr>
      <w:r>
        <w:rPr>
          <w:rtl/>
        </w:rPr>
        <w:t>9.</w:t>
      </w:r>
      <w:r>
        <w:rPr>
          <w:rtl/>
        </w:rPr>
        <w:tab/>
        <w:t>הגם שתוצאת פסק דיני היא דחייתו של הערעור, אני רואה לנכון להבהיר:</w:t>
      </w:r>
    </w:p>
    <w:p w14:paraId="0B7DCEF5" w14:textId="77777777" w:rsidR="00015048" w:rsidRDefault="00015048" w:rsidP="00F11473">
      <w:pPr>
        <w:spacing w:line="360" w:lineRule="auto"/>
        <w:jc w:val="both"/>
        <w:rPr>
          <w:rtl/>
        </w:rPr>
      </w:pPr>
    </w:p>
    <w:p w14:paraId="74795335" w14:textId="77777777" w:rsidR="00F11473" w:rsidRDefault="00F11473" w:rsidP="00F11473">
      <w:pPr>
        <w:spacing w:line="360" w:lineRule="auto"/>
        <w:ind w:left="720" w:hanging="720"/>
        <w:jc w:val="both"/>
        <w:rPr>
          <w:rtl/>
        </w:rPr>
      </w:pPr>
      <w:r>
        <w:rPr>
          <w:rtl/>
        </w:rPr>
        <w:t xml:space="preserve">א. </w:t>
      </w:r>
      <w:r>
        <w:rPr>
          <w:rtl/>
        </w:rPr>
        <w:tab/>
      </w:r>
      <w:hyperlink r:id="rId10" w:history="1">
        <w:r w:rsidR="00B93938" w:rsidRPr="00B93938">
          <w:rPr>
            <w:color w:val="0000FF"/>
            <w:u w:val="single"/>
            <w:rtl/>
          </w:rPr>
          <w:t>חוק הכשרות המשפטית והאפוטרופסות</w:t>
        </w:r>
      </w:hyperlink>
      <w:r>
        <w:rPr>
          <w:rtl/>
        </w:rPr>
        <w:t xml:space="preserve">, תשכ"ב-1962 (להלן: </w:t>
      </w:r>
      <w:r>
        <w:rPr>
          <w:b/>
          <w:bCs/>
          <w:rtl/>
        </w:rPr>
        <w:t>"חוק הכשרות"</w:t>
      </w:r>
      <w:r>
        <w:rPr>
          <w:rtl/>
        </w:rPr>
        <w:t xml:space="preserve">) תוקן בשנת 2016 (תיקון מספר 18). התיקון משנה את התפיסה החברתית-משפטית בכל הנוגע לשלילה ו/או להגבלה של הכשרות המשפטית של אנשים עם מוגבלויות ומביא בחובו גישה ששמה דגש על כבודם ועל זכויותיהם של אנשים מקבוצות אלה, הן זכויות האזרח שמהן נהנה כל אדם הן זכויות הנובעות ממצבם הייחודי. הגישה שעולה מהתיקון מכוונת לכך שאין להתייחס אליהם כמקשה אחת; מבקשת להעצים ולהגביר את עצמאותם ומנחה כי קבלת ההחלטות לגביהם תיעשה בהתאם למוגבלות הקיימת בכל אחד מהם. על פי גישה זו יש לעשות כל שניתן לאפשר את שמיעתו של אותו אדם ושיתופו בקבלת ההחלטות הנוגעות אליו. </w:t>
      </w:r>
    </w:p>
    <w:p w14:paraId="6D7A2006" w14:textId="77777777" w:rsidR="00F11473" w:rsidRDefault="00F11473" w:rsidP="00F11473">
      <w:pPr>
        <w:spacing w:line="360" w:lineRule="auto"/>
        <w:ind w:left="720" w:hanging="720"/>
        <w:jc w:val="both"/>
        <w:rPr>
          <w:rtl/>
        </w:rPr>
      </w:pPr>
      <w:r>
        <w:rPr>
          <w:rtl/>
        </w:rPr>
        <w:tab/>
        <w:t xml:space="preserve">על רקע דברים אלה מורה הוראת </w:t>
      </w:r>
      <w:hyperlink r:id="rId11" w:history="1">
        <w:r w:rsidR="00DB2FD3" w:rsidRPr="00DB2FD3">
          <w:rPr>
            <w:color w:val="0000FF"/>
            <w:u w:val="single"/>
            <w:rtl/>
          </w:rPr>
          <w:t>סעיף 33א</w:t>
        </w:r>
      </w:hyperlink>
      <w:r>
        <w:rPr>
          <w:rtl/>
        </w:rPr>
        <w:t xml:space="preserve"> לחוק הכשרות, באופן קטגורי, לבית המשפט כי טרם יחליט הוא על מינוי אפוטרופוס לאדם בגיר, לפי </w:t>
      </w:r>
      <w:hyperlink r:id="rId12" w:history="1">
        <w:r w:rsidR="00DB2FD3" w:rsidRPr="00DB2FD3">
          <w:rPr>
            <w:color w:val="0000FF"/>
            <w:u w:val="single"/>
            <w:rtl/>
          </w:rPr>
          <w:t>סעיף 33א(4)</w:t>
        </w:r>
      </w:hyperlink>
      <w:r>
        <w:rPr>
          <w:rtl/>
        </w:rPr>
        <w:t xml:space="preserve"> לחוק זה, יוודא כי התקיימו התנאים המפורטים באותו סעיף ובפרט ש</w:t>
      </w:r>
      <w:r>
        <w:rPr>
          <w:b/>
          <w:bCs/>
          <w:rtl/>
        </w:rPr>
        <w:t>"לא ניתן להשיג את המטרה שלשמה נדרש מינוי אפוטרופוס ולשמור על טובתו של האדם בדרך המגבילה פחות את זכויותיו, חירותו ועצמאותו לאחר שבחן את החלופות בנסיבות העניין, לרבות האפשרות למנות תומך בקבלת החלטות לפי סעיף 67ב"</w:t>
      </w:r>
      <w:r>
        <w:rPr>
          <w:rtl/>
        </w:rPr>
        <w:t xml:space="preserve">. </w:t>
      </w:r>
    </w:p>
    <w:p w14:paraId="012B651E" w14:textId="77777777" w:rsidR="00F11473" w:rsidRDefault="00F11473" w:rsidP="00F11473">
      <w:pPr>
        <w:spacing w:line="360" w:lineRule="auto"/>
        <w:ind w:left="720" w:hanging="720"/>
        <w:jc w:val="both"/>
        <w:rPr>
          <w:u w:val="single"/>
          <w:rtl/>
        </w:rPr>
      </w:pPr>
      <w:r>
        <w:rPr>
          <w:rtl/>
        </w:rPr>
        <w:t>ב.</w:t>
      </w:r>
      <w:r>
        <w:rPr>
          <w:rtl/>
        </w:rPr>
        <w:tab/>
        <w:t xml:space="preserve">במקרה שלפנינו מינוי ההורים כאפוטרופוסים על המערער נעשה בשנת 2013, טרם התיקון. המערער הגיש שתי בקשות לביטול האפוטרופסות או לצמצום הסמכויות עליו. שתי הבקשות, הן הבקשה הראשונה לביטול האפוטרופסות הן הבקשה מושא הערעור, הוגשו אחרי התיקון. </w:t>
      </w:r>
      <w:r>
        <w:rPr>
          <w:u w:val="single"/>
          <w:rtl/>
        </w:rPr>
        <w:t xml:space="preserve">בנסיבות אלה, וככלל, לטעמי, לאור התיקון, יש להתייחס לכל בקשה לביטול צו מינוי אפוטרופסות שניתן טרם התיקון כאל בקשה חדשה למינוי אפוטרופוס ולהעמידה למבחן בהתאם להוראת </w:t>
      </w:r>
      <w:hyperlink r:id="rId13" w:history="1">
        <w:r w:rsidR="00DB2FD3" w:rsidRPr="00DB2FD3">
          <w:rPr>
            <w:color w:val="0000FF"/>
            <w:u w:val="single"/>
            <w:rtl/>
          </w:rPr>
          <w:t>סעיף 33א</w:t>
        </w:r>
      </w:hyperlink>
      <w:r>
        <w:rPr>
          <w:u w:val="single"/>
          <w:rtl/>
        </w:rPr>
        <w:t xml:space="preserve"> ולתכליות של התיקון. </w:t>
      </w:r>
    </w:p>
    <w:p w14:paraId="78D2E8C4" w14:textId="77777777" w:rsidR="00F11473" w:rsidRDefault="00F11473" w:rsidP="00F11473">
      <w:pPr>
        <w:spacing w:line="360" w:lineRule="auto"/>
        <w:ind w:left="720" w:hanging="720"/>
        <w:jc w:val="both"/>
        <w:rPr>
          <w:rtl/>
        </w:rPr>
      </w:pPr>
      <w:r>
        <w:rPr>
          <w:rtl/>
        </w:rPr>
        <w:t xml:space="preserve">ג. </w:t>
      </w:r>
      <w:r>
        <w:rPr>
          <w:rtl/>
        </w:rPr>
        <w:tab/>
        <w:t xml:space="preserve">לא ניתן לומר שכך נעשה בענייננו. אשר לבקשה הראשונה לביטול האפוטרופסות, הרי שהמערער התייצב לדיון לאחר שניתן פסק הדין. בית המשפט אכן איפשר לו לומר מספר מילים, אך לא ביטל את פסק הדין טרם שנשמעו דבריו ולא נראה, מפסק הדין, שניתן כזכור ב-24.2.19, כי הופעל שיקול הדעת בהתאם להוראות </w:t>
      </w:r>
      <w:hyperlink r:id="rId14" w:history="1">
        <w:r w:rsidR="00DB2FD3" w:rsidRPr="00DB2FD3">
          <w:rPr>
            <w:color w:val="0000FF"/>
            <w:u w:val="single"/>
            <w:rtl/>
          </w:rPr>
          <w:t>סעיף 33א.</w:t>
        </w:r>
      </w:hyperlink>
      <w:r>
        <w:rPr>
          <w:rtl/>
        </w:rPr>
        <w:t xml:space="preserve"> </w:t>
      </w:r>
    </w:p>
    <w:p w14:paraId="4E38A23C" w14:textId="77777777" w:rsidR="00F11473" w:rsidRDefault="00F11473" w:rsidP="00F11473">
      <w:pPr>
        <w:spacing w:line="360" w:lineRule="auto"/>
        <w:ind w:left="720" w:hanging="720"/>
        <w:jc w:val="both"/>
        <w:rPr>
          <w:rtl/>
        </w:rPr>
      </w:pPr>
      <w:r>
        <w:rPr>
          <w:rtl/>
        </w:rPr>
        <w:lastRenderedPageBreak/>
        <w:tab/>
        <w:t>הבקשה מושא הערעור נדונה בהתכתבות; לא התבקשה עמדת היועץ המשפטי לממשלה – עבודה ורווחה אלא רק עמדת ההורים ולאחר שזו ניתנה לא חזר בית המשפט וביקש את תגובת המערער לה ונתן את פסק הדין מושא הערעור.</w:t>
      </w:r>
    </w:p>
    <w:p w14:paraId="6DB4C6EA" w14:textId="77777777" w:rsidR="00F11473" w:rsidRDefault="00F11473" w:rsidP="00F11473">
      <w:pPr>
        <w:spacing w:line="360" w:lineRule="auto"/>
        <w:ind w:left="720" w:hanging="720"/>
        <w:jc w:val="both"/>
        <w:rPr>
          <w:rtl/>
        </w:rPr>
      </w:pPr>
      <w:r>
        <w:rPr>
          <w:rtl/>
        </w:rPr>
        <w:t>ד.</w:t>
      </w:r>
      <w:r>
        <w:rPr>
          <w:rtl/>
        </w:rPr>
        <w:tab/>
        <w:t xml:space="preserve">על אף דברים אלה, לא ראיתי לנכון להורות על קבלת הערעור והחזרת התיק לבית משפט קמא. עם זאת, כפי שהבהרנו למערער במהלך הדיון (ראה פרוטוקול הדיון בערעור) פתוחה הדרך בפניו להגיש בקשה חדשה לביטול האפוטרופסות, אלא שעצתנו לו היא שיצטייד בחוות דעת של פסיכיאטר אשר תתמוך בבקשתו, בין לביטול האפוטרופסות בין לצמצומה. לצורך כך יוכל הוא להיעזר בעובדת הסוציאלית שמטפלת בענייניו. </w:t>
      </w:r>
    </w:p>
    <w:p w14:paraId="4B3FE728" w14:textId="77777777" w:rsidR="00015048" w:rsidRDefault="00015048" w:rsidP="00F11473">
      <w:pPr>
        <w:spacing w:line="360" w:lineRule="auto"/>
        <w:ind w:left="720" w:hanging="720"/>
        <w:jc w:val="both"/>
        <w:rPr>
          <w:rtl/>
        </w:rPr>
      </w:pPr>
    </w:p>
    <w:p w14:paraId="6D93D5F3" w14:textId="77777777" w:rsidR="00F11473" w:rsidRDefault="00F11473" w:rsidP="00F11473">
      <w:pPr>
        <w:spacing w:line="360" w:lineRule="auto"/>
        <w:jc w:val="both"/>
        <w:rPr>
          <w:rtl/>
        </w:rPr>
      </w:pPr>
      <w:r>
        <w:rPr>
          <w:rtl/>
        </w:rPr>
        <w:t>10.</w:t>
      </w:r>
      <w:r>
        <w:rPr>
          <w:rtl/>
        </w:rPr>
        <w:tab/>
        <w:t xml:space="preserve">אשר על כן, יידחה הערעור ללא צו להוצאות. </w:t>
      </w:r>
    </w:p>
    <w:p w14:paraId="5B83C51C" w14:textId="77777777" w:rsidR="007A15E5" w:rsidRDefault="007A15E5" w:rsidP="00F11473">
      <w:pPr>
        <w:spacing w:line="360" w:lineRule="auto"/>
        <w:jc w:val="both"/>
        <w:rPr>
          <w:rtl/>
        </w:rPr>
      </w:pPr>
    </w:p>
    <w:p w14:paraId="692DAA7F" w14:textId="77777777" w:rsidR="007A15E5" w:rsidRPr="007A15E5" w:rsidRDefault="007A15E5" w:rsidP="007A15E5">
      <w:pPr>
        <w:spacing w:line="360" w:lineRule="auto"/>
        <w:ind w:left="720"/>
        <w:jc w:val="both"/>
        <w:rPr>
          <w:rtl/>
        </w:rPr>
      </w:pPr>
      <w:r w:rsidRPr="007A15E5">
        <w:rPr>
          <w:rtl/>
        </w:rPr>
        <w:t>פסק</w:t>
      </w:r>
      <w:r w:rsidRPr="007A15E5">
        <w:t xml:space="preserve"> </w:t>
      </w:r>
      <w:r w:rsidRPr="007A15E5">
        <w:rPr>
          <w:rtl/>
        </w:rPr>
        <w:t>הדין</w:t>
      </w:r>
      <w:r w:rsidRPr="007A15E5">
        <w:t xml:space="preserve"> </w:t>
      </w:r>
      <w:r w:rsidRPr="007A15E5">
        <w:rPr>
          <w:rFonts w:hint="cs"/>
          <w:b/>
          <w:bCs/>
          <w:rtl/>
        </w:rPr>
        <w:t>ניתן</w:t>
      </w:r>
      <w:r w:rsidRPr="007A15E5">
        <w:rPr>
          <w:b/>
          <w:bCs/>
        </w:rPr>
        <w:t xml:space="preserve"> </w:t>
      </w:r>
      <w:r w:rsidRPr="007A15E5">
        <w:rPr>
          <w:rFonts w:hint="cs"/>
          <w:b/>
          <w:bCs/>
          <w:rtl/>
        </w:rPr>
        <w:t>לפרסום</w:t>
      </w:r>
      <w:r w:rsidRPr="007A15E5">
        <w:rPr>
          <w:b/>
          <w:bCs/>
        </w:rPr>
        <w:t xml:space="preserve"> </w:t>
      </w:r>
      <w:r w:rsidRPr="007A15E5">
        <w:rPr>
          <w:rtl/>
        </w:rPr>
        <w:t>במתכונת</w:t>
      </w:r>
      <w:r w:rsidRPr="007A15E5">
        <w:t xml:space="preserve"> </w:t>
      </w:r>
      <w:r w:rsidRPr="007A15E5">
        <w:rPr>
          <w:rtl/>
        </w:rPr>
        <w:t>בו</w:t>
      </w:r>
      <w:r w:rsidRPr="007A15E5">
        <w:t xml:space="preserve"> </w:t>
      </w:r>
      <w:r w:rsidRPr="007A15E5">
        <w:rPr>
          <w:rtl/>
        </w:rPr>
        <w:t>נחתם</w:t>
      </w:r>
      <w:r w:rsidRPr="007A15E5">
        <w:t xml:space="preserve"> </w:t>
      </w:r>
      <w:r w:rsidRPr="007A15E5">
        <w:rPr>
          <w:rtl/>
        </w:rPr>
        <w:t>ללא</w:t>
      </w:r>
      <w:r w:rsidRPr="007A15E5">
        <w:t xml:space="preserve"> </w:t>
      </w:r>
      <w:r w:rsidRPr="007A15E5">
        <w:rPr>
          <w:rtl/>
        </w:rPr>
        <w:t>פרסום</w:t>
      </w:r>
      <w:r w:rsidRPr="007A15E5">
        <w:t xml:space="preserve"> </w:t>
      </w:r>
      <w:r w:rsidRPr="007A15E5">
        <w:rPr>
          <w:rtl/>
        </w:rPr>
        <w:t>שמות</w:t>
      </w:r>
      <w:r w:rsidRPr="007A15E5">
        <w:t xml:space="preserve"> </w:t>
      </w:r>
      <w:r w:rsidRPr="007A15E5">
        <w:rPr>
          <w:rtl/>
        </w:rPr>
        <w:t>הצדדים</w:t>
      </w:r>
      <w:r w:rsidRPr="007A15E5">
        <w:t xml:space="preserve"> </w:t>
      </w:r>
      <w:r w:rsidRPr="007A15E5">
        <w:rPr>
          <w:rtl/>
        </w:rPr>
        <w:t>ופרטים</w:t>
      </w:r>
      <w:r w:rsidRPr="007A15E5">
        <w:t xml:space="preserve"> </w:t>
      </w:r>
      <w:r w:rsidRPr="007A15E5">
        <w:rPr>
          <w:rtl/>
        </w:rPr>
        <w:t>מזהים</w:t>
      </w:r>
      <w:r w:rsidRPr="007A15E5">
        <w:t xml:space="preserve"> </w:t>
      </w:r>
      <w:r w:rsidRPr="007A15E5">
        <w:rPr>
          <w:rtl/>
        </w:rPr>
        <w:t>אחרים</w:t>
      </w:r>
      <w:r w:rsidRPr="007A15E5">
        <w:t>.</w:t>
      </w:r>
    </w:p>
    <w:p w14:paraId="17F2B67C" w14:textId="77777777" w:rsidR="00F11473" w:rsidRDefault="00F11473">
      <w:pPr>
        <w:spacing w:line="360" w:lineRule="auto"/>
        <w:jc w:val="both"/>
        <w:rPr>
          <w:rFonts w:ascii="Arial" w:hAnsi="Arial"/>
          <w:noProof w:val="0"/>
          <w:rtl/>
        </w:rPr>
      </w:pPr>
    </w:p>
    <w:p w14:paraId="554F7F8C" w14:textId="77777777" w:rsidR="00F11473" w:rsidRDefault="00F11473">
      <w:pPr>
        <w:spacing w:line="360" w:lineRule="auto"/>
        <w:jc w:val="both"/>
        <w:rPr>
          <w:rFonts w:ascii="Arial" w:hAnsi="Arial"/>
          <w:b/>
          <w:bCs/>
          <w:noProof w:val="0"/>
          <w:u w:val="single"/>
          <w:rtl/>
        </w:rPr>
      </w:pPr>
      <w:r>
        <w:rPr>
          <w:rFonts w:ascii="Arial" w:hAnsi="Arial" w:hint="cs"/>
          <w:b/>
          <w:bCs/>
          <w:noProof w:val="0"/>
          <w:u w:val="single"/>
          <w:rtl/>
        </w:rPr>
        <w:t>השופטת עינת רביד</w:t>
      </w:r>
    </w:p>
    <w:p w14:paraId="65DD0928" w14:textId="77777777" w:rsidR="00F11473" w:rsidRDefault="00F11473">
      <w:pPr>
        <w:spacing w:line="360" w:lineRule="auto"/>
        <w:jc w:val="both"/>
        <w:rPr>
          <w:rtl/>
        </w:rPr>
      </w:pPr>
    </w:p>
    <w:p w14:paraId="6BB52190" w14:textId="77777777" w:rsidR="00F11473" w:rsidRDefault="00F11473">
      <w:pPr>
        <w:spacing w:line="360" w:lineRule="auto"/>
        <w:jc w:val="both"/>
        <w:rPr>
          <w:rtl/>
        </w:rPr>
      </w:pPr>
      <w:r>
        <w:rPr>
          <w:rFonts w:hint="cs"/>
          <w:rtl/>
        </w:rPr>
        <w:t>אני מסכימה</w:t>
      </w:r>
    </w:p>
    <w:p w14:paraId="1ED58FF2" w14:textId="77777777" w:rsidR="00F11473" w:rsidRDefault="00F11473" w:rsidP="00DB2FD3">
      <w:pPr>
        <w:spacing w:line="360" w:lineRule="auto"/>
        <w:jc w:val="both"/>
        <w:rPr>
          <w:rtl/>
        </w:rPr>
      </w:pPr>
      <w:r>
        <w:rPr>
          <w:rtl/>
        </w:rPr>
        <w:tab/>
      </w:r>
      <w:r>
        <w:rPr>
          <w:rtl/>
        </w:rPr>
        <w:tab/>
      </w:r>
      <w:r>
        <w:rPr>
          <w:rtl/>
        </w:rPr>
        <w:tab/>
      </w:r>
      <w:r>
        <w:rPr>
          <w:rtl/>
        </w:rPr>
        <w:tab/>
      </w:r>
      <w:r>
        <w:rPr>
          <w:rtl/>
        </w:rPr>
        <w:tab/>
      </w:r>
      <w:r>
        <w:rPr>
          <w:rtl/>
        </w:rPr>
        <w:tab/>
      </w:r>
      <w:r>
        <w:rPr>
          <w:rtl/>
        </w:rPr>
        <w:tab/>
      </w:r>
      <w:r>
        <w:rPr>
          <w:rtl/>
        </w:rPr>
        <w:tab/>
      </w:r>
      <w:r>
        <w:rPr>
          <w:rtl/>
        </w:rPr>
        <w:tab/>
      </w:r>
    </w:p>
    <w:p w14:paraId="01FFE97F" w14:textId="77777777" w:rsidR="00F11473" w:rsidRDefault="00F11473">
      <w:pPr>
        <w:spacing w:line="360" w:lineRule="auto"/>
        <w:jc w:val="both"/>
        <w:rPr>
          <w:rtl/>
        </w:rPr>
      </w:pPr>
      <w:r>
        <w:rPr>
          <w:rtl/>
        </w:rPr>
        <w:tab/>
      </w:r>
      <w:r>
        <w:rPr>
          <w:rtl/>
        </w:rPr>
        <w:tab/>
      </w:r>
      <w:r>
        <w:rPr>
          <w:rtl/>
        </w:rPr>
        <w:tab/>
      </w:r>
      <w:r>
        <w:rPr>
          <w:rtl/>
        </w:rPr>
        <w:tab/>
      </w:r>
      <w:r>
        <w:rPr>
          <w:rtl/>
        </w:rPr>
        <w:tab/>
      </w:r>
      <w:r>
        <w:rPr>
          <w:rtl/>
        </w:rPr>
        <w:tab/>
      </w:r>
      <w:r>
        <w:rPr>
          <w:rtl/>
        </w:rPr>
        <w:tab/>
      </w:r>
      <w:r>
        <w:rPr>
          <w:rtl/>
        </w:rPr>
        <w:tab/>
      </w:r>
      <w:r>
        <w:rPr>
          <w:rtl/>
        </w:rPr>
        <w:tab/>
      </w:r>
      <w:r>
        <w:rPr>
          <w:rFonts w:hint="cs"/>
          <w:rtl/>
        </w:rPr>
        <w:t>________________</w:t>
      </w:r>
    </w:p>
    <w:p w14:paraId="51AD518D" w14:textId="77777777" w:rsidR="00F11473" w:rsidRDefault="00F11473">
      <w:pPr>
        <w:spacing w:line="360" w:lineRule="auto"/>
        <w:jc w:val="both"/>
        <w:rPr>
          <w:rtl/>
        </w:rPr>
      </w:pPr>
      <w:r>
        <w:rPr>
          <w:rtl/>
        </w:rPr>
        <w:tab/>
      </w:r>
      <w:r>
        <w:rPr>
          <w:rtl/>
        </w:rPr>
        <w:tab/>
      </w:r>
      <w:r>
        <w:rPr>
          <w:rtl/>
        </w:rPr>
        <w:tab/>
      </w:r>
      <w:r>
        <w:rPr>
          <w:rtl/>
        </w:rPr>
        <w:tab/>
      </w:r>
      <w:r>
        <w:rPr>
          <w:rtl/>
        </w:rPr>
        <w:tab/>
      </w:r>
      <w:r>
        <w:rPr>
          <w:rtl/>
        </w:rPr>
        <w:tab/>
      </w:r>
      <w:r>
        <w:rPr>
          <w:rtl/>
        </w:rPr>
        <w:tab/>
      </w:r>
      <w:r>
        <w:rPr>
          <w:rtl/>
        </w:rPr>
        <w:tab/>
      </w:r>
      <w:r>
        <w:rPr>
          <w:rtl/>
        </w:rPr>
        <w:tab/>
      </w:r>
      <w:r>
        <w:rPr>
          <w:rFonts w:hint="cs"/>
          <w:rtl/>
        </w:rPr>
        <w:t>עינת רביד, שופטת</w:t>
      </w:r>
    </w:p>
    <w:p w14:paraId="011E72B5" w14:textId="77777777" w:rsidR="00F11473" w:rsidRPr="00F11473" w:rsidRDefault="00F11473">
      <w:pPr>
        <w:spacing w:line="360" w:lineRule="auto"/>
        <w:jc w:val="both"/>
        <w:rPr>
          <w:b/>
          <w:bCs/>
          <w:rtl/>
        </w:rPr>
      </w:pPr>
      <w:r w:rsidRPr="00F11473">
        <w:rPr>
          <w:rFonts w:hint="cs"/>
          <w:b/>
          <w:bCs/>
          <w:u w:val="single"/>
          <w:rtl/>
        </w:rPr>
        <w:t>השופט נפתלי שילה</w:t>
      </w:r>
      <w:r w:rsidRPr="00F11473">
        <w:rPr>
          <w:b/>
          <w:bCs/>
          <w:rtl/>
        </w:rPr>
        <w:tab/>
      </w:r>
      <w:r w:rsidRPr="00F11473">
        <w:rPr>
          <w:b/>
          <w:bCs/>
          <w:rtl/>
        </w:rPr>
        <w:tab/>
      </w:r>
      <w:r w:rsidRPr="00F11473">
        <w:rPr>
          <w:b/>
          <w:bCs/>
          <w:rtl/>
        </w:rPr>
        <w:tab/>
      </w:r>
      <w:r w:rsidRPr="00F11473">
        <w:rPr>
          <w:b/>
          <w:bCs/>
          <w:rtl/>
        </w:rPr>
        <w:tab/>
      </w:r>
      <w:r w:rsidRPr="00F11473">
        <w:rPr>
          <w:b/>
          <w:bCs/>
          <w:rtl/>
        </w:rPr>
        <w:tab/>
      </w:r>
      <w:r w:rsidRPr="00F11473">
        <w:rPr>
          <w:b/>
          <w:bCs/>
          <w:rtl/>
        </w:rPr>
        <w:tab/>
      </w:r>
      <w:r w:rsidRPr="00F11473">
        <w:rPr>
          <w:b/>
          <w:bCs/>
          <w:rtl/>
        </w:rPr>
        <w:tab/>
      </w:r>
      <w:r w:rsidRPr="00F11473">
        <w:rPr>
          <w:b/>
          <w:bCs/>
          <w:rtl/>
        </w:rPr>
        <w:tab/>
      </w:r>
      <w:r w:rsidRPr="00F11473">
        <w:rPr>
          <w:b/>
          <w:bCs/>
          <w:rtl/>
        </w:rPr>
        <w:tab/>
      </w:r>
    </w:p>
    <w:p w14:paraId="08234420" w14:textId="77777777" w:rsidR="00F11473" w:rsidRDefault="00F11473">
      <w:pPr>
        <w:spacing w:line="360" w:lineRule="auto"/>
        <w:jc w:val="both"/>
        <w:rPr>
          <w:rFonts w:ascii="Arial" w:hAnsi="Arial"/>
          <w:b/>
          <w:bCs/>
          <w:noProof w:val="0"/>
          <w:u w:val="single"/>
          <w:rtl/>
        </w:rPr>
      </w:pPr>
    </w:p>
    <w:p w14:paraId="4BF94635" w14:textId="77777777" w:rsidR="00015048" w:rsidRDefault="00015048">
      <w:pPr>
        <w:spacing w:line="360" w:lineRule="auto"/>
        <w:jc w:val="both"/>
        <w:rPr>
          <w:rtl/>
        </w:rPr>
      </w:pPr>
      <w:r>
        <w:rPr>
          <w:rFonts w:hint="cs"/>
          <w:rtl/>
        </w:rPr>
        <w:t>אני מסכים</w:t>
      </w:r>
    </w:p>
    <w:p w14:paraId="350748A4" w14:textId="77777777" w:rsidR="00015048" w:rsidRPr="00015048" w:rsidRDefault="00015048" w:rsidP="00DB2FD3">
      <w:pPr>
        <w:spacing w:line="360" w:lineRule="auto"/>
        <w:jc w:val="both"/>
        <w:rPr>
          <w:rtl/>
        </w:rPr>
      </w:pPr>
      <w:r>
        <w:rPr>
          <w:rtl/>
        </w:rPr>
        <w:tab/>
      </w:r>
      <w:r>
        <w:rPr>
          <w:rtl/>
        </w:rPr>
        <w:tab/>
      </w:r>
      <w:r>
        <w:rPr>
          <w:rtl/>
        </w:rPr>
        <w:tab/>
      </w:r>
      <w:r>
        <w:rPr>
          <w:rtl/>
        </w:rPr>
        <w:tab/>
      </w:r>
      <w:r>
        <w:rPr>
          <w:rtl/>
        </w:rPr>
        <w:tab/>
      </w:r>
      <w:r>
        <w:rPr>
          <w:rtl/>
        </w:rPr>
        <w:tab/>
      </w:r>
      <w:r>
        <w:rPr>
          <w:rtl/>
        </w:rPr>
        <w:tab/>
      </w:r>
      <w:r>
        <w:rPr>
          <w:rtl/>
        </w:rPr>
        <w:tab/>
      </w:r>
      <w:r>
        <w:rPr>
          <w:rtl/>
        </w:rPr>
        <w:tab/>
      </w:r>
    </w:p>
    <w:p w14:paraId="737A9497" w14:textId="77777777" w:rsidR="00694556" w:rsidRDefault="00015048">
      <w:pPr>
        <w:spacing w:line="360" w:lineRule="auto"/>
        <w:jc w:val="both"/>
        <w:rPr>
          <w:rFonts w:ascii="Arial" w:hAnsi="Arial"/>
          <w:noProof w:val="0"/>
          <w:rtl/>
        </w:rPr>
      </w:pPr>
      <w:r>
        <w:rPr>
          <w:rFonts w:ascii="Arial" w:hAnsi="Arial"/>
          <w:noProof w:val="0"/>
          <w:rtl/>
        </w:rPr>
        <w:tab/>
      </w:r>
      <w:r>
        <w:rPr>
          <w:rFonts w:ascii="Arial" w:hAnsi="Arial"/>
          <w:noProof w:val="0"/>
          <w:rtl/>
        </w:rPr>
        <w:tab/>
      </w:r>
      <w:r>
        <w:rPr>
          <w:rFonts w:ascii="Arial" w:hAnsi="Arial"/>
          <w:noProof w:val="0"/>
          <w:rtl/>
        </w:rPr>
        <w:tab/>
      </w:r>
      <w:r>
        <w:rPr>
          <w:rFonts w:ascii="Arial" w:hAnsi="Arial"/>
          <w:noProof w:val="0"/>
          <w:rtl/>
        </w:rPr>
        <w:tab/>
      </w:r>
      <w:r>
        <w:rPr>
          <w:rFonts w:ascii="Arial" w:hAnsi="Arial"/>
          <w:noProof w:val="0"/>
          <w:rtl/>
        </w:rPr>
        <w:tab/>
      </w:r>
      <w:r>
        <w:rPr>
          <w:rFonts w:ascii="Arial" w:hAnsi="Arial"/>
          <w:noProof w:val="0"/>
          <w:rtl/>
        </w:rPr>
        <w:tab/>
      </w:r>
      <w:r>
        <w:rPr>
          <w:rFonts w:ascii="Arial" w:hAnsi="Arial"/>
          <w:noProof w:val="0"/>
          <w:rtl/>
        </w:rPr>
        <w:tab/>
      </w:r>
      <w:r>
        <w:rPr>
          <w:rFonts w:ascii="Arial" w:hAnsi="Arial"/>
          <w:noProof w:val="0"/>
          <w:rtl/>
        </w:rPr>
        <w:tab/>
      </w:r>
      <w:r>
        <w:rPr>
          <w:rFonts w:ascii="Arial" w:hAnsi="Arial"/>
          <w:noProof w:val="0"/>
          <w:rtl/>
        </w:rPr>
        <w:tab/>
      </w:r>
      <w:r>
        <w:rPr>
          <w:rFonts w:ascii="Arial" w:hAnsi="Arial" w:hint="cs"/>
          <w:noProof w:val="0"/>
          <w:rtl/>
        </w:rPr>
        <w:t>________________</w:t>
      </w:r>
    </w:p>
    <w:p w14:paraId="40A35CF7" w14:textId="77777777" w:rsidR="00015048" w:rsidRDefault="00B93938">
      <w:pPr>
        <w:spacing w:line="360" w:lineRule="auto"/>
        <w:jc w:val="both"/>
        <w:rPr>
          <w:rFonts w:ascii="Arial" w:hAnsi="Arial"/>
          <w:noProof w:val="0"/>
          <w:rtl/>
        </w:rPr>
      </w:pPr>
      <w:r w:rsidRPr="00B93938">
        <w:rPr>
          <w:rFonts w:ascii="Arial" w:hAnsi="Arial"/>
          <w:noProof w:val="0"/>
          <w:color w:val="FFFFFF"/>
          <w:sz w:val="2"/>
          <w:szCs w:val="2"/>
          <w:rtl/>
        </w:rPr>
        <w:t>5129371</w:t>
      </w:r>
      <w:r w:rsidR="00015048">
        <w:rPr>
          <w:rFonts w:ascii="Arial" w:hAnsi="Arial"/>
          <w:noProof w:val="0"/>
          <w:rtl/>
        </w:rPr>
        <w:tab/>
      </w:r>
      <w:r w:rsidR="00015048">
        <w:rPr>
          <w:rFonts w:ascii="Arial" w:hAnsi="Arial"/>
          <w:noProof w:val="0"/>
          <w:rtl/>
        </w:rPr>
        <w:tab/>
      </w:r>
      <w:r w:rsidR="00015048">
        <w:rPr>
          <w:rFonts w:ascii="Arial" w:hAnsi="Arial"/>
          <w:noProof w:val="0"/>
          <w:rtl/>
        </w:rPr>
        <w:tab/>
      </w:r>
      <w:r w:rsidR="00015048">
        <w:rPr>
          <w:rFonts w:ascii="Arial" w:hAnsi="Arial"/>
          <w:noProof w:val="0"/>
          <w:rtl/>
        </w:rPr>
        <w:tab/>
      </w:r>
      <w:r w:rsidR="00015048">
        <w:rPr>
          <w:rFonts w:ascii="Arial" w:hAnsi="Arial"/>
          <w:noProof w:val="0"/>
          <w:rtl/>
        </w:rPr>
        <w:tab/>
      </w:r>
      <w:r w:rsidR="00015048">
        <w:rPr>
          <w:rFonts w:ascii="Arial" w:hAnsi="Arial"/>
          <w:noProof w:val="0"/>
          <w:rtl/>
        </w:rPr>
        <w:tab/>
      </w:r>
      <w:r w:rsidR="00015048">
        <w:rPr>
          <w:rFonts w:ascii="Arial" w:hAnsi="Arial"/>
          <w:noProof w:val="0"/>
          <w:rtl/>
        </w:rPr>
        <w:tab/>
      </w:r>
      <w:r w:rsidR="00015048">
        <w:rPr>
          <w:rFonts w:ascii="Arial" w:hAnsi="Arial"/>
          <w:noProof w:val="0"/>
          <w:rtl/>
        </w:rPr>
        <w:tab/>
      </w:r>
      <w:r w:rsidR="00015048">
        <w:rPr>
          <w:rFonts w:ascii="Arial" w:hAnsi="Arial"/>
          <w:noProof w:val="0"/>
          <w:rtl/>
        </w:rPr>
        <w:tab/>
      </w:r>
      <w:r w:rsidR="00015048">
        <w:rPr>
          <w:rFonts w:ascii="Arial" w:hAnsi="Arial" w:hint="cs"/>
          <w:noProof w:val="0"/>
          <w:rtl/>
        </w:rPr>
        <w:t>נפתלי שילה, שופט</w:t>
      </w:r>
    </w:p>
    <w:tbl>
      <w:tblPr>
        <w:bidiVisual/>
        <w:tblW w:w="10260" w:type="dxa"/>
        <w:tblInd w:w="-500" w:type="dxa"/>
        <w:tblLook w:val="01E0" w:firstRow="1" w:lastRow="1" w:firstColumn="1" w:lastColumn="1" w:noHBand="0" w:noVBand="0"/>
      </w:tblPr>
      <w:tblGrid>
        <w:gridCol w:w="3420"/>
        <w:gridCol w:w="3420"/>
        <w:gridCol w:w="3420"/>
      </w:tblGrid>
      <w:tr w:rsidR="00015048" w14:paraId="2D86255E" w14:textId="77777777" w:rsidTr="003D7BBA">
        <w:tc>
          <w:tcPr>
            <w:tcW w:w="3420" w:type="dxa"/>
            <w:shd w:val="clear" w:color="auto" w:fill="auto"/>
          </w:tcPr>
          <w:p w14:paraId="5632502A" w14:textId="77777777" w:rsidR="00015048" w:rsidRPr="003D7BBA" w:rsidRDefault="00B93938" w:rsidP="00B93938">
            <w:pPr>
              <w:jc w:val="right"/>
              <w:rPr>
                <w:rFonts w:cs="Times New Roman"/>
                <w:noProof w:val="0"/>
              </w:rPr>
            </w:pPr>
            <w:bookmarkStart w:id="8" w:name="Nitan"/>
            <w:r w:rsidRPr="00B93938">
              <w:rPr>
                <w:rFonts w:ascii="Arial" w:hAnsi="Arial"/>
                <w:noProof w:val="0"/>
                <w:color w:val="FFFFFF"/>
                <w:sz w:val="2"/>
                <w:szCs w:val="2"/>
                <w:rtl/>
              </w:rPr>
              <w:t>54678313</w:t>
            </w:r>
            <w:r>
              <w:rPr>
                <w:rFonts w:ascii="Arial" w:hAnsi="Arial"/>
                <w:noProof w:val="0"/>
                <w:rtl/>
              </w:rPr>
              <w:t xml:space="preserve">ניתן היום, י"ב טבת תש"פ, 09 ינואר 2020, בהעדר הצדדים. </w:t>
            </w:r>
            <w:bookmarkEnd w:id="8"/>
          </w:p>
        </w:tc>
        <w:tc>
          <w:tcPr>
            <w:tcW w:w="3420" w:type="dxa"/>
            <w:shd w:val="clear" w:color="auto" w:fill="auto"/>
          </w:tcPr>
          <w:p w14:paraId="633A2C54" w14:textId="77777777" w:rsidR="00015048" w:rsidRPr="003D7BBA" w:rsidRDefault="00015048" w:rsidP="003D7BBA">
            <w:pPr>
              <w:spacing w:line="360" w:lineRule="auto"/>
              <w:jc w:val="center"/>
              <w:rPr>
                <w:rFonts w:cs="FrankRuehl"/>
              </w:rPr>
            </w:pPr>
          </w:p>
          <w:p w14:paraId="49C380E2" w14:textId="77777777" w:rsidR="00015048" w:rsidRPr="003D7BBA" w:rsidRDefault="00015048" w:rsidP="003D7BBA">
            <w:pPr>
              <w:jc w:val="right"/>
              <w:rPr>
                <w:rFonts w:cs="Times New Roman"/>
                <w:rtl/>
              </w:rPr>
            </w:pPr>
          </w:p>
        </w:tc>
        <w:tc>
          <w:tcPr>
            <w:tcW w:w="3420" w:type="dxa"/>
            <w:shd w:val="clear" w:color="auto" w:fill="auto"/>
          </w:tcPr>
          <w:p w14:paraId="6C344D4B" w14:textId="77777777" w:rsidR="00015048" w:rsidRDefault="00015048" w:rsidP="003D7BBA">
            <w:pPr>
              <w:jc w:val="right"/>
            </w:pPr>
          </w:p>
        </w:tc>
      </w:tr>
      <w:tr w:rsidR="00015048" w14:paraId="36BB87A8" w14:textId="77777777" w:rsidTr="003D7BBA">
        <w:tc>
          <w:tcPr>
            <w:tcW w:w="3420" w:type="dxa"/>
            <w:shd w:val="clear" w:color="auto" w:fill="auto"/>
          </w:tcPr>
          <w:p w14:paraId="0E544904" w14:textId="77777777" w:rsidR="00015048" w:rsidRPr="003D7BBA" w:rsidRDefault="00015048" w:rsidP="003D7BBA">
            <w:pPr>
              <w:spacing w:line="360" w:lineRule="auto"/>
              <w:jc w:val="center"/>
              <w:rPr>
                <w:rFonts w:cs="FrankRuehl"/>
              </w:rPr>
            </w:pPr>
            <w:r w:rsidRPr="003D7BBA">
              <w:rPr>
                <w:rFonts w:cs="FrankRuehl"/>
                <w:rtl/>
              </w:rPr>
              <w:t>שאול  שוחט, שופט, סגן הנשיא</w:t>
            </w:r>
          </w:p>
        </w:tc>
        <w:tc>
          <w:tcPr>
            <w:tcW w:w="3420" w:type="dxa"/>
            <w:shd w:val="clear" w:color="auto" w:fill="auto"/>
          </w:tcPr>
          <w:p w14:paraId="5281C4F7" w14:textId="77777777" w:rsidR="00015048" w:rsidRPr="003D7BBA" w:rsidRDefault="00015048" w:rsidP="003D7BBA">
            <w:pPr>
              <w:spacing w:line="360" w:lineRule="auto"/>
              <w:jc w:val="center"/>
              <w:rPr>
                <w:rFonts w:cs="FrankRuehl"/>
                <w:rtl/>
              </w:rPr>
            </w:pPr>
            <w:r w:rsidRPr="003D7BBA">
              <w:rPr>
                <w:rFonts w:cs="FrankRuehl"/>
                <w:rtl/>
              </w:rPr>
              <w:t>עינת רביד, שופטת</w:t>
            </w:r>
          </w:p>
        </w:tc>
        <w:tc>
          <w:tcPr>
            <w:tcW w:w="3420" w:type="dxa"/>
            <w:shd w:val="clear" w:color="auto" w:fill="auto"/>
          </w:tcPr>
          <w:p w14:paraId="576E1F81" w14:textId="77777777" w:rsidR="00015048" w:rsidRPr="003D7BBA" w:rsidRDefault="00015048" w:rsidP="003D7BBA">
            <w:pPr>
              <w:spacing w:line="360" w:lineRule="auto"/>
              <w:jc w:val="center"/>
              <w:rPr>
                <w:rFonts w:cs="FrankRuehl"/>
                <w:rtl/>
              </w:rPr>
            </w:pPr>
            <w:r w:rsidRPr="003D7BBA">
              <w:rPr>
                <w:rFonts w:cs="FrankRuehl"/>
                <w:rtl/>
              </w:rPr>
              <w:t>נפתלי שילה, שופט</w:t>
            </w:r>
          </w:p>
        </w:tc>
      </w:tr>
    </w:tbl>
    <w:p w14:paraId="5350122B" w14:textId="77777777" w:rsidR="00694556" w:rsidRPr="00B93938" w:rsidRDefault="00694556" w:rsidP="00B93938">
      <w:pPr>
        <w:keepNext/>
        <w:spacing w:line="360" w:lineRule="auto"/>
        <w:rPr>
          <w:rFonts w:ascii="David" w:hAnsi="David" w:hint="cs"/>
          <w:noProof w:val="0"/>
          <w:color w:val="000000"/>
          <w:sz w:val="22"/>
          <w:szCs w:val="22"/>
          <w:rtl/>
        </w:rPr>
      </w:pPr>
    </w:p>
    <w:p w14:paraId="41D5E92B" w14:textId="77777777" w:rsidR="00B93938" w:rsidRPr="00B93938" w:rsidRDefault="00B93938" w:rsidP="00B93938">
      <w:pPr>
        <w:keepNext/>
        <w:spacing w:line="360" w:lineRule="auto"/>
        <w:rPr>
          <w:rFonts w:ascii="David" w:hAnsi="David"/>
          <w:noProof w:val="0"/>
          <w:color w:val="000000"/>
          <w:sz w:val="22"/>
          <w:szCs w:val="22"/>
          <w:rtl/>
        </w:rPr>
      </w:pPr>
      <w:r w:rsidRPr="00B93938">
        <w:rPr>
          <w:rFonts w:ascii="David" w:hAnsi="David"/>
          <w:noProof w:val="0"/>
          <w:color w:val="000000"/>
          <w:sz w:val="22"/>
          <w:szCs w:val="22"/>
          <w:rtl/>
        </w:rPr>
        <w:t>שאול שוחט 54678313</w:t>
      </w:r>
    </w:p>
    <w:p w14:paraId="465EDF87" w14:textId="77777777" w:rsidR="00B93938" w:rsidRDefault="00B93938" w:rsidP="00B93938">
      <w:pPr>
        <w:spacing w:line="360" w:lineRule="auto"/>
        <w:rPr>
          <w:rFonts w:ascii="Arial" w:hAnsi="Arial"/>
          <w:noProof w:val="0"/>
          <w:rtl/>
        </w:rPr>
      </w:pPr>
      <w:r w:rsidRPr="00B93938">
        <w:rPr>
          <w:rFonts w:ascii="Arial" w:hAnsi="Arial"/>
          <w:noProof w:val="0"/>
          <w:color w:val="000000"/>
          <w:rtl/>
        </w:rPr>
        <w:t>נוסח מסמך זה כפוף לשינויי ניסוח ועריכה</w:t>
      </w:r>
    </w:p>
    <w:p w14:paraId="40B20DC4" w14:textId="77777777" w:rsidR="00B93938" w:rsidRDefault="00B93938" w:rsidP="00B93938">
      <w:pPr>
        <w:spacing w:line="360" w:lineRule="auto"/>
        <w:rPr>
          <w:rFonts w:ascii="Arial" w:hAnsi="Arial"/>
          <w:noProof w:val="0"/>
          <w:rtl/>
        </w:rPr>
      </w:pPr>
    </w:p>
    <w:p w14:paraId="09C6FC3C" w14:textId="77777777" w:rsidR="00B93938" w:rsidRDefault="00B93938" w:rsidP="00B93938">
      <w:pPr>
        <w:spacing w:line="360" w:lineRule="auto"/>
        <w:jc w:val="center"/>
        <w:rPr>
          <w:rFonts w:ascii="Arial" w:hAnsi="Arial"/>
          <w:noProof w:val="0"/>
          <w:color w:val="0000FF"/>
          <w:u w:val="single"/>
          <w:rtl/>
        </w:rPr>
      </w:pPr>
      <w:hyperlink r:id="rId15" w:history="1">
        <w:r>
          <w:rPr>
            <w:rFonts w:ascii="Arial" w:hAnsi="Arial"/>
            <w:noProof w:val="0"/>
            <w:color w:val="0000FF"/>
            <w:u w:val="single"/>
            <w:rtl/>
          </w:rPr>
          <w:t>בעניין עריכה ושינויים במסמכי פסיקה, חקיקה ועוד באתר נבו – הקש כאן</w:t>
        </w:r>
      </w:hyperlink>
    </w:p>
    <w:p w14:paraId="31C75015" w14:textId="77777777" w:rsidR="00B93938" w:rsidRPr="00B93938" w:rsidRDefault="00B93938" w:rsidP="00B93938">
      <w:pPr>
        <w:spacing w:line="360" w:lineRule="auto"/>
        <w:jc w:val="center"/>
        <w:rPr>
          <w:rFonts w:ascii="Arial" w:hAnsi="Arial" w:hint="cs"/>
          <w:noProof w:val="0"/>
          <w:color w:val="0000FF"/>
          <w:u w:val="single"/>
          <w:rtl/>
        </w:rPr>
      </w:pPr>
    </w:p>
    <w:sectPr w:rsidR="00B93938" w:rsidRPr="00B93938" w:rsidSect="00B93938">
      <w:headerReference w:type="even" r:id="rId16"/>
      <w:headerReference w:type="default" r:id="rId17"/>
      <w:footerReference w:type="even" r:id="rId18"/>
      <w:footerReference w:type="default" r:id="rId19"/>
      <w:pgSz w:w="11907" w:h="16840" w:code="9"/>
      <w:pgMar w:top="1701" w:right="1701" w:bottom="2552" w:left="1701" w:header="720" w:footer="737" w:gutter="0"/>
      <w:pgNumType w:start="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D0A98" w14:textId="77777777" w:rsidR="002B60AC" w:rsidRDefault="002B60AC">
      <w:r>
        <w:separator/>
      </w:r>
    </w:p>
  </w:endnote>
  <w:endnote w:type="continuationSeparator" w:id="0">
    <w:p w14:paraId="090F4D1D" w14:textId="77777777" w:rsidR="002B60AC" w:rsidRDefault="002B6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01EB4" w14:textId="77777777" w:rsidR="00B93938" w:rsidRDefault="00B93938" w:rsidP="00B93938">
    <w:pPr>
      <w:pStyle w:val="a4"/>
      <w:jc w:val="center"/>
      <w:rPr>
        <w:rFonts w:ascii="FrankRuehl" w:hAnsi="FrankRuehl" w:cs="FrankRuehl"/>
      </w:rPr>
    </w:pPr>
    <w:r>
      <w:rPr>
        <w:rFonts w:ascii="FrankRuehl" w:hAnsi="FrankRuehl" w:cs="FrankRuehl"/>
        <w:rtl/>
      </w:rPr>
      <w:fldChar w:fldCharType="begin"/>
    </w:r>
    <w:r>
      <w:rPr>
        <w:rFonts w:ascii="FrankRuehl" w:hAnsi="FrankRuehl" w:cs="FrankRuehl"/>
        <w:rtl/>
      </w:rPr>
      <w:instrText xml:space="preserve"> </w:instrText>
    </w:r>
    <w:r>
      <w:rPr>
        <w:rFonts w:ascii="FrankRuehl" w:hAnsi="FrankRuehl" w:cs="FrankRuehl"/>
      </w:rPr>
      <w:instrText xml:space="preserve">PAGE </w:instrText>
    </w:r>
    <w:r>
      <w:rPr>
        <w:rFonts w:ascii="FrankRuehl" w:hAnsi="FrankRuehl" w:cs="FrankRuehl"/>
        <w:rtl/>
      </w:rPr>
      <w:instrText xml:space="preserve"> \* </w:instrText>
    </w:r>
    <w:r>
      <w:rPr>
        <w:rFonts w:ascii="FrankRuehl" w:hAnsi="FrankRuehl" w:cs="FrankRuehl"/>
      </w:rPr>
      <w:instrText>MERGEFORMAT</w:instrText>
    </w:r>
    <w:r>
      <w:rPr>
        <w:rFonts w:ascii="FrankRuehl" w:hAnsi="FrankRuehl" w:cs="FrankRuehl"/>
        <w:rtl/>
      </w:rPr>
      <w:instrText xml:space="preserve"> </w:instrText>
    </w:r>
    <w:r>
      <w:rPr>
        <w:rFonts w:ascii="FrankRuehl" w:hAnsi="FrankRuehl" w:cs="FrankRuehl"/>
        <w:rtl/>
      </w:rPr>
      <w:fldChar w:fldCharType="separate"/>
    </w:r>
    <w:r>
      <w:rPr>
        <w:rFonts w:ascii="FrankRuehl" w:hAnsi="FrankRuehl" w:cs="FrankRuehl"/>
        <w:rtl/>
      </w:rPr>
      <w:t>2</w:t>
    </w:r>
    <w:r>
      <w:rPr>
        <w:rFonts w:ascii="FrankRuehl" w:hAnsi="FrankRuehl" w:cs="FrankRuehl"/>
        <w:rtl/>
      </w:rPr>
      <w:fldChar w:fldCharType="end"/>
    </w:r>
  </w:p>
  <w:p w14:paraId="1AD6BEA1" w14:textId="36BB170C" w:rsidR="00B93938" w:rsidRPr="00B93938" w:rsidRDefault="000D5528" w:rsidP="00B93938">
    <w:pPr>
      <w:pStyle w:val="a4"/>
      <w:pBdr>
        <w:top w:val="single" w:sz="4" w:space="1" w:color="auto"/>
        <w:between w:val="single" w:sz="4" w:space="0" w:color="auto"/>
      </w:pBdr>
      <w:spacing w:after="60"/>
      <w:jc w:val="center"/>
      <w:rPr>
        <w:rFonts w:ascii="FrankRuehl" w:hAnsi="FrankRuehl" w:cs="FrankRuehl"/>
        <w:color w:val="000000"/>
      </w:rPr>
    </w:pPr>
    <w:r>
      <w:rPr>
        <w:rFonts w:ascii="FrankRuehl" w:hAnsi="FrankRuehl" w:cs="FrankRuehl"/>
        <w:color w:val="000000"/>
      </w:rPr>
      <w:drawing>
        <wp:inline distT="0" distB="0" distL="0" distR="0" wp14:anchorId="682D2815" wp14:editId="72A172B9">
          <wp:extent cx="556260" cy="2286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 cy="2286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F5353" w14:textId="77777777" w:rsidR="00B93938" w:rsidRDefault="00B93938" w:rsidP="00B93938">
    <w:pPr>
      <w:pStyle w:val="a4"/>
      <w:jc w:val="center"/>
      <w:rPr>
        <w:rStyle w:val="ab"/>
        <w:rFonts w:ascii="FrankRuehl" w:hAnsi="FrankRuehl" w:cs="FrankRuehl"/>
        <w:rtl/>
      </w:rPr>
    </w:pPr>
    <w:r>
      <w:rPr>
        <w:rStyle w:val="ab"/>
        <w:rFonts w:ascii="FrankRuehl" w:hAnsi="FrankRuehl" w:cs="FrankRuehl"/>
        <w:rtl/>
      </w:rPr>
      <w:fldChar w:fldCharType="begin"/>
    </w:r>
    <w:r>
      <w:rPr>
        <w:rStyle w:val="ab"/>
        <w:rFonts w:ascii="FrankRuehl" w:hAnsi="FrankRuehl" w:cs="FrankRuehl"/>
        <w:rtl/>
      </w:rPr>
      <w:instrText xml:space="preserve"> </w:instrText>
    </w:r>
    <w:r>
      <w:rPr>
        <w:rStyle w:val="ab"/>
        <w:rFonts w:ascii="FrankRuehl" w:hAnsi="FrankRuehl" w:cs="FrankRuehl" w:hint="cs"/>
      </w:rPr>
      <w:instrText xml:space="preserve">PAGE </w:instrText>
    </w:r>
    <w:r>
      <w:rPr>
        <w:rStyle w:val="ab"/>
        <w:rFonts w:ascii="FrankRuehl" w:hAnsi="FrankRuehl" w:cs="FrankRuehl" w:hint="cs"/>
        <w:rtl/>
      </w:rPr>
      <w:instrText xml:space="preserve"> \* </w:instrText>
    </w:r>
    <w:r>
      <w:rPr>
        <w:rStyle w:val="ab"/>
        <w:rFonts w:ascii="FrankRuehl" w:hAnsi="FrankRuehl" w:cs="FrankRuehl" w:hint="cs"/>
      </w:rPr>
      <w:instrText>MERGEFORMAT</w:instrText>
    </w:r>
    <w:r>
      <w:rPr>
        <w:rStyle w:val="ab"/>
        <w:rFonts w:ascii="FrankRuehl" w:hAnsi="FrankRuehl" w:cs="FrankRuehl"/>
        <w:rtl/>
      </w:rPr>
      <w:instrText xml:space="preserve"> </w:instrText>
    </w:r>
    <w:r>
      <w:rPr>
        <w:rStyle w:val="ab"/>
        <w:rFonts w:ascii="FrankRuehl" w:hAnsi="FrankRuehl" w:cs="FrankRuehl"/>
        <w:rtl/>
      </w:rPr>
      <w:fldChar w:fldCharType="separate"/>
    </w:r>
    <w:r w:rsidR="002C2D20">
      <w:rPr>
        <w:rStyle w:val="ab"/>
        <w:rFonts w:ascii="FrankRuehl" w:hAnsi="FrankRuehl" w:cs="FrankRuehl"/>
        <w:rtl/>
      </w:rPr>
      <w:t>1</w:t>
    </w:r>
    <w:r>
      <w:rPr>
        <w:rStyle w:val="ab"/>
        <w:rFonts w:ascii="FrankRuehl" w:hAnsi="FrankRuehl" w:cs="FrankRuehl"/>
        <w:rtl/>
      </w:rPr>
      <w:fldChar w:fldCharType="end"/>
    </w:r>
  </w:p>
  <w:p w14:paraId="7A2C8059" w14:textId="731F4C93" w:rsidR="00694556" w:rsidRPr="00B93938" w:rsidRDefault="000D5528" w:rsidP="00B93938">
    <w:pPr>
      <w:pStyle w:val="a4"/>
      <w:pBdr>
        <w:top w:val="single" w:sz="4" w:space="1" w:color="auto"/>
        <w:between w:val="single" w:sz="4" w:space="0" w:color="auto"/>
      </w:pBdr>
      <w:spacing w:after="60"/>
      <w:jc w:val="center"/>
      <w:rPr>
        <w:rStyle w:val="ab"/>
        <w:rFonts w:ascii="FrankRuehl" w:hAnsi="FrankRuehl" w:cs="FrankRuehl" w:hint="cs"/>
        <w:color w:val="000000"/>
        <w:rtl/>
      </w:rPr>
    </w:pPr>
    <w:r>
      <w:rPr>
        <w:rStyle w:val="ab"/>
        <w:rFonts w:ascii="FrankRuehl" w:hAnsi="FrankRuehl" w:cs="FrankRuehl" w:hint="cs"/>
        <w:color w:val="000000"/>
      </w:rPr>
      <w:drawing>
        <wp:inline distT="0" distB="0" distL="0" distR="0" wp14:anchorId="1ECAFA00" wp14:editId="4D69E913">
          <wp:extent cx="556260" cy="2286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42964" w14:textId="77777777" w:rsidR="002B60AC" w:rsidRDefault="002B60AC">
      <w:r>
        <w:separator/>
      </w:r>
    </w:p>
  </w:footnote>
  <w:footnote w:type="continuationSeparator" w:id="0">
    <w:p w14:paraId="4917A877" w14:textId="77777777" w:rsidR="002B60AC" w:rsidRDefault="002B6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A8E7" w14:textId="77777777" w:rsidR="00B93938" w:rsidRPr="00B93938" w:rsidRDefault="00B93938" w:rsidP="00B93938">
    <w:pPr>
      <w:pStyle w:val="a3"/>
      <w:pBdr>
        <w:bottom w:val="single" w:sz="4" w:space="1" w:color="auto"/>
      </w:pBdr>
      <w:tabs>
        <w:tab w:val="clear" w:pos="4153"/>
        <w:tab w:val="clear" w:pos="8306"/>
        <w:tab w:val="right" w:pos="8311"/>
      </w:tabs>
      <w:spacing w:line="220" w:lineRule="exact"/>
      <w:rPr>
        <w:rFonts w:ascii="David" w:hAnsi="David"/>
        <w:color w:val="000000"/>
        <w:sz w:val="22"/>
        <w:szCs w:val="22"/>
        <w:rtl/>
      </w:rPr>
    </w:pPr>
    <w:r>
      <w:rPr>
        <w:rFonts w:ascii="David" w:hAnsi="David"/>
        <w:color w:val="000000"/>
        <w:sz w:val="22"/>
        <w:szCs w:val="22"/>
        <w:rtl/>
      </w:rPr>
      <w:t>עמש (ת"א) 15595-09-19</w:t>
    </w:r>
    <w:r>
      <w:rPr>
        <w:rFonts w:ascii="David" w:hAnsi="David"/>
        <w:color w:val="000000"/>
        <w:sz w:val="22"/>
        <w:szCs w:val="22"/>
        <w:rtl/>
      </w:rPr>
      <w:tab/>
      <w:t xml:space="preserve"> ד' ב' נ' ת' 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84EA5" w14:textId="77777777" w:rsidR="00694556" w:rsidRPr="00B93938" w:rsidRDefault="00B93938" w:rsidP="00B93938">
    <w:pPr>
      <w:pStyle w:val="a3"/>
      <w:pBdr>
        <w:bottom w:val="single" w:sz="4" w:space="1" w:color="auto"/>
      </w:pBdr>
      <w:tabs>
        <w:tab w:val="clear" w:pos="4153"/>
        <w:tab w:val="clear" w:pos="8306"/>
        <w:tab w:val="right" w:pos="8311"/>
      </w:tabs>
      <w:spacing w:line="220" w:lineRule="exact"/>
      <w:rPr>
        <w:rFonts w:ascii="David" w:hAnsi="David"/>
        <w:color w:val="000000"/>
        <w:sz w:val="22"/>
        <w:szCs w:val="22"/>
        <w:rtl/>
      </w:rPr>
    </w:pPr>
    <w:r>
      <w:rPr>
        <w:rFonts w:ascii="David" w:hAnsi="David"/>
        <w:color w:val="000000"/>
        <w:sz w:val="22"/>
        <w:szCs w:val="22"/>
        <w:rtl/>
      </w:rPr>
      <w:t>עמש (ת"א) 15595-09-19</w:t>
    </w:r>
    <w:r>
      <w:rPr>
        <w:rFonts w:ascii="David" w:hAnsi="David"/>
        <w:color w:val="000000"/>
        <w:sz w:val="22"/>
        <w:szCs w:val="22"/>
        <w:rtl/>
      </w:rPr>
      <w:tab/>
      <w:t xml:space="preserve"> ד' ב' נ' ת' 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yInfo" w:val="This document was extracted from Nevo's site"/>
  </w:docVars>
  <w:rsids>
    <w:rsidRoot w:val="00694556"/>
    <w:rsid w:val="00000062"/>
    <w:rsid w:val="0000226B"/>
    <w:rsid w:val="00005C8B"/>
    <w:rsid w:val="00015048"/>
    <w:rsid w:val="000564AB"/>
    <w:rsid w:val="00064FBD"/>
    <w:rsid w:val="0006637F"/>
    <w:rsid w:val="00066A01"/>
    <w:rsid w:val="00082AB2"/>
    <w:rsid w:val="00096AF7"/>
    <w:rsid w:val="000A7C11"/>
    <w:rsid w:val="000B344B"/>
    <w:rsid w:val="000C3B0F"/>
    <w:rsid w:val="000C3B60"/>
    <w:rsid w:val="000D4B26"/>
    <w:rsid w:val="000D5528"/>
    <w:rsid w:val="000E3AF1"/>
    <w:rsid w:val="000F0BC8"/>
    <w:rsid w:val="000F0DD6"/>
    <w:rsid w:val="00107E6D"/>
    <w:rsid w:val="0011194C"/>
    <w:rsid w:val="0011424C"/>
    <w:rsid w:val="001367BC"/>
    <w:rsid w:val="00144D2A"/>
    <w:rsid w:val="0014653E"/>
    <w:rsid w:val="00180519"/>
    <w:rsid w:val="00191C82"/>
    <w:rsid w:val="001A3EC3"/>
    <w:rsid w:val="001C4003"/>
    <w:rsid w:val="001D4DBF"/>
    <w:rsid w:val="001E75CA"/>
    <w:rsid w:val="002265FF"/>
    <w:rsid w:val="00242F3E"/>
    <w:rsid w:val="00287CDB"/>
    <w:rsid w:val="002A410C"/>
    <w:rsid w:val="002A771A"/>
    <w:rsid w:val="002B60AC"/>
    <w:rsid w:val="002C2D20"/>
    <w:rsid w:val="002C344E"/>
    <w:rsid w:val="002F5799"/>
    <w:rsid w:val="00307A6A"/>
    <w:rsid w:val="00307C40"/>
    <w:rsid w:val="00320433"/>
    <w:rsid w:val="003230C7"/>
    <w:rsid w:val="00327E50"/>
    <w:rsid w:val="0033597A"/>
    <w:rsid w:val="00357A78"/>
    <w:rsid w:val="00362612"/>
    <w:rsid w:val="003658C8"/>
    <w:rsid w:val="0036743F"/>
    <w:rsid w:val="003715DD"/>
    <w:rsid w:val="003823E0"/>
    <w:rsid w:val="003A4521"/>
    <w:rsid w:val="003B61B6"/>
    <w:rsid w:val="003D1C8C"/>
    <w:rsid w:val="003D7BBA"/>
    <w:rsid w:val="0040096C"/>
    <w:rsid w:val="00414F1F"/>
    <w:rsid w:val="0043125D"/>
    <w:rsid w:val="0043502B"/>
    <w:rsid w:val="004443AC"/>
    <w:rsid w:val="004756D5"/>
    <w:rsid w:val="004C49B7"/>
    <w:rsid w:val="004C4BDF"/>
    <w:rsid w:val="004D1187"/>
    <w:rsid w:val="004E1987"/>
    <w:rsid w:val="004E6E3C"/>
    <w:rsid w:val="00520898"/>
    <w:rsid w:val="00524986"/>
    <w:rsid w:val="005268F6"/>
    <w:rsid w:val="00532731"/>
    <w:rsid w:val="00547DB7"/>
    <w:rsid w:val="0055116C"/>
    <w:rsid w:val="005744D1"/>
    <w:rsid w:val="005F4F09"/>
    <w:rsid w:val="00601D01"/>
    <w:rsid w:val="0061431B"/>
    <w:rsid w:val="00622821"/>
    <w:rsid w:val="00622BAA"/>
    <w:rsid w:val="006306CF"/>
    <w:rsid w:val="00631B8E"/>
    <w:rsid w:val="00671BD5"/>
    <w:rsid w:val="006805C1"/>
    <w:rsid w:val="00686C21"/>
    <w:rsid w:val="006931C1"/>
    <w:rsid w:val="00694556"/>
    <w:rsid w:val="006D3B31"/>
    <w:rsid w:val="006E1A53"/>
    <w:rsid w:val="00704EDA"/>
    <w:rsid w:val="00721122"/>
    <w:rsid w:val="0073276F"/>
    <w:rsid w:val="00753019"/>
    <w:rsid w:val="00795365"/>
    <w:rsid w:val="007A15E5"/>
    <w:rsid w:val="007C7430"/>
    <w:rsid w:val="007E6115"/>
    <w:rsid w:val="007F4609"/>
    <w:rsid w:val="0080021B"/>
    <w:rsid w:val="008176A1"/>
    <w:rsid w:val="00820005"/>
    <w:rsid w:val="00844318"/>
    <w:rsid w:val="00870890"/>
    <w:rsid w:val="00873602"/>
    <w:rsid w:val="00875D12"/>
    <w:rsid w:val="008831CA"/>
    <w:rsid w:val="00896889"/>
    <w:rsid w:val="008C4541"/>
    <w:rsid w:val="008C5714"/>
    <w:rsid w:val="008D10B2"/>
    <w:rsid w:val="00903896"/>
    <w:rsid w:val="00906F3D"/>
    <w:rsid w:val="009622DF"/>
    <w:rsid w:val="00967DFF"/>
    <w:rsid w:val="009826DF"/>
    <w:rsid w:val="00994341"/>
    <w:rsid w:val="009A21F9"/>
    <w:rsid w:val="009E7C18"/>
    <w:rsid w:val="009F323C"/>
    <w:rsid w:val="00A3392B"/>
    <w:rsid w:val="00A94B64"/>
    <w:rsid w:val="00AA3229"/>
    <w:rsid w:val="00AA7596"/>
    <w:rsid w:val="00AB5E52"/>
    <w:rsid w:val="00AC3B02"/>
    <w:rsid w:val="00AC3B7B"/>
    <w:rsid w:val="00AC5209"/>
    <w:rsid w:val="00AE68A9"/>
    <w:rsid w:val="00AE7752"/>
    <w:rsid w:val="00AF7FDA"/>
    <w:rsid w:val="00B10367"/>
    <w:rsid w:val="00B651C5"/>
    <w:rsid w:val="00B80CBD"/>
    <w:rsid w:val="00B86096"/>
    <w:rsid w:val="00B93938"/>
    <w:rsid w:val="00BA517C"/>
    <w:rsid w:val="00BB3D05"/>
    <w:rsid w:val="00BB73BE"/>
    <w:rsid w:val="00BE05B2"/>
    <w:rsid w:val="00BE325B"/>
    <w:rsid w:val="00BF1908"/>
    <w:rsid w:val="00BF38BB"/>
    <w:rsid w:val="00BF46A9"/>
    <w:rsid w:val="00C22D93"/>
    <w:rsid w:val="00C31120"/>
    <w:rsid w:val="00C34482"/>
    <w:rsid w:val="00C40BE1"/>
    <w:rsid w:val="00C50A9F"/>
    <w:rsid w:val="00C60047"/>
    <w:rsid w:val="00C6285C"/>
    <w:rsid w:val="00C63E82"/>
    <w:rsid w:val="00C642FA"/>
    <w:rsid w:val="00CC1597"/>
    <w:rsid w:val="00CC7054"/>
    <w:rsid w:val="00CC7622"/>
    <w:rsid w:val="00D27982"/>
    <w:rsid w:val="00D33B86"/>
    <w:rsid w:val="00D413E2"/>
    <w:rsid w:val="00D452C9"/>
    <w:rsid w:val="00D47D51"/>
    <w:rsid w:val="00D53924"/>
    <w:rsid w:val="00D55D0C"/>
    <w:rsid w:val="00D62874"/>
    <w:rsid w:val="00D66D66"/>
    <w:rsid w:val="00D96D8C"/>
    <w:rsid w:val="00DA6649"/>
    <w:rsid w:val="00DB2FD3"/>
    <w:rsid w:val="00DC1259"/>
    <w:rsid w:val="00DC2571"/>
    <w:rsid w:val="00DC487C"/>
    <w:rsid w:val="00DD6AD3"/>
    <w:rsid w:val="00DE6BF6"/>
    <w:rsid w:val="00E25884"/>
    <w:rsid w:val="00E31C2B"/>
    <w:rsid w:val="00E5426A"/>
    <w:rsid w:val="00E54642"/>
    <w:rsid w:val="00EC37E9"/>
    <w:rsid w:val="00F11473"/>
    <w:rsid w:val="00F13623"/>
    <w:rsid w:val="00F45A11"/>
    <w:rsid w:val="00F51808"/>
    <w:rsid w:val="00F84B6D"/>
    <w:rsid w:val="00FA5FDA"/>
    <w:rsid w:val="00FB73EF"/>
    <w:rsid w:val="00FD1419"/>
    <w:rsid w:val="00FD791E"/>
    <w:rsid w:val="00FD79E4"/>
    <w:rsid w:val="00FD7A63"/>
    <w:rsid w:val="00FE2894"/>
    <w:rsid w:val="00FE5635"/>
    <w:rsid w:val="00FF6C6D"/>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34EFC2D"/>
  <w15:chartTrackingRefBased/>
  <w15:docId w15:val="{100D2ED2-4862-4C85-AC86-C65875E8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uiPriority w:val="99"/>
    <w:semiHidden/>
    <w:rsid w:val="003230C7"/>
    <w:rPr>
      <w:color w:val="808080"/>
    </w:rPr>
  </w:style>
  <w:style w:type="paragraph" w:styleId="ad">
    <w:name w:val="List Paragraph"/>
    <w:basedOn w:val="a"/>
    <w:uiPriority w:val="34"/>
    <w:qFormat/>
    <w:rsid w:val="00015048"/>
    <w:pPr>
      <w:ind w:left="720"/>
      <w:contextualSpacing/>
    </w:pPr>
  </w:style>
  <w:style w:type="character" w:styleId="Hyperlink">
    <w:name w:val="Hyperlink"/>
    <w:unhideWhenUsed/>
    <w:rsid w:val="00B9393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008762">
      <w:bodyDiv w:val="1"/>
      <w:marLeft w:val="0"/>
      <w:marRight w:val="0"/>
      <w:marTop w:val="0"/>
      <w:marBottom w:val="0"/>
      <w:divBdr>
        <w:top w:val="none" w:sz="0" w:space="0" w:color="auto"/>
        <w:left w:val="none" w:sz="0" w:space="0" w:color="auto"/>
        <w:bottom w:val="none" w:sz="0" w:space="0" w:color="auto"/>
        <w:right w:val="none" w:sz="0" w:space="0" w:color="auto"/>
      </w:divBdr>
    </w:div>
    <w:div w:id="663434414">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www.nevo.co.il/law/70325/33a" TargetMode="External"/><Relationship Id="rId13" Type="http://schemas.openxmlformats.org/officeDocument/2006/relationships/hyperlink" Target="http://www.nevo.co.il/law/70325/33a"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nevo.co.il/law/70325" TargetMode="External"/><Relationship Id="rId12" Type="http://schemas.openxmlformats.org/officeDocument/2006/relationships/hyperlink" Target="http://www.nevo.co.il/law/70325/33a.4"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hyperlink" Target="http://www.nevo.co.il/law/70325/33a" TargetMode="External"/><Relationship Id="rId5" Type="http://schemas.openxmlformats.org/officeDocument/2006/relationships/footnotes" Target="footnotes.xml"/><Relationship Id="rId15" Type="http://schemas.openxmlformats.org/officeDocument/2006/relationships/hyperlink" Target="http://www.nevo.co.il/advertisements/nevo-100.doc" TargetMode="External"/><Relationship Id="rId10" Type="http://schemas.openxmlformats.org/officeDocument/2006/relationships/hyperlink" Target="http://www.nevo.co.il/law/70325"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nevo.co.il/law/70325/33a.4" TargetMode="External"/><Relationship Id="rId14" Type="http://schemas.openxmlformats.org/officeDocument/2006/relationships/hyperlink" Target="http://www.nevo.co.il/law/70325/33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1099</Words>
  <Characters>5500</Characters>
  <Application>Microsoft Office Word</Application>
  <DocSecurity>0</DocSecurity>
  <Lines>45</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nevo.co.il</vt:lpstr>
      <vt:lpstr>nevo.co.il</vt:lpstr>
    </vt:vector>
  </TitlesOfParts>
  <Company> </Company>
  <LinksUpToDate>false</LinksUpToDate>
  <CharactersWithSpaces>6586</CharactersWithSpaces>
  <SharedDoc>false</SharedDoc>
  <HLinks>
    <vt:vector size="54" baseType="variant">
      <vt:variant>
        <vt:i4>393283</vt:i4>
      </vt:variant>
      <vt:variant>
        <vt:i4>24</vt:i4>
      </vt:variant>
      <vt:variant>
        <vt:i4>0</vt:i4>
      </vt:variant>
      <vt:variant>
        <vt:i4>5</vt:i4>
      </vt:variant>
      <vt:variant>
        <vt:lpwstr>http://www.nevo.co.il/advertisements/nevo-100.doc</vt:lpwstr>
      </vt:variant>
      <vt:variant>
        <vt:lpwstr/>
      </vt:variant>
      <vt:variant>
        <vt:i4>6553698</vt:i4>
      </vt:variant>
      <vt:variant>
        <vt:i4>21</vt:i4>
      </vt:variant>
      <vt:variant>
        <vt:i4>0</vt:i4>
      </vt:variant>
      <vt:variant>
        <vt:i4>5</vt:i4>
      </vt:variant>
      <vt:variant>
        <vt:lpwstr>http://www.nevo.co.il/law/70325/33a</vt:lpwstr>
      </vt:variant>
      <vt:variant>
        <vt:lpwstr/>
      </vt:variant>
      <vt:variant>
        <vt:i4>6553698</vt:i4>
      </vt:variant>
      <vt:variant>
        <vt:i4>18</vt:i4>
      </vt:variant>
      <vt:variant>
        <vt:i4>0</vt:i4>
      </vt:variant>
      <vt:variant>
        <vt:i4>5</vt:i4>
      </vt:variant>
      <vt:variant>
        <vt:lpwstr>http://www.nevo.co.il/law/70325/33a</vt:lpwstr>
      </vt:variant>
      <vt:variant>
        <vt:lpwstr/>
      </vt:variant>
      <vt:variant>
        <vt:i4>4849667</vt:i4>
      </vt:variant>
      <vt:variant>
        <vt:i4>15</vt:i4>
      </vt:variant>
      <vt:variant>
        <vt:i4>0</vt:i4>
      </vt:variant>
      <vt:variant>
        <vt:i4>5</vt:i4>
      </vt:variant>
      <vt:variant>
        <vt:lpwstr>http://www.nevo.co.il/law/70325/33a.4</vt:lpwstr>
      </vt:variant>
      <vt:variant>
        <vt:lpwstr/>
      </vt:variant>
      <vt:variant>
        <vt:i4>6553698</vt:i4>
      </vt:variant>
      <vt:variant>
        <vt:i4>12</vt:i4>
      </vt:variant>
      <vt:variant>
        <vt:i4>0</vt:i4>
      </vt:variant>
      <vt:variant>
        <vt:i4>5</vt:i4>
      </vt:variant>
      <vt:variant>
        <vt:lpwstr>http://www.nevo.co.il/law/70325/33a</vt:lpwstr>
      </vt:variant>
      <vt:variant>
        <vt:lpwstr/>
      </vt:variant>
      <vt:variant>
        <vt:i4>7864420</vt:i4>
      </vt:variant>
      <vt:variant>
        <vt:i4>9</vt:i4>
      </vt:variant>
      <vt:variant>
        <vt:i4>0</vt:i4>
      </vt:variant>
      <vt:variant>
        <vt:i4>5</vt:i4>
      </vt:variant>
      <vt:variant>
        <vt:lpwstr>http://www.nevo.co.il/law/70325</vt:lpwstr>
      </vt:variant>
      <vt:variant>
        <vt:lpwstr/>
      </vt:variant>
      <vt:variant>
        <vt:i4>4849667</vt:i4>
      </vt:variant>
      <vt:variant>
        <vt:i4>6</vt:i4>
      </vt:variant>
      <vt:variant>
        <vt:i4>0</vt:i4>
      </vt:variant>
      <vt:variant>
        <vt:i4>5</vt:i4>
      </vt:variant>
      <vt:variant>
        <vt:lpwstr>http://www.nevo.co.il/law/70325/33a.4</vt:lpwstr>
      </vt:variant>
      <vt:variant>
        <vt:lpwstr/>
      </vt:variant>
      <vt:variant>
        <vt:i4>6553698</vt:i4>
      </vt:variant>
      <vt:variant>
        <vt:i4>3</vt:i4>
      </vt:variant>
      <vt:variant>
        <vt:i4>0</vt:i4>
      </vt:variant>
      <vt:variant>
        <vt:i4>5</vt:i4>
      </vt:variant>
      <vt:variant>
        <vt:lpwstr>http://www.nevo.co.il/law/70325/33a</vt:lpwstr>
      </vt:variant>
      <vt:variant>
        <vt:lpwstr/>
      </vt:variant>
      <vt:variant>
        <vt:i4>7864420</vt:i4>
      </vt:variant>
      <vt:variant>
        <vt:i4>0</vt:i4>
      </vt:variant>
      <vt:variant>
        <vt:i4>0</vt:i4>
      </vt:variant>
      <vt:variant>
        <vt:i4>5</vt:i4>
      </vt:variant>
      <vt:variant>
        <vt:lpwstr>http://www.nevo.co.il/law/70325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nevo.co.il</dc:title>
  <dc:subject> </dc:subject>
  <dc:creator>Meni Pshitizky</dc:creator>
  <cp:keywords/>
  <dc:description/>
  <cp:lastModifiedBy>Meni Pshitizky</cp:lastModifiedBy>
  <cp:revision>2</cp:revision>
  <dcterms:created xsi:type="dcterms:W3CDTF">2026-08-28T10:38:00Z</dcterms:created>
  <dcterms:modified xsi:type="dcterms:W3CDTF">2026-08-28T10:38:00Z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2</vt:lpwstr>
  </property>
  <property fmtid="{D5CDD505-2E9C-101B-9397-08002B2CF9AE}" pid="3" name="PSAKDIN">
    <vt:lpwstr>פסק-דין</vt:lpwstr>
  </property>
  <property fmtid="{D5CDD505-2E9C-101B-9397-08002B2CF9AE}" pid="4" name="NEWPROC">
    <vt:lpwstr>עמש</vt:lpwstr>
  </property>
  <property fmtid="{D5CDD505-2E9C-101B-9397-08002B2CF9AE}" pid="5" name="NEWPARTA">
    <vt:lpwstr>15595</vt:lpwstr>
  </property>
  <property fmtid="{D5CDD505-2E9C-101B-9397-08002B2CF9AE}" pid="6" name="NEWPARTB">
    <vt:lpwstr>09</vt:lpwstr>
  </property>
  <property fmtid="{D5CDD505-2E9C-101B-9397-08002B2CF9AE}" pid="7" name="NEWPARTC">
    <vt:lpwstr>19</vt:lpwstr>
  </property>
  <property fmtid="{D5CDD505-2E9C-101B-9397-08002B2CF9AE}" pid="8" name="APPELLANT">
    <vt:lpwstr>ד' ב'</vt:lpwstr>
  </property>
  <property fmtid="{D5CDD505-2E9C-101B-9397-08002B2CF9AE}" pid="9" name="APPELLEE">
    <vt:lpwstr>ת' ב';ח' ב';היועץ המשפטי לממשלה משרד הרווחה</vt:lpwstr>
  </property>
  <property fmtid="{D5CDD505-2E9C-101B-9397-08002B2CF9AE}" pid="10" name="LAWYER">
    <vt:lpwstr>אסף שובינסקי;רדליך</vt:lpwstr>
  </property>
  <property fmtid="{D5CDD505-2E9C-101B-9397-08002B2CF9AE}" pid="11" name="JUDGE">
    <vt:lpwstr>שאול שוחט;עינת רביד;נפתלי שילה</vt:lpwstr>
  </property>
  <property fmtid="{D5CDD505-2E9C-101B-9397-08002B2CF9AE}" pid="12" name="CITY">
    <vt:lpwstr>ת"א</vt:lpwstr>
  </property>
  <property fmtid="{D5CDD505-2E9C-101B-9397-08002B2CF9AE}" pid="13" name="DATE">
    <vt:lpwstr>20200109</vt:lpwstr>
  </property>
  <property fmtid="{D5CDD505-2E9C-101B-9397-08002B2CF9AE}" pid="14" name="TYPE_N_DATE">
    <vt:lpwstr>39020200109</vt:lpwstr>
  </property>
  <property fmtid="{D5CDD505-2E9C-101B-9397-08002B2CF9AE}" pid="15" name="WORDNUMPAGES">
    <vt:lpwstr>5</vt:lpwstr>
  </property>
  <property fmtid="{D5CDD505-2E9C-101B-9397-08002B2CF9AE}" pid="16" name="TYPE_ABS_DATE">
    <vt:lpwstr>390020200109</vt:lpwstr>
  </property>
  <property fmtid="{D5CDD505-2E9C-101B-9397-08002B2CF9AE}" pid="17" name="ISABSTRACT">
    <vt:lpwstr>Y</vt:lpwstr>
  </property>
  <property fmtid="{D5CDD505-2E9C-101B-9397-08002B2CF9AE}" pid="18" name="APPELLANT1">
    <vt:lpwstr/>
  </property>
  <property fmtid="{D5CDD505-2E9C-101B-9397-08002B2CF9AE}" pid="19" name="APPELLANT2">
    <vt:lpwstr/>
  </property>
  <property fmtid="{D5CDD505-2E9C-101B-9397-08002B2CF9AE}" pid="20" name="APPELLEE1">
    <vt:lpwstr/>
  </property>
  <property fmtid="{D5CDD505-2E9C-101B-9397-08002B2CF9AE}" pid="21" name="APPELLEE2">
    <vt:lpwstr/>
  </property>
  <property fmtid="{D5CDD505-2E9C-101B-9397-08002B2CF9AE}" pid="22" name="PROCESS">
    <vt:lpwstr/>
  </property>
  <property fmtid="{D5CDD505-2E9C-101B-9397-08002B2CF9AE}" pid="23" name="PROCNUM">
    <vt:lpwstr/>
  </property>
  <property fmtid="{D5CDD505-2E9C-101B-9397-08002B2CF9AE}" pid="24" name="PROCYEAR">
    <vt:lpwstr/>
  </property>
  <property fmtid="{D5CDD505-2E9C-101B-9397-08002B2CF9AE}" pid="25" name="VOLUME">
    <vt:lpwstr/>
  </property>
  <property fmtid="{D5CDD505-2E9C-101B-9397-08002B2CF9AE}" pid="26" name="PART">
    <vt:lpwstr/>
  </property>
  <property fmtid="{D5CDD505-2E9C-101B-9397-08002B2CF9AE}" pid="27" name="PAGE">
    <vt:lpwstr/>
  </property>
  <property fmtid="{D5CDD505-2E9C-101B-9397-08002B2CF9AE}" pid="28" name="PADIMAIL">
    <vt:lpwstr/>
  </property>
  <property fmtid="{D5CDD505-2E9C-101B-9397-08002B2CF9AE}" pid="29" name="DELEMATA">
    <vt:lpwstr/>
  </property>
  <property fmtid="{D5CDD505-2E9C-101B-9397-08002B2CF9AE}" pid="30" name="LINKK1">
    <vt:lpwstr/>
  </property>
  <property fmtid="{D5CDD505-2E9C-101B-9397-08002B2CF9AE}" pid="31" name="LINKK2">
    <vt:lpwstr/>
  </property>
  <property fmtid="{D5CDD505-2E9C-101B-9397-08002B2CF9AE}" pid="32" name="LINKK3">
    <vt:lpwstr/>
  </property>
  <property fmtid="{D5CDD505-2E9C-101B-9397-08002B2CF9AE}" pid="33" name="LINKK4">
    <vt:lpwstr/>
  </property>
  <property fmtid="{D5CDD505-2E9C-101B-9397-08002B2CF9AE}" pid="34" name="LINKK5">
    <vt:lpwstr/>
  </property>
  <property fmtid="{D5CDD505-2E9C-101B-9397-08002B2CF9AE}" pid="35" name="LAWLISTTMP1">
    <vt:lpwstr>70325/033a:3;033a.4</vt:lpwstr>
  </property>
</Properties>
</file>