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32" w:rsidRPr="003C5D32" w:rsidRDefault="003C5D32" w:rsidP="003208ED">
      <w:pPr>
        <w:pStyle w:val="HeadHatzaotHok"/>
        <w:keepNext w:val="0"/>
        <w:keepLines w:val="0"/>
        <w:rPr>
          <w:u w:val="single"/>
          <w:rtl/>
        </w:rPr>
      </w:pPr>
      <w:bookmarkStart w:id="0" w:name="_GoBack"/>
      <w:bookmarkEnd w:id="0"/>
      <w:r w:rsidRPr="003C5D32">
        <w:rPr>
          <w:rFonts w:hint="cs"/>
          <w:u w:val="single"/>
          <w:rtl/>
        </w:rPr>
        <w:t>צו פיקוח על מחירי מצרכים ושירותים (מחירים מרביים למוצרי נפט), התשנ"ו-1996</w:t>
      </w:r>
    </w:p>
    <w:p w:rsidR="003C5D32" w:rsidRDefault="003C5D32" w:rsidP="003C5D32">
      <w:pPr>
        <w:pStyle w:val="HeadHatzaotHok"/>
        <w:keepNext w:val="0"/>
        <w:keepLines w:val="0"/>
        <w:jc w:val="both"/>
        <w:rPr>
          <w:rtl/>
        </w:rPr>
      </w:pPr>
      <w:r>
        <w:rPr>
          <w:rFonts w:hint="cs"/>
          <w:rtl/>
        </w:rPr>
        <w:t xml:space="preserve">על פי החלטת הממשלה מיום 7 בינואר 1996 ובתוקף סמכותנו לפי סעיף 7(א) לחוק יציבות מחירים במצרכים ובשירותים (הוראת שעה), התשמ"ו-1985 (להלן </w:t>
      </w:r>
      <w:r>
        <w:rPr>
          <w:rtl/>
        </w:rPr>
        <w:t>–</w:t>
      </w:r>
      <w:r>
        <w:rPr>
          <w:rFonts w:hint="cs"/>
          <w:rtl/>
        </w:rPr>
        <w:t xml:space="preserve"> החוק), וסעיף 5 לחוק הפיקוח על מצרכים ושירותים, התשי"ח-1957, ובהתאם לסעיף 15(א)(1) לחוק אזור סחר חופשי באילת (פטורים והנחות ממסים), התשמ"ה-1985, אנו מצווים לאמור:</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3C5D32">
        <w:trPr>
          <w:cantSplit/>
          <w:trHeight w:val="60"/>
        </w:trPr>
        <w:tc>
          <w:tcPr>
            <w:tcW w:w="1871" w:type="dxa"/>
          </w:tcPr>
          <w:p w:rsidR="003C5D32" w:rsidRDefault="003C5D32">
            <w:pPr>
              <w:pStyle w:val="TableSideHeading"/>
              <w:keepLines w:val="0"/>
            </w:pPr>
          </w:p>
        </w:tc>
        <w:tc>
          <w:tcPr>
            <w:tcW w:w="624" w:type="dxa"/>
          </w:tcPr>
          <w:p w:rsidR="003C5D32" w:rsidRDefault="003C5D32">
            <w:pPr>
              <w:pStyle w:val="TableText"/>
              <w:keepLines w:val="0"/>
            </w:pPr>
          </w:p>
        </w:tc>
        <w:tc>
          <w:tcPr>
            <w:tcW w:w="7146" w:type="dxa"/>
            <w:gridSpan w:val="2"/>
          </w:tcPr>
          <w:p w:rsidR="003C5D32" w:rsidRPr="00C34DE2" w:rsidRDefault="003C5D32">
            <w:pPr>
              <w:pStyle w:val="TableHead"/>
              <w:keepLines w:val="0"/>
            </w:pPr>
          </w:p>
        </w:tc>
      </w:tr>
      <w:tr w:rsidR="003C5D32">
        <w:trPr>
          <w:cantSplit/>
          <w:trHeight w:val="60"/>
        </w:trPr>
        <w:tc>
          <w:tcPr>
            <w:tcW w:w="1871" w:type="dxa"/>
          </w:tcPr>
          <w:p w:rsidR="003C5D32" w:rsidRDefault="003C5D32" w:rsidP="007E751D">
            <w:pPr>
              <w:pStyle w:val="TableSideHeading"/>
              <w:keepLines w:val="0"/>
              <w:rPr>
                <w:rtl/>
              </w:rPr>
            </w:pPr>
            <w:r>
              <w:rPr>
                <w:rFonts w:hint="cs"/>
                <w:rtl/>
              </w:rPr>
              <w:t>מחירים מרביים</w:t>
            </w:r>
          </w:p>
          <w:p w:rsidR="00D30C50" w:rsidRPr="00D30C50" w:rsidRDefault="00D30C50" w:rsidP="007E751D">
            <w:pPr>
              <w:pStyle w:val="TableSideHeading"/>
              <w:keepLines w:val="0"/>
              <w:rPr>
                <w:szCs w:val="20"/>
              </w:rPr>
            </w:pPr>
            <w:r w:rsidRPr="00D30C50">
              <w:rPr>
                <w:rFonts w:hint="cs"/>
                <w:szCs w:val="20"/>
                <w:rtl/>
              </w:rPr>
              <w:t xml:space="preserve">תיקון </w:t>
            </w:r>
            <w:r w:rsidRPr="00D30C50">
              <w:rPr>
                <w:szCs w:val="20"/>
                <w:rtl/>
              </w:rPr>
              <w:t>–</w:t>
            </w:r>
            <w:r w:rsidRPr="00D30C50">
              <w:rPr>
                <w:rFonts w:hint="cs"/>
                <w:szCs w:val="20"/>
                <w:rtl/>
              </w:rPr>
              <w:t xml:space="preserve"> התשס"ב</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(בוטל)</w:t>
            </w:r>
          </w:p>
        </w:tc>
      </w:tr>
      <w:tr w:rsidR="003C5D32">
        <w:trPr>
          <w:cantSplit/>
          <w:trHeight w:val="60"/>
        </w:trPr>
        <w:tc>
          <w:tcPr>
            <w:tcW w:w="1871" w:type="dxa"/>
          </w:tcPr>
          <w:p w:rsidR="003C5D32" w:rsidRDefault="003C5D32" w:rsidP="007E751D">
            <w:pPr>
              <w:pStyle w:val="TableSideHeading"/>
              <w:keepLines w:val="0"/>
              <w:rPr>
                <w:rtl/>
              </w:rPr>
            </w:pPr>
            <w:r>
              <w:rPr>
                <w:rFonts w:hint="cs"/>
                <w:rtl/>
              </w:rPr>
              <w:t>עדכון מחירים מרביים</w:t>
            </w:r>
          </w:p>
          <w:p w:rsidR="00D30C50" w:rsidRDefault="00D30C50" w:rsidP="007E751D">
            <w:pPr>
              <w:pStyle w:val="TableSideHeading"/>
              <w:keepLines w:val="0"/>
            </w:pPr>
            <w:r w:rsidRPr="00D30C50">
              <w:rPr>
                <w:rFonts w:hint="cs"/>
                <w:szCs w:val="20"/>
                <w:rtl/>
              </w:rPr>
              <w:t xml:space="preserve">תיקון </w:t>
            </w:r>
            <w:r w:rsidRPr="00D30C50">
              <w:rPr>
                <w:szCs w:val="20"/>
                <w:rtl/>
              </w:rPr>
              <w:t>–</w:t>
            </w:r>
            <w:r w:rsidRPr="00D30C50">
              <w:rPr>
                <w:rFonts w:hint="cs"/>
                <w:szCs w:val="20"/>
                <w:rtl/>
              </w:rPr>
              <w:t xml:space="preserve"> התשס"ב</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D30C50">
            <w:pPr>
              <w:pStyle w:val="TableBlock"/>
            </w:pPr>
            <w:r>
              <w:rPr>
                <w:rFonts w:hint="cs"/>
                <w:rtl/>
              </w:rPr>
              <w:t>(בוטל)</w:t>
            </w:r>
          </w:p>
        </w:tc>
      </w:tr>
      <w:tr w:rsidR="003C5D32">
        <w:trPr>
          <w:cantSplit/>
          <w:trHeight w:val="60"/>
        </w:trPr>
        <w:tc>
          <w:tcPr>
            <w:tcW w:w="1871" w:type="dxa"/>
          </w:tcPr>
          <w:p w:rsidR="003C5D32" w:rsidRDefault="003C5D32" w:rsidP="007E751D">
            <w:pPr>
              <w:pStyle w:val="TableSideHeading"/>
              <w:keepLines w:val="0"/>
              <w:rPr>
                <w:rtl/>
              </w:rPr>
            </w:pPr>
            <w:r>
              <w:rPr>
                <w:rFonts w:hint="cs"/>
                <w:rtl/>
              </w:rPr>
              <w:t>מס ערך מוסף</w:t>
            </w:r>
          </w:p>
          <w:p w:rsidR="00D30C50" w:rsidRDefault="00D30C50" w:rsidP="007E751D">
            <w:pPr>
              <w:pStyle w:val="TableSideHeading"/>
              <w:keepLines w:val="0"/>
            </w:pPr>
            <w:r w:rsidRPr="00D30C50">
              <w:rPr>
                <w:rFonts w:hint="cs"/>
                <w:szCs w:val="20"/>
                <w:rtl/>
              </w:rPr>
              <w:t xml:space="preserve">תיקון </w:t>
            </w:r>
            <w:r w:rsidRPr="00D30C50">
              <w:rPr>
                <w:szCs w:val="20"/>
                <w:rtl/>
              </w:rPr>
              <w:t>–</w:t>
            </w:r>
            <w:r w:rsidRPr="00D30C50">
              <w:rPr>
                <w:rFonts w:hint="cs"/>
                <w:szCs w:val="20"/>
                <w:rtl/>
              </w:rPr>
              <w:t xml:space="preserve"> התשס"ב</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(בוטל)</w:t>
            </w:r>
          </w:p>
        </w:tc>
      </w:tr>
      <w:tr w:rsidR="003C5D32">
        <w:trPr>
          <w:cantSplit/>
          <w:trHeight w:val="60"/>
        </w:trPr>
        <w:tc>
          <w:tcPr>
            <w:tcW w:w="1871" w:type="dxa"/>
          </w:tcPr>
          <w:p w:rsidR="003C5D32" w:rsidRDefault="003C5D32" w:rsidP="007E751D">
            <w:pPr>
              <w:pStyle w:val="TableSideHeading"/>
              <w:keepLines w:val="0"/>
            </w:pPr>
            <w:r>
              <w:rPr>
                <w:rFonts w:hint="cs"/>
                <w:rtl/>
              </w:rPr>
              <w:t>חובת הסימון</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בעל משאבת דלק העוסק בה במכירת מוצרי נפט חייב לציין עליה, במקום נראה לעין, את סוגי מוצרי הנפט הנמכרים בה ואת מחירו של כל סוג וסוג.</w:t>
            </w:r>
          </w:p>
        </w:tc>
      </w:tr>
      <w:tr w:rsidR="003C5D32">
        <w:trPr>
          <w:cantSplit/>
          <w:trHeight w:val="60"/>
        </w:trPr>
        <w:tc>
          <w:tcPr>
            <w:tcW w:w="1871" w:type="dxa"/>
          </w:tcPr>
          <w:p w:rsidR="003C5D32" w:rsidRDefault="003C5D32" w:rsidP="007E751D">
            <w:pPr>
              <w:pStyle w:val="TableSideHeading"/>
              <w:keepLines w:val="0"/>
            </w:pPr>
            <w:r>
              <w:rPr>
                <w:rFonts w:hint="cs"/>
                <w:rtl/>
              </w:rPr>
              <w:t>קרוסין באריזות</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הוראות צו זה לא יחולו על מכירה של קרוסין (נפט) באריזות מוכנות מראש ועל מכירת קרוסין באמצעות מחלקי קרוסין עד ל- 250 ליטרים.</w:t>
            </w:r>
          </w:p>
        </w:tc>
      </w:tr>
      <w:tr w:rsidR="003C5D32">
        <w:trPr>
          <w:cantSplit/>
          <w:trHeight w:val="60"/>
        </w:trPr>
        <w:tc>
          <w:tcPr>
            <w:tcW w:w="1871" w:type="dxa"/>
          </w:tcPr>
          <w:p w:rsidR="003C5D32" w:rsidRDefault="003C5D32" w:rsidP="007E751D">
            <w:pPr>
              <w:pStyle w:val="TableSideHeading"/>
              <w:keepLines w:val="0"/>
            </w:pPr>
            <w:r>
              <w:rPr>
                <w:rFonts w:hint="cs"/>
                <w:rtl/>
              </w:rPr>
              <w:t>זמני פעולה של מיתקנים לאספקת מוצרי נפט</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 xml:space="preserve">המנהל או מי שהוא הסמיכו לכך, רשאי לקבוע את השעות שבהן יופעל מיתקן לאספקת מוצרי נפט או להורות על סגירת מיתקן כאמור, לתקופה שלא תעלה על 24 שעות; בסעיף זה, "מיתקן לאספקת מוצרי נפט" </w:t>
            </w:r>
            <w:r>
              <w:rPr>
                <w:rtl/>
              </w:rPr>
              <w:t>–</w:t>
            </w:r>
            <w:r>
              <w:rPr>
                <w:rFonts w:hint="cs"/>
                <w:rtl/>
              </w:rPr>
              <w:t xml:space="preserve"> מיתקן שבו מאוחסנים מוצרי נפט, לרבות נפט גלמי, בנזין, קרוסין, סולר, מזוט, גז, שמנים וכל חומר לוואי אחר הנוצר בתהליך של זיקוק נפט גלמי.</w:t>
            </w:r>
          </w:p>
        </w:tc>
      </w:tr>
      <w:tr w:rsidR="003C5D32">
        <w:trPr>
          <w:cantSplit/>
          <w:trHeight w:val="60"/>
        </w:trPr>
        <w:tc>
          <w:tcPr>
            <w:tcW w:w="1871" w:type="dxa"/>
          </w:tcPr>
          <w:p w:rsidR="003C5D32" w:rsidRDefault="003C5D32" w:rsidP="007E751D">
            <w:pPr>
              <w:pStyle w:val="TableSideHeading"/>
              <w:keepLines w:val="0"/>
            </w:pPr>
            <w:r>
              <w:rPr>
                <w:rFonts w:hint="cs"/>
                <w:rtl/>
              </w:rPr>
              <w:t>דלק לתדלוק מטוסים ואניות</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חברה המספקת דלק המיועד לתדלוק מטוסים של חברות תעופה אזרחיות וחברה המספקת סולר או מזוט המיועד לתדלוק אניות, תמציא למנהל, לפי דרישתו, תחשיב מפורט של המחיר אותו היא גובה מלקוחותיה, לפי מרכיבי העלות השונים.</w:t>
            </w:r>
          </w:p>
        </w:tc>
      </w:tr>
      <w:tr w:rsidR="003C5D32">
        <w:trPr>
          <w:cantSplit/>
          <w:trHeight w:val="60"/>
        </w:trPr>
        <w:tc>
          <w:tcPr>
            <w:tcW w:w="1871" w:type="dxa"/>
          </w:tcPr>
          <w:p w:rsidR="003C5D32" w:rsidRDefault="003C5D32" w:rsidP="007E751D">
            <w:pPr>
              <w:pStyle w:val="TableSideHeading"/>
              <w:keepLines w:val="0"/>
            </w:pPr>
            <w:r>
              <w:rPr>
                <w:rFonts w:hint="cs"/>
                <w:rtl/>
              </w:rPr>
              <w:t>שירותים נילווים לאספקת גז</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 xml:space="preserve">המחיר שגבה ספק גז מצרכן גז עבור גז , כולל גם שירותים נילווים לרבות - </w:t>
            </w:r>
          </w:p>
        </w:tc>
      </w:tr>
      <w:tr w:rsidR="00D30C50">
        <w:trPr>
          <w:cantSplit/>
          <w:trHeight w:val="60"/>
        </w:trPr>
        <w:tc>
          <w:tcPr>
            <w:tcW w:w="1871" w:type="dxa"/>
          </w:tcPr>
          <w:p w:rsidR="00D30C50" w:rsidRDefault="00D30C50">
            <w:pPr>
              <w:pStyle w:val="TableSideHeading"/>
            </w:pPr>
          </w:p>
        </w:tc>
        <w:tc>
          <w:tcPr>
            <w:tcW w:w="624" w:type="dxa"/>
          </w:tcPr>
          <w:p w:rsidR="00D30C50" w:rsidRDefault="00D30C50">
            <w:pPr>
              <w:pStyle w:val="TableText"/>
            </w:pPr>
          </w:p>
        </w:tc>
        <w:tc>
          <w:tcPr>
            <w:tcW w:w="624" w:type="dxa"/>
          </w:tcPr>
          <w:p w:rsidR="00D30C50" w:rsidRDefault="00D30C50">
            <w:pPr>
              <w:pStyle w:val="TableText"/>
            </w:pPr>
          </w:p>
        </w:tc>
        <w:tc>
          <w:tcPr>
            <w:tcW w:w="6522" w:type="dxa"/>
          </w:tcPr>
          <w:p w:rsidR="00D30C50" w:rsidRDefault="00C32A18" w:rsidP="00D30C50">
            <w:pPr>
              <w:pStyle w:val="TableBlock"/>
              <w:numPr>
                <w:ilvl w:val="0"/>
                <w:numId w:val="7"/>
              </w:numPr>
              <w:tabs>
                <w:tab w:val="left" w:pos="624"/>
              </w:tabs>
            </w:pPr>
            <w:r>
              <w:rPr>
                <w:rFonts w:hint="cs"/>
                <w:rtl/>
              </w:rPr>
              <w:t xml:space="preserve">שירות של ספק גז הניתן לפי קריאה של צרכן גז במקרה של דליפת גז, כמפורט בסעיף 2(א) לצו הפיקוח על מצרכים ושירותים (שירותי החזקה למיתקני גז), התשל"ה-1975 (להלן </w:t>
            </w:r>
            <w:r>
              <w:rPr>
                <w:rtl/>
              </w:rPr>
              <w:t>–</w:t>
            </w:r>
            <w:r>
              <w:rPr>
                <w:rFonts w:hint="cs"/>
                <w:rtl/>
              </w:rPr>
              <w:t xml:space="preserve"> צו הפיקוח);</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C32A18" w:rsidP="00D30C50">
            <w:pPr>
              <w:pStyle w:val="TableBlock"/>
              <w:numPr>
                <w:ilvl w:val="0"/>
                <w:numId w:val="7"/>
              </w:numPr>
              <w:tabs>
                <w:tab w:val="left" w:pos="624"/>
              </w:tabs>
            </w:pPr>
            <w:r>
              <w:rPr>
                <w:rFonts w:hint="cs"/>
                <w:rtl/>
              </w:rPr>
              <w:t>הובלת מכל הגז לבית הצרכן וחיבורו למיתקן הגז, כהגדרתו בצו הפיקוח;</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C32A18" w:rsidP="00D30C50">
            <w:pPr>
              <w:pStyle w:val="TableBlock"/>
              <w:numPr>
                <w:ilvl w:val="0"/>
                <w:numId w:val="7"/>
              </w:numPr>
              <w:tabs>
                <w:tab w:val="left" w:pos="624"/>
              </w:tabs>
            </w:pPr>
            <w:r>
              <w:rPr>
                <w:rFonts w:hint="cs"/>
                <w:rtl/>
              </w:rPr>
              <w:t xml:space="preserve">שירות הקשור להחלפת צינור הגז הגמיש המחבר את המכשיר הצורך </w:t>
            </w:r>
            <w:r w:rsidR="00296B64">
              <w:rPr>
                <w:rFonts w:hint="cs"/>
                <w:rtl/>
              </w:rPr>
              <w:t>בבית הצרכן עם מיתקן הגז כהגדרתו בצו הפיקוח, לרבות עלות הצינורית;</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296B64" w:rsidP="00D30C50">
            <w:pPr>
              <w:pStyle w:val="TableBlock"/>
              <w:numPr>
                <w:ilvl w:val="0"/>
                <w:numId w:val="7"/>
              </w:numPr>
              <w:tabs>
                <w:tab w:val="left" w:pos="624"/>
              </w:tabs>
            </w:pPr>
            <w:r>
              <w:rPr>
                <w:rFonts w:hint="cs"/>
                <w:rtl/>
              </w:rPr>
              <w:t>שירות הקשור להחלפת צינורית המחברת את מכלי הגז עם הווסת של מיתקן הגז, כהגדרתו בצו הפיקוח לרבות עלות הצינורית;</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296B64" w:rsidP="00D30C50">
            <w:pPr>
              <w:pStyle w:val="TableBlock"/>
              <w:numPr>
                <w:ilvl w:val="0"/>
                <w:numId w:val="7"/>
              </w:numPr>
              <w:tabs>
                <w:tab w:val="left" w:pos="624"/>
              </w:tabs>
            </w:pPr>
            <w:r>
              <w:rPr>
                <w:rFonts w:hint="cs"/>
                <w:rtl/>
              </w:rPr>
              <w:t>שירות הקשור בפירוק וסילוק של ציוד מושאל במקרה שבו החליט צרכן גז לנתק את הקשר עם ספק הגז;</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296B64" w:rsidP="00D30C50">
            <w:pPr>
              <w:pStyle w:val="TableBlock"/>
              <w:numPr>
                <w:ilvl w:val="0"/>
                <w:numId w:val="7"/>
              </w:numPr>
              <w:tabs>
                <w:tab w:val="left" w:pos="624"/>
              </w:tabs>
            </w:pPr>
            <w:r>
              <w:rPr>
                <w:rFonts w:hint="cs"/>
                <w:rtl/>
              </w:rPr>
              <w:t>שירות הקשור או כרוך בבדיקת מיתקן הגז כמפורט בתקן ישראלי ת"י 158;</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296B64" w:rsidP="00D30C50">
            <w:pPr>
              <w:pStyle w:val="TableBlock"/>
              <w:numPr>
                <w:ilvl w:val="0"/>
                <w:numId w:val="7"/>
              </w:numPr>
              <w:tabs>
                <w:tab w:val="left" w:pos="624"/>
              </w:tabs>
            </w:pPr>
            <w:r>
              <w:rPr>
                <w:rFonts w:hint="cs"/>
                <w:rtl/>
              </w:rPr>
              <w:t>שירות של בדיקה תקופתית של מכלי גז החייבת להיעשות לפי תקן ישראלי ת"י 70, לרבות תיקונים ותחזוקה נאותה של המכלים והברז המורכב במכל;</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296B64" w:rsidP="00D30C50">
            <w:pPr>
              <w:pStyle w:val="TableBlock"/>
              <w:numPr>
                <w:ilvl w:val="0"/>
                <w:numId w:val="7"/>
              </w:numPr>
              <w:tabs>
                <w:tab w:val="left" w:pos="624"/>
              </w:tabs>
            </w:pPr>
            <w:r>
              <w:rPr>
                <w:rFonts w:hint="cs"/>
                <w:rtl/>
              </w:rPr>
              <w:t>שירות הקשור בגביית חשבונות גז, לרבות עמלות הבנק;</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296B64" w:rsidP="00D30C50">
            <w:pPr>
              <w:pStyle w:val="TableBlock"/>
              <w:numPr>
                <w:ilvl w:val="0"/>
                <w:numId w:val="7"/>
              </w:numPr>
              <w:tabs>
                <w:tab w:val="left" w:pos="624"/>
              </w:tabs>
            </w:pPr>
            <w:r>
              <w:rPr>
                <w:rFonts w:hint="cs"/>
                <w:rtl/>
              </w:rPr>
              <w:t>תיקון ציוד גז שנמסר לשימוש צרכן גז כפקדון;</w:t>
            </w:r>
          </w:p>
        </w:tc>
      </w:tr>
      <w:tr w:rsidR="00D30C50">
        <w:trPr>
          <w:cantSplit/>
          <w:trHeight w:val="60"/>
        </w:trPr>
        <w:tc>
          <w:tcPr>
            <w:tcW w:w="1871" w:type="dxa"/>
          </w:tcPr>
          <w:p w:rsidR="00D30C50" w:rsidRDefault="00D30C50">
            <w:pPr>
              <w:pStyle w:val="TableSideHeading"/>
            </w:pPr>
          </w:p>
        </w:tc>
        <w:tc>
          <w:tcPr>
            <w:tcW w:w="624" w:type="dxa"/>
          </w:tcPr>
          <w:p w:rsidR="00D30C50" w:rsidRDefault="00D30C50" w:rsidP="00D30C50">
            <w:pPr>
              <w:pStyle w:val="TableText"/>
            </w:pPr>
          </w:p>
        </w:tc>
        <w:tc>
          <w:tcPr>
            <w:tcW w:w="624" w:type="dxa"/>
          </w:tcPr>
          <w:p w:rsidR="00D30C50" w:rsidRDefault="00D30C50">
            <w:pPr>
              <w:pStyle w:val="TableText"/>
            </w:pPr>
          </w:p>
        </w:tc>
        <w:tc>
          <w:tcPr>
            <w:tcW w:w="6522" w:type="dxa"/>
          </w:tcPr>
          <w:p w:rsidR="00D30C50" w:rsidRDefault="00296B64" w:rsidP="00D30C50">
            <w:pPr>
              <w:pStyle w:val="TableBlock"/>
              <w:numPr>
                <w:ilvl w:val="0"/>
                <w:numId w:val="7"/>
              </w:numPr>
              <w:tabs>
                <w:tab w:val="left" w:pos="624"/>
              </w:tabs>
            </w:pPr>
            <w:r>
              <w:rPr>
                <w:rFonts w:hint="cs"/>
                <w:rtl/>
              </w:rPr>
              <w:t>שירות של ביטוח כלל הצרכנים כנגד נזקים העשויים להיגרם להם, הכל כפי שיקבע המנהל.</w:t>
            </w:r>
          </w:p>
        </w:tc>
      </w:tr>
      <w:tr w:rsidR="003C5D32">
        <w:trPr>
          <w:cantSplit/>
          <w:trHeight w:val="60"/>
        </w:trPr>
        <w:tc>
          <w:tcPr>
            <w:tcW w:w="1871" w:type="dxa"/>
          </w:tcPr>
          <w:p w:rsidR="003C5D32" w:rsidRDefault="003C5D32" w:rsidP="007E751D">
            <w:pPr>
              <w:pStyle w:val="TableSideHeading"/>
              <w:keepLines w:val="0"/>
              <w:rPr>
                <w:rtl/>
              </w:rPr>
            </w:pPr>
            <w:r>
              <w:rPr>
                <w:rFonts w:hint="cs"/>
                <w:rtl/>
              </w:rPr>
              <w:t>עיגול סכומים</w:t>
            </w:r>
          </w:p>
          <w:p w:rsidR="00D30C50" w:rsidRDefault="00D30C50" w:rsidP="007E751D">
            <w:pPr>
              <w:pStyle w:val="TableSideHeading"/>
              <w:keepLines w:val="0"/>
            </w:pPr>
            <w:r w:rsidRPr="00D30C50">
              <w:rPr>
                <w:rFonts w:hint="cs"/>
                <w:szCs w:val="20"/>
                <w:rtl/>
              </w:rPr>
              <w:t xml:space="preserve">תיקון </w:t>
            </w:r>
            <w:r w:rsidRPr="00D30C50">
              <w:rPr>
                <w:szCs w:val="20"/>
                <w:rtl/>
              </w:rPr>
              <w:t>–</w:t>
            </w:r>
            <w:r w:rsidRPr="00D30C50">
              <w:rPr>
                <w:rFonts w:hint="cs"/>
                <w:szCs w:val="20"/>
                <w:rtl/>
              </w:rPr>
              <w:t xml:space="preserve"> התשס"ב</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D30C50" w:rsidP="007E751D">
            <w:pPr>
              <w:pStyle w:val="TableBlock"/>
              <w:keepLines w:val="0"/>
            </w:pPr>
            <w:r>
              <w:rPr>
                <w:rFonts w:hint="cs"/>
                <w:rtl/>
              </w:rPr>
              <w:t>(בוטל)</w:t>
            </w:r>
          </w:p>
        </w:tc>
      </w:tr>
      <w:tr w:rsidR="003C5D32">
        <w:trPr>
          <w:cantSplit/>
          <w:trHeight w:val="60"/>
        </w:trPr>
        <w:tc>
          <w:tcPr>
            <w:tcW w:w="1871" w:type="dxa"/>
          </w:tcPr>
          <w:p w:rsidR="003C5D32" w:rsidRDefault="003C5D32" w:rsidP="007E751D">
            <w:pPr>
              <w:pStyle w:val="TableSideHeading"/>
              <w:keepLines w:val="0"/>
            </w:pPr>
            <w:r>
              <w:rPr>
                <w:rFonts w:hint="cs"/>
                <w:rtl/>
              </w:rPr>
              <w:t>ביטול</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C32A18" w:rsidP="007E751D">
            <w:pPr>
              <w:pStyle w:val="TableBlock"/>
              <w:keepLines w:val="0"/>
            </w:pPr>
            <w:r>
              <w:rPr>
                <w:rFonts w:hint="cs"/>
                <w:rtl/>
              </w:rPr>
              <w:t xml:space="preserve">צו יציבות מחירים במצרכים ובשירותים (הוראת שעה) (מחירים מרביים למוצרי נפט), התשנ"ג-1992 </w:t>
            </w:r>
            <w:r>
              <w:rPr>
                <w:rtl/>
              </w:rPr>
              <w:t>–</w:t>
            </w:r>
            <w:r>
              <w:rPr>
                <w:rFonts w:hint="cs"/>
                <w:rtl/>
              </w:rPr>
              <w:t xml:space="preserve"> בטל.</w:t>
            </w:r>
          </w:p>
        </w:tc>
      </w:tr>
      <w:tr w:rsidR="003C5D32">
        <w:trPr>
          <w:cantSplit/>
          <w:trHeight w:val="60"/>
        </w:trPr>
        <w:tc>
          <w:tcPr>
            <w:tcW w:w="1871" w:type="dxa"/>
          </w:tcPr>
          <w:p w:rsidR="003C5D32" w:rsidRDefault="003C5D32" w:rsidP="007E751D">
            <w:pPr>
              <w:pStyle w:val="TableSideHeading"/>
              <w:keepLines w:val="0"/>
            </w:pPr>
            <w:r>
              <w:rPr>
                <w:rFonts w:hint="cs"/>
                <w:rtl/>
              </w:rPr>
              <w:t>תחילה</w:t>
            </w:r>
          </w:p>
        </w:tc>
        <w:tc>
          <w:tcPr>
            <w:tcW w:w="624" w:type="dxa"/>
          </w:tcPr>
          <w:p w:rsidR="003C5D32" w:rsidRDefault="003C5D32" w:rsidP="003C5D32">
            <w:pPr>
              <w:pStyle w:val="TableText"/>
              <w:keepLines w:val="0"/>
              <w:numPr>
                <w:ilvl w:val="0"/>
                <w:numId w:val="1"/>
              </w:numPr>
            </w:pPr>
          </w:p>
        </w:tc>
        <w:tc>
          <w:tcPr>
            <w:tcW w:w="7146" w:type="dxa"/>
            <w:gridSpan w:val="2"/>
          </w:tcPr>
          <w:p w:rsidR="003C5D32" w:rsidRPr="00C34DE2" w:rsidRDefault="00C32A18" w:rsidP="007E751D">
            <w:pPr>
              <w:pStyle w:val="TableBlock"/>
              <w:keepLines w:val="0"/>
            </w:pPr>
            <w:r>
              <w:rPr>
                <w:rFonts w:hint="cs"/>
                <w:rtl/>
              </w:rPr>
              <w:t>תחילתו של צו זה ביום ט"ו בטבת התשנ"ו (7 בינואר 1996).</w:t>
            </w:r>
          </w:p>
        </w:tc>
      </w:tr>
    </w:tbl>
    <w:p w:rsidR="003C5D32" w:rsidRDefault="003C5D32">
      <w:pPr>
        <w:pStyle w:val="HeadDivreiHesber"/>
        <w:rPr>
          <w:rtl/>
        </w:rPr>
      </w:pPr>
    </w:p>
    <w:p w:rsidR="003C5D32" w:rsidRDefault="00D30C50" w:rsidP="00D30C50">
      <w:pPr>
        <w:pStyle w:val="HeadDivreiHesber"/>
        <w:jc w:val="both"/>
      </w:pPr>
      <w:r>
        <w:rPr>
          <w:rFonts w:hint="cs"/>
        </w:rPr>
        <w:t xml:space="preserve"> </w:t>
      </w:r>
    </w:p>
    <w:p w:rsidR="00390FE7" w:rsidRDefault="00390FE7"/>
    <w:sectPr w:rsidR="00390FE7" w:rsidSect="0026138B">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CD73381"/>
    <w:multiLevelType w:val="hybridMultilevel"/>
    <w:tmpl w:val="3B78C3DC"/>
    <w:lvl w:ilvl="0" w:tplc="B9A0A90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6F1699"/>
    <w:multiLevelType w:val="hybridMultilevel"/>
    <w:tmpl w:val="3DBE315A"/>
    <w:lvl w:ilvl="0" w:tplc="F336088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97500"/>
    <w:multiLevelType w:val="hybridMultilevel"/>
    <w:tmpl w:val="858E04EA"/>
    <w:lvl w:ilvl="0" w:tplc="59962EC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32"/>
    <w:rsid w:val="00061EAA"/>
    <w:rsid w:val="0008314B"/>
    <w:rsid w:val="00092D15"/>
    <w:rsid w:val="000A18F1"/>
    <w:rsid w:val="000E4262"/>
    <w:rsid w:val="0017245C"/>
    <w:rsid w:val="001A5FC4"/>
    <w:rsid w:val="001E34CF"/>
    <w:rsid w:val="001F34D9"/>
    <w:rsid w:val="00216CA1"/>
    <w:rsid w:val="00217C1E"/>
    <w:rsid w:val="00217FC9"/>
    <w:rsid w:val="00223EC3"/>
    <w:rsid w:val="0026138B"/>
    <w:rsid w:val="0027034B"/>
    <w:rsid w:val="002738D8"/>
    <w:rsid w:val="00296B64"/>
    <w:rsid w:val="002A1F37"/>
    <w:rsid w:val="002A4EEC"/>
    <w:rsid w:val="002B5B4A"/>
    <w:rsid w:val="002C32C0"/>
    <w:rsid w:val="002E1D94"/>
    <w:rsid w:val="003102EC"/>
    <w:rsid w:val="003428EF"/>
    <w:rsid w:val="003475A7"/>
    <w:rsid w:val="003656EB"/>
    <w:rsid w:val="00390FE7"/>
    <w:rsid w:val="003C5D32"/>
    <w:rsid w:val="004166B2"/>
    <w:rsid w:val="004420E1"/>
    <w:rsid w:val="00447105"/>
    <w:rsid w:val="00463778"/>
    <w:rsid w:val="004A5B9C"/>
    <w:rsid w:val="004C438A"/>
    <w:rsid w:val="0052244F"/>
    <w:rsid w:val="005F1090"/>
    <w:rsid w:val="00603467"/>
    <w:rsid w:val="0061427D"/>
    <w:rsid w:val="006250AB"/>
    <w:rsid w:val="006802C3"/>
    <w:rsid w:val="006822A8"/>
    <w:rsid w:val="006A6641"/>
    <w:rsid w:val="006B1E0E"/>
    <w:rsid w:val="0073353F"/>
    <w:rsid w:val="007D34BB"/>
    <w:rsid w:val="007F7C78"/>
    <w:rsid w:val="00813A75"/>
    <w:rsid w:val="00840D8E"/>
    <w:rsid w:val="008748B0"/>
    <w:rsid w:val="00886B31"/>
    <w:rsid w:val="009177DC"/>
    <w:rsid w:val="00957FEE"/>
    <w:rsid w:val="00960F47"/>
    <w:rsid w:val="00961A66"/>
    <w:rsid w:val="009B1A8C"/>
    <w:rsid w:val="009C402B"/>
    <w:rsid w:val="009D79E6"/>
    <w:rsid w:val="009F0639"/>
    <w:rsid w:val="00A03E96"/>
    <w:rsid w:val="00A12F59"/>
    <w:rsid w:val="00A553C7"/>
    <w:rsid w:val="00A65368"/>
    <w:rsid w:val="00A84F22"/>
    <w:rsid w:val="00A94EC7"/>
    <w:rsid w:val="00AB2158"/>
    <w:rsid w:val="00AF0131"/>
    <w:rsid w:val="00B254B4"/>
    <w:rsid w:val="00B62BA1"/>
    <w:rsid w:val="00BB4C08"/>
    <w:rsid w:val="00C14680"/>
    <w:rsid w:val="00C17F31"/>
    <w:rsid w:val="00C26503"/>
    <w:rsid w:val="00C32A18"/>
    <w:rsid w:val="00C5065E"/>
    <w:rsid w:val="00CA0A27"/>
    <w:rsid w:val="00CC3DB4"/>
    <w:rsid w:val="00CD3110"/>
    <w:rsid w:val="00CE2D3C"/>
    <w:rsid w:val="00CF2E11"/>
    <w:rsid w:val="00CF2E6B"/>
    <w:rsid w:val="00D24BD6"/>
    <w:rsid w:val="00D30C50"/>
    <w:rsid w:val="00D468E9"/>
    <w:rsid w:val="00D70B8F"/>
    <w:rsid w:val="00D960B7"/>
    <w:rsid w:val="00DA7929"/>
    <w:rsid w:val="00DB1170"/>
    <w:rsid w:val="00DF1B2F"/>
    <w:rsid w:val="00DF538F"/>
    <w:rsid w:val="00E12C8F"/>
    <w:rsid w:val="00E147E8"/>
    <w:rsid w:val="00E34158"/>
    <w:rsid w:val="00E75F90"/>
    <w:rsid w:val="00E84E58"/>
    <w:rsid w:val="00E929B2"/>
    <w:rsid w:val="00F15592"/>
    <w:rsid w:val="00F33B78"/>
    <w:rsid w:val="00F37159"/>
    <w:rsid w:val="00F60C73"/>
    <w:rsid w:val="00F77769"/>
    <w:rsid w:val="00FB0833"/>
    <w:rsid w:val="00FB48C3"/>
    <w:rsid w:val="00FB731B"/>
    <w:rsid w:val="00FE23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88D20-F40B-482D-B943-725DA144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D32"/>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3C5D32"/>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3C5D32"/>
  </w:style>
  <w:style w:type="paragraph" w:customStyle="1" w:styleId="TableBlock">
    <w:name w:val="Table Block"/>
    <w:basedOn w:val="TableText"/>
    <w:rsid w:val="003C5D32"/>
    <w:pPr>
      <w:ind w:right="0"/>
      <w:jc w:val="both"/>
    </w:pPr>
  </w:style>
  <w:style w:type="paragraph" w:customStyle="1" w:styleId="TableHead">
    <w:name w:val="Table Head"/>
    <w:basedOn w:val="TableText"/>
    <w:rsid w:val="003C5D32"/>
    <w:pPr>
      <w:ind w:right="0"/>
      <w:jc w:val="center"/>
    </w:pPr>
    <w:rPr>
      <w:b/>
      <w:bCs/>
    </w:rPr>
  </w:style>
  <w:style w:type="paragraph" w:customStyle="1" w:styleId="HeadMitparsemetBaze">
    <w:name w:val="Head MitparsemetBaze"/>
    <w:basedOn w:val="a"/>
    <w:rsid w:val="003C5D32"/>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3C5D32"/>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3C5D32"/>
    <w:pPr>
      <w:spacing w:before="120" w:after="6000"/>
      <w:ind w:left="1418" w:firstLine="0"/>
      <w:jc w:val="right"/>
    </w:pPr>
    <w:rPr>
      <w:b/>
      <w:bCs/>
    </w:rPr>
  </w:style>
  <w:style w:type="paragraph" w:customStyle="1" w:styleId="Hesber1st">
    <w:name w:val="Hesber 1st"/>
    <w:basedOn w:val="Hesber"/>
    <w:rsid w:val="003C5D32"/>
    <w:pPr>
      <w:tabs>
        <w:tab w:val="left" w:pos="680"/>
        <w:tab w:val="left" w:pos="1020"/>
      </w:tabs>
      <w:ind w:firstLine="0"/>
    </w:pPr>
  </w:style>
  <w:style w:type="paragraph" w:customStyle="1" w:styleId="HeadDivreiHesber">
    <w:name w:val="Head DivreiHesber"/>
    <w:basedOn w:val="a"/>
    <w:rsid w:val="003C5D32"/>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3C5D32"/>
    <w:pPr>
      <w:spacing w:before="120" w:after="120"/>
    </w:pPr>
    <w:rPr>
      <w:color w:val="FF0000"/>
      <w:w w:val="80"/>
    </w:rPr>
  </w:style>
  <w:style w:type="paragraph" w:styleId="a3">
    <w:name w:val="endnote text"/>
    <w:basedOn w:val="a"/>
    <w:link w:val="a4"/>
    <w:semiHidden/>
    <w:rsid w:val="003C5D32"/>
    <w:pPr>
      <w:ind w:left="227" w:hanging="227"/>
    </w:pPr>
    <w:rPr>
      <w:sz w:val="14"/>
      <w:szCs w:val="22"/>
    </w:rPr>
  </w:style>
  <w:style w:type="character" w:customStyle="1" w:styleId="a4">
    <w:name w:val="טקסט הערת סיום תו"/>
    <w:basedOn w:val="a0"/>
    <w:link w:val="a3"/>
    <w:semiHidden/>
    <w:rsid w:val="003C5D32"/>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3C5D32"/>
  </w:style>
  <w:style w:type="paragraph" w:customStyle="1" w:styleId="Hesber">
    <w:name w:val="Hesber"/>
    <w:basedOn w:val="a"/>
    <w:rsid w:val="003C5D32"/>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3C5D32"/>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semiHidden/>
    <w:rsid w:val="003C5D32"/>
    <w:rPr>
      <w:rFonts w:ascii="Arial" w:eastAsia="Arial Unicode MS" w:hAnsi="Arial" w:cs="David"/>
      <w:snapToGrid w:val="0"/>
      <w:color w:val="000000"/>
      <w:sz w:val="14"/>
      <w:szCs w:val="20"/>
      <w:lang w:eastAsia="ja-JP"/>
    </w:rPr>
  </w:style>
  <w:style w:type="character" w:styleId="a7">
    <w:name w:val="footnote reference"/>
    <w:aliases w:val="Footnote Reference"/>
    <w:basedOn w:val="a0"/>
    <w:semiHidden/>
    <w:rsid w:val="003C5D32"/>
    <w:rPr>
      <w:vertAlign w:val="superscript"/>
    </w:rPr>
  </w:style>
  <w:style w:type="paragraph" w:customStyle="1" w:styleId="HesberHeading">
    <w:name w:val="Hesber Heading"/>
    <w:basedOn w:val="Hesber"/>
    <w:rsid w:val="003C5D32"/>
    <w:pPr>
      <w:tabs>
        <w:tab w:val="left" w:pos="624"/>
        <w:tab w:val="left" w:pos="1247"/>
      </w:tabs>
      <w:ind w:firstLine="0"/>
    </w:pPr>
    <w:rPr>
      <w:b/>
      <w:bCs/>
    </w:rPr>
  </w:style>
  <w:style w:type="character" w:styleId="a8">
    <w:name w:val="endnote reference"/>
    <w:basedOn w:val="a0"/>
    <w:semiHidden/>
    <w:rsid w:val="003C5D32"/>
    <w:rPr>
      <w:vertAlign w:val="superscript"/>
    </w:rPr>
  </w:style>
  <w:style w:type="paragraph" w:customStyle="1" w:styleId="TableBlockOutdent">
    <w:name w:val="Table BlockOutdent"/>
    <w:basedOn w:val="TableBlock"/>
    <w:rsid w:val="003C5D32"/>
    <w:pPr>
      <w:ind w:left="624" w:hanging="624"/>
    </w:pPr>
  </w:style>
  <w:style w:type="paragraph" w:styleId="a9">
    <w:name w:val="header"/>
    <w:basedOn w:val="a"/>
    <w:link w:val="aa"/>
    <w:rsid w:val="003C5D32"/>
    <w:pPr>
      <w:tabs>
        <w:tab w:val="center" w:pos="4153"/>
        <w:tab w:val="right" w:pos="8306"/>
      </w:tabs>
    </w:pPr>
  </w:style>
  <w:style w:type="character" w:customStyle="1" w:styleId="aa">
    <w:name w:val="כותרת עליונה תו"/>
    <w:basedOn w:val="a0"/>
    <w:link w:val="a9"/>
    <w:rsid w:val="003C5D32"/>
    <w:rPr>
      <w:rFonts w:ascii="Hadasa Roso SL" w:eastAsia="MS Mincho" w:hAnsi="Hadasa Roso SL" w:cs="Hadasa Roso SL"/>
      <w:color w:val="000000"/>
      <w:spacing w:val="1"/>
      <w:sz w:val="17"/>
      <w:szCs w:val="17"/>
      <w:lang w:eastAsia="ja-JP"/>
    </w:rPr>
  </w:style>
  <w:style w:type="paragraph" w:styleId="ab">
    <w:name w:val="footer"/>
    <w:basedOn w:val="a"/>
    <w:link w:val="ac"/>
    <w:rsid w:val="003C5D32"/>
    <w:pPr>
      <w:tabs>
        <w:tab w:val="center" w:pos="4153"/>
        <w:tab w:val="right" w:pos="8306"/>
      </w:tabs>
    </w:pPr>
  </w:style>
  <w:style w:type="character" w:customStyle="1" w:styleId="ac">
    <w:name w:val="כותרת תחתונה תו"/>
    <w:basedOn w:val="a0"/>
    <w:link w:val="ab"/>
    <w:rsid w:val="003C5D32"/>
    <w:rPr>
      <w:rFonts w:ascii="Hadasa Roso SL" w:eastAsia="MS Mincho" w:hAnsi="Hadasa Roso SL" w:cs="Hadasa Roso SL"/>
      <w:color w:val="000000"/>
      <w:spacing w:val="1"/>
      <w:sz w:val="17"/>
      <w:szCs w:val="17"/>
      <w:lang w:eastAsia="ja-JP"/>
    </w:rPr>
  </w:style>
  <w:style w:type="character" w:styleId="ad">
    <w:name w:val="page number"/>
    <w:basedOn w:val="a0"/>
    <w:rsid w:val="003C5D32"/>
  </w:style>
  <w:style w:type="paragraph" w:customStyle="1" w:styleId="Cover1-Reshumot">
    <w:name w:val="Cover 1-Reshumot"/>
    <w:basedOn w:val="a"/>
    <w:rsid w:val="003C5D32"/>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3C5D32"/>
    <w:rPr>
      <w:sz w:val="36"/>
      <w:szCs w:val="52"/>
    </w:rPr>
  </w:style>
  <w:style w:type="paragraph" w:customStyle="1" w:styleId="Cover3-Haknesset">
    <w:name w:val="Cover 3-Haknesset"/>
    <w:basedOn w:val="Cover1-Reshumot"/>
    <w:rsid w:val="003C5D32"/>
    <w:rPr>
      <w:b/>
      <w:bCs/>
      <w:spacing w:val="60"/>
    </w:rPr>
  </w:style>
  <w:style w:type="paragraph" w:customStyle="1" w:styleId="Cover4-Date">
    <w:name w:val="Cover 4-Date"/>
    <w:basedOn w:val="a"/>
    <w:rsid w:val="003C5D32"/>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3C5D32"/>
    <w:pPr>
      <w:snapToGrid w:val="0"/>
      <w:spacing w:before="0" w:line="360" w:lineRule="auto"/>
      <w:jc w:val="left"/>
    </w:pPr>
    <w:rPr>
      <w:rFonts w:ascii="Arial" w:eastAsia="Arial Unicode MS" w:hAnsi="Arial" w:cs="David"/>
      <w:snapToGrid w:val="0"/>
      <w:spacing w:val="0"/>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2189</Characters>
  <Application>Microsoft Office Word</Application>
  <DocSecurity>4</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MNI</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galn</dc:creator>
  <cp:lastModifiedBy>נועה לודוויג-ריפולד</cp:lastModifiedBy>
  <cp:revision>2</cp:revision>
  <dcterms:created xsi:type="dcterms:W3CDTF">2017-10-31T09:47:00Z</dcterms:created>
  <dcterms:modified xsi:type="dcterms:W3CDTF">2017-10-31T09:47:00Z</dcterms:modified>
</cp:coreProperties>
</file>