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5A5" w:rsidRDefault="009435A5" w:rsidP="00E34D1B">
      <w:pPr>
        <w:spacing w:line="360" w:lineRule="auto"/>
        <w:rPr>
          <w:rFonts w:hint="cs"/>
        </w:rPr>
      </w:pPr>
    </w:p>
    <w:p w:rsidR="008017DE" w:rsidRDefault="008017DE" w:rsidP="008017DE">
      <w:pPr>
        <w:overflowPunct/>
        <w:autoSpaceDE/>
        <w:autoSpaceDN/>
        <w:adjustRightInd/>
        <w:ind w:left="5618"/>
        <w:textAlignment w:val="auto"/>
        <w:rPr>
          <w:sz w:val="24"/>
          <w:rtl/>
        </w:rPr>
      </w:pPr>
      <w:r w:rsidRPr="008017DE">
        <w:rPr>
          <w:sz w:val="24"/>
          <w:rtl/>
        </w:rPr>
        <w:t>כ"ט בסיון התשע"ו</w:t>
      </w:r>
      <w:r w:rsidRPr="008017DE">
        <w:rPr>
          <w:sz w:val="24"/>
          <w:rtl/>
        </w:rPr>
        <w:br/>
        <w:t>5 ביולי 2016</w:t>
      </w:r>
    </w:p>
    <w:p w:rsidR="00F16E3B" w:rsidRDefault="00F16E3B" w:rsidP="008017DE">
      <w:pPr>
        <w:overflowPunct/>
        <w:autoSpaceDE/>
        <w:autoSpaceDN/>
        <w:adjustRightInd/>
        <w:ind w:left="5618"/>
        <w:textAlignment w:val="auto"/>
        <w:rPr>
          <w:sz w:val="24"/>
          <w:rtl/>
        </w:rPr>
      </w:pPr>
      <w:r>
        <w:rPr>
          <w:rFonts w:hint="cs"/>
          <w:sz w:val="24"/>
          <w:rtl/>
        </w:rPr>
        <w:t>חוזר גופים מוסדיים 2016-9-9</w:t>
      </w:r>
    </w:p>
    <w:p w:rsidR="00A34327" w:rsidRPr="008017DE" w:rsidRDefault="00A34327" w:rsidP="008017DE">
      <w:pPr>
        <w:overflowPunct/>
        <w:autoSpaceDE/>
        <w:autoSpaceDN/>
        <w:adjustRightInd/>
        <w:ind w:left="5618"/>
        <w:textAlignment w:val="auto"/>
        <w:rPr>
          <w:sz w:val="24"/>
          <w:rtl/>
        </w:rPr>
      </w:pPr>
      <w:r>
        <w:rPr>
          <w:rFonts w:hint="cs"/>
          <w:sz w:val="24"/>
          <w:rtl/>
        </w:rPr>
        <w:t>סיווג: כללי</w:t>
      </w:r>
    </w:p>
    <w:p w:rsidR="008017DE" w:rsidRPr="008017DE" w:rsidRDefault="008017DE" w:rsidP="008017DE">
      <w:pPr>
        <w:overflowPunct/>
        <w:autoSpaceDE/>
        <w:autoSpaceDN/>
        <w:adjustRightInd/>
        <w:ind w:left="5618"/>
        <w:textAlignment w:val="auto"/>
        <w:rPr>
          <w:sz w:val="24"/>
          <w:rtl/>
        </w:rPr>
      </w:pPr>
    </w:p>
    <w:p w:rsidR="003D1DA1" w:rsidRDefault="003D1DA1" w:rsidP="008017DE">
      <w:pPr>
        <w:overflowPunct/>
        <w:autoSpaceDE/>
        <w:autoSpaceDN/>
        <w:adjustRightInd/>
        <w:ind w:left="5618"/>
        <w:textAlignment w:val="auto"/>
        <w:rPr>
          <w:sz w:val="24"/>
          <w:rtl/>
        </w:rPr>
      </w:pPr>
      <w:bookmarkStart w:id="0" w:name="Adding06"/>
      <w:bookmarkEnd w:id="0"/>
    </w:p>
    <w:p w:rsidR="009435A5" w:rsidRDefault="009435A5" w:rsidP="009435A5">
      <w:pPr>
        <w:spacing w:line="360" w:lineRule="auto"/>
        <w:jc w:val="both"/>
        <w:rPr>
          <w:rtl/>
        </w:rPr>
      </w:pPr>
    </w:p>
    <w:p w:rsidR="0038338B" w:rsidRPr="0038338B" w:rsidRDefault="0038338B" w:rsidP="0038338B">
      <w:pPr>
        <w:overflowPunct/>
        <w:autoSpaceDE/>
        <w:autoSpaceDN/>
        <w:adjustRightInd/>
        <w:ind w:left="651" w:hanging="651"/>
        <w:jc w:val="center"/>
        <w:textAlignment w:val="auto"/>
        <w:rPr>
          <w:b/>
          <w:bCs/>
          <w:sz w:val="28"/>
          <w:szCs w:val="28"/>
          <w:u w:val="single"/>
          <w:rtl/>
        </w:rPr>
      </w:pPr>
      <w:r w:rsidRPr="0038338B">
        <w:rPr>
          <w:b/>
          <w:bCs/>
          <w:sz w:val="28"/>
          <w:szCs w:val="28"/>
          <w:u w:val="single"/>
          <w:rtl/>
        </w:rPr>
        <w:t>בירור ויישוב תביעות וטיפול בפניות ציבור</w:t>
      </w:r>
    </w:p>
    <w:p w:rsidR="0038338B" w:rsidRPr="0038338B" w:rsidRDefault="00F16E3B" w:rsidP="0038338B">
      <w:pPr>
        <w:tabs>
          <w:tab w:val="left" w:pos="2962"/>
        </w:tabs>
        <w:overflowPunct/>
        <w:autoSpaceDE/>
        <w:autoSpaceDN/>
        <w:adjustRightInd/>
        <w:spacing w:line="360" w:lineRule="auto"/>
        <w:jc w:val="both"/>
        <w:textAlignment w:val="auto"/>
        <w:rPr>
          <w:sz w:val="24"/>
          <w:rtl/>
        </w:rPr>
      </w:pPr>
      <w:r>
        <w:rPr>
          <w:sz w:val="24"/>
          <w:rtl/>
        </w:rPr>
        <w:t xml:space="preserve"> </w:t>
      </w:r>
    </w:p>
    <w:p w:rsidR="0038338B" w:rsidRPr="0038338B" w:rsidRDefault="0038338B" w:rsidP="0038338B">
      <w:pPr>
        <w:overflowPunct/>
        <w:autoSpaceDE/>
        <w:autoSpaceDN/>
        <w:adjustRightInd/>
        <w:spacing w:line="360" w:lineRule="auto"/>
        <w:jc w:val="both"/>
        <w:textAlignment w:val="auto"/>
        <w:rPr>
          <w:sz w:val="24"/>
          <w:rtl/>
        </w:rPr>
      </w:pPr>
      <w:r w:rsidRPr="0038338B">
        <w:rPr>
          <w:rFonts w:hint="cs"/>
          <w:sz w:val="24"/>
          <w:rtl/>
        </w:rPr>
        <w:t xml:space="preserve">בתוקף סמכותי לפי סעיף 2(ב) לחוק הפיקוח על שירותים פיננסיים (ביטוח), התשמ"א-1981 (להלן - </w:t>
      </w:r>
      <w:r w:rsidRPr="0038338B">
        <w:rPr>
          <w:rFonts w:hint="cs"/>
          <w:b/>
          <w:bCs/>
          <w:sz w:val="24"/>
          <w:rtl/>
        </w:rPr>
        <w:t>חוק הפיקוח ביטוח</w:t>
      </w:r>
      <w:r w:rsidRPr="0038338B">
        <w:rPr>
          <w:rFonts w:hint="cs"/>
          <w:sz w:val="24"/>
          <w:rtl/>
        </w:rPr>
        <w:t xml:space="preserve">), לפי סעיפים 18(ג) ו- 39(ב) לחוק הפיקוח על שירותים פיננסיים (קופות גמל), התשס"ה-2005 (להלן - </w:t>
      </w:r>
      <w:r w:rsidRPr="0038338B">
        <w:rPr>
          <w:rFonts w:hint="cs"/>
          <w:b/>
          <w:bCs/>
          <w:sz w:val="24"/>
          <w:rtl/>
        </w:rPr>
        <w:t>חוק הפיקוח גמל</w:t>
      </w:r>
      <w:r w:rsidRPr="0038338B">
        <w:rPr>
          <w:rFonts w:hint="cs"/>
          <w:sz w:val="24"/>
          <w:rtl/>
        </w:rPr>
        <w:t>) ולפי תקנה 8(א)(20) לתקנות הפיקוח על שירותים פיננסיים (ביטוח)(דירקטוריון וועדותיו), התשס"ז-2007, ולאחר התייעצות עם הוועדה המייעצת, אני מורה כדלקמן:</w:t>
      </w:r>
    </w:p>
    <w:p w:rsidR="0038338B" w:rsidRPr="0038338B" w:rsidRDefault="0038338B" w:rsidP="0038338B">
      <w:pPr>
        <w:overflowPunct/>
        <w:autoSpaceDE/>
        <w:autoSpaceDN/>
        <w:adjustRightInd/>
        <w:spacing w:line="360" w:lineRule="auto"/>
        <w:jc w:val="both"/>
        <w:textAlignment w:val="auto"/>
        <w:rPr>
          <w:sz w:val="24"/>
          <w:rtl/>
        </w:rPr>
      </w:pPr>
    </w:p>
    <w:p w:rsidR="0038338B" w:rsidRPr="0038338B" w:rsidRDefault="0038338B" w:rsidP="0038338B">
      <w:pPr>
        <w:numPr>
          <w:ilvl w:val="0"/>
          <w:numId w:val="8"/>
        </w:numPr>
        <w:overflowPunct/>
        <w:autoSpaceDE/>
        <w:autoSpaceDN/>
        <w:adjustRightInd/>
        <w:spacing w:line="360" w:lineRule="auto"/>
        <w:jc w:val="both"/>
        <w:textAlignment w:val="auto"/>
        <w:rPr>
          <w:b/>
          <w:bCs/>
          <w:sz w:val="24"/>
          <w:rtl/>
        </w:rPr>
      </w:pPr>
      <w:r w:rsidRPr="0038338B">
        <w:rPr>
          <w:rFonts w:hint="cs"/>
          <w:b/>
          <w:bCs/>
          <w:sz w:val="24"/>
          <w:rtl/>
        </w:rPr>
        <w:t>כללי</w:t>
      </w:r>
    </w:p>
    <w:p w:rsidR="0038338B" w:rsidRPr="0038338B" w:rsidRDefault="0038338B" w:rsidP="0038338B">
      <w:pPr>
        <w:overflowPunct/>
        <w:autoSpaceDE/>
        <w:autoSpaceDN/>
        <w:adjustRightInd/>
        <w:spacing w:line="360" w:lineRule="auto"/>
        <w:ind w:left="360"/>
        <w:jc w:val="both"/>
        <w:textAlignment w:val="auto"/>
        <w:rPr>
          <w:sz w:val="24"/>
          <w:rtl/>
        </w:rPr>
      </w:pPr>
      <w:r w:rsidRPr="0038338B">
        <w:rPr>
          <w:rFonts w:hint="cs"/>
          <w:sz w:val="24"/>
          <w:rtl/>
        </w:rPr>
        <w:t xml:space="preserve">יישוב תביעות הינו מרכיב מרכזי בפעילותן של חברות ביטוח ושל חברות מנהלות של קרנות פנסיה (להלן - </w:t>
      </w:r>
      <w:r w:rsidRPr="0038338B">
        <w:rPr>
          <w:rFonts w:hint="cs"/>
          <w:b/>
          <w:bCs/>
          <w:sz w:val="24"/>
          <w:rtl/>
        </w:rPr>
        <w:t>גופים מוסדיים</w:t>
      </w:r>
      <w:r w:rsidRPr="0038338B">
        <w:rPr>
          <w:rFonts w:hint="cs"/>
          <w:sz w:val="24"/>
          <w:rtl/>
        </w:rPr>
        <w:t>). דרך פעולתו של גוף מוסדי במסגרת הליך יישוב תביעות משפיעה באופן ישיר על מימוש זכויותיו של התובע ועל יכולתו לבחון את דרכי הפעולה העומדות בפניו בשלבים השונים של ההליך האמור. לפיכך, קיימת חשיבות לקביעת כללים ברורים בידי גופים מוסדיים במסגרת יישוב תביעות.</w:t>
      </w:r>
    </w:p>
    <w:p w:rsidR="0038338B" w:rsidRPr="0038338B" w:rsidRDefault="0038338B" w:rsidP="0038338B">
      <w:pPr>
        <w:overflowPunct/>
        <w:autoSpaceDE/>
        <w:autoSpaceDN/>
        <w:adjustRightInd/>
        <w:spacing w:line="360" w:lineRule="auto"/>
        <w:ind w:left="360"/>
        <w:jc w:val="both"/>
        <w:textAlignment w:val="auto"/>
        <w:rPr>
          <w:sz w:val="24"/>
          <w:rtl/>
        </w:rPr>
      </w:pPr>
    </w:p>
    <w:p w:rsidR="0038338B" w:rsidRPr="0038338B" w:rsidRDefault="0038338B" w:rsidP="0038338B">
      <w:pPr>
        <w:numPr>
          <w:ilvl w:val="0"/>
          <w:numId w:val="8"/>
        </w:numPr>
        <w:overflowPunct/>
        <w:autoSpaceDE/>
        <w:autoSpaceDN/>
        <w:adjustRightInd/>
        <w:spacing w:line="360" w:lineRule="auto"/>
        <w:jc w:val="both"/>
        <w:textAlignment w:val="auto"/>
        <w:rPr>
          <w:sz w:val="24"/>
        </w:rPr>
      </w:pPr>
      <w:r w:rsidRPr="0038338B">
        <w:rPr>
          <w:rFonts w:hint="cs"/>
          <w:b/>
          <w:bCs/>
          <w:sz w:val="24"/>
          <w:rtl/>
        </w:rPr>
        <w:t xml:space="preserve">הגדרות </w:t>
      </w:r>
    </w:p>
    <w:p w:rsidR="0038338B" w:rsidRPr="0038338B" w:rsidRDefault="0038338B" w:rsidP="0038338B">
      <w:pPr>
        <w:overflowPunct/>
        <w:autoSpaceDE/>
        <w:autoSpaceDN/>
        <w:adjustRightInd/>
        <w:spacing w:line="360" w:lineRule="auto"/>
        <w:ind w:left="360"/>
        <w:jc w:val="both"/>
        <w:textAlignment w:val="auto"/>
        <w:rPr>
          <w:sz w:val="24"/>
          <w:rtl/>
        </w:rPr>
      </w:pPr>
      <w:r w:rsidRPr="0038338B">
        <w:rPr>
          <w:rFonts w:hint="cs"/>
          <w:sz w:val="24"/>
          <w:rtl/>
        </w:rPr>
        <w:t>בחוזר זה -</w:t>
      </w:r>
    </w:p>
    <w:p w:rsidR="0038338B" w:rsidRPr="0038338B" w:rsidRDefault="0038338B" w:rsidP="0038338B">
      <w:pPr>
        <w:overflowPunct/>
        <w:autoSpaceDE/>
        <w:autoSpaceDN/>
        <w:adjustRightInd/>
        <w:spacing w:line="360" w:lineRule="auto"/>
        <w:ind w:left="360"/>
        <w:jc w:val="both"/>
        <w:textAlignment w:val="auto"/>
        <w:rPr>
          <w:sz w:val="24"/>
          <w:rtl/>
        </w:rPr>
      </w:pPr>
      <w:r w:rsidRPr="0038338B">
        <w:rPr>
          <w:rFonts w:hint="cs"/>
          <w:b/>
          <w:bCs/>
          <w:sz w:val="24"/>
          <w:rtl/>
        </w:rPr>
        <w:t>"לקוח"</w:t>
      </w:r>
      <w:r w:rsidRPr="0038338B">
        <w:rPr>
          <w:rFonts w:hint="cs"/>
          <w:sz w:val="24"/>
          <w:rtl/>
        </w:rPr>
        <w:t xml:space="preserve"> - מבוטח, עמית, מוטב, תובע או מי מטעמם. </w:t>
      </w:r>
    </w:p>
    <w:p w:rsidR="0038338B" w:rsidRPr="0038338B" w:rsidRDefault="0038338B" w:rsidP="0038338B">
      <w:pPr>
        <w:overflowPunct/>
        <w:autoSpaceDE/>
        <w:autoSpaceDN/>
        <w:adjustRightInd/>
        <w:spacing w:line="360" w:lineRule="auto"/>
        <w:ind w:left="360"/>
        <w:jc w:val="both"/>
        <w:textAlignment w:val="auto"/>
        <w:rPr>
          <w:sz w:val="24"/>
          <w:rtl/>
        </w:rPr>
      </w:pPr>
      <w:r w:rsidRPr="0038338B">
        <w:rPr>
          <w:rFonts w:hint="cs"/>
          <w:sz w:val="24"/>
          <w:rtl/>
        </w:rPr>
        <w:t>"</w:t>
      </w:r>
      <w:r w:rsidRPr="0038338B">
        <w:rPr>
          <w:rFonts w:hint="cs"/>
          <w:b/>
          <w:bCs/>
          <w:sz w:val="24"/>
          <w:rtl/>
        </w:rPr>
        <w:t>תביעה</w:t>
      </w:r>
      <w:r w:rsidRPr="0038338B">
        <w:rPr>
          <w:rFonts w:hint="cs"/>
          <w:sz w:val="24"/>
          <w:rtl/>
        </w:rPr>
        <w:t>" - דרישה מגוף מוסדי למימוש זכויות לפי תנאי פוליסת ביטוח או לפי תקנון קרן פנסיה או לפי הוראות הדין הרלוונטיות למימוש זכויות כאמור;</w:t>
      </w:r>
    </w:p>
    <w:p w:rsidR="0038338B" w:rsidRPr="0038338B" w:rsidRDefault="0038338B" w:rsidP="0038338B">
      <w:pPr>
        <w:overflowPunct/>
        <w:autoSpaceDE/>
        <w:autoSpaceDN/>
        <w:adjustRightInd/>
        <w:spacing w:line="360" w:lineRule="auto"/>
        <w:ind w:left="360"/>
        <w:jc w:val="both"/>
        <w:textAlignment w:val="auto"/>
        <w:rPr>
          <w:sz w:val="24"/>
          <w:rtl/>
        </w:rPr>
      </w:pPr>
      <w:r w:rsidRPr="0038338B">
        <w:rPr>
          <w:rFonts w:hint="cs"/>
          <w:sz w:val="24"/>
          <w:rtl/>
        </w:rPr>
        <w:t>"</w:t>
      </w:r>
      <w:r w:rsidRPr="0038338B">
        <w:rPr>
          <w:rFonts w:hint="cs"/>
          <w:b/>
          <w:bCs/>
          <w:sz w:val="24"/>
          <w:rtl/>
        </w:rPr>
        <w:t>תובע</w:t>
      </w:r>
      <w:r w:rsidRPr="0038338B">
        <w:rPr>
          <w:rFonts w:hint="cs"/>
          <w:sz w:val="24"/>
          <w:rtl/>
        </w:rPr>
        <w:t>" - מי שהציג תביעה לגוף מוסדי, למעט גוף מוסדי ולמעט מי שהיטיב במסגרת עיסוקו נזק שנגרם לאחר ובא בתביעה כלפי הגוף המוסדי להיפרע את הטבת הנזק כאמור.</w:t>
      </w:r>
    </w:p>
    <w:p w:rsidR="0038338B" w:rsidRPr="0038338B" w:rsidRDefault="0038338B" w:rsidP="0038338B">
      <w:pPr>
        <w:overflowPunct/>
        <w:autoSpaceDE/>
        <w:autoSpaceDN/>
        <w:adjustRightInd/>
        <w:spacing w:line="360" w:lineRule="auto"/>
        <w:ind w:left="360"/>
        <w:jc w:val="both"/>
        <w:textAlignment w:val="auto"/>
        <w:rPr>
          <w:sz w:val="24"/>
          <w:rtl/>
        </w:rPr>
      </w:pPr>
    </w:p>
    <w:p w:rsidR="0038338B" w:rsidRPr="0038338B" w:rsidRDefault="0038338B" w:rsidP="0038338B">
      <w:pPr>
        <w:numPr>
          <w:ilvl w:val="0"/>
          <w:numId w:val="8"/>
        </w:numPr>
        <w:overflowPunct/>
        <w:autoSpaceDE/>
        <w:autoSpaceDN/>
        <w:adjustRightInd/>
        <w:spacing w:line="360" w:lineRule="auto"/>
        <w:jc w:val="both"/>
        <w:textAlignment w:val="auto"/>
        <w:rPr>
          <w:b/>
          <w:bCs/>
          <w:sz w:val="24"/>
        </w:rPr>
      </w:pPr>
      <w:r w:rsidRPr="0038338B">
        <w:rPr>
          <w:rFonts w:hint="cs"/>
          <w:b/>
          <w:bCs/>
          <w:sz w:val="24"/>
          <w:rtl/>
        </w:rPr>
        <w:t>עקרונות יישוב תביעות וטיפול בפניות ציבור</w:t>
      </w:r>
    </w:p>
    <w:p w:rsidR="0038338B" w:rsidRPr="0038338B" w:rsidRDefault="0038338B" w:rsidP="0038338B">
      <w:pPr>
        <w:overflowPunct/>
        <w:autoSpaceDE/>
        <w:autoSpaceDN/>
        <w:adjustRightInd/>
        <w:spacing w:line="360" w:lineRule="auto"/>
        <w:ind w:left="397"/>
        <w:jc w:val="both"/>
        <w:textAlignment w:val="auto"/>
        <w:rPr>
          <w:b/>
          <w:bCs/>
          <w:sz w:val="24"/>
          <w:rtl/>
        </w:rPr>
      </w:pPr>
      <w:r w:rsidRPr="0038338B">
        <w:rPr>
          <w:rFonts w:hint="cs"/>
          <w:sz w:val="24"/>
          <w:rtl/>
        </w:rPr>
        <w:t>מבלי לגרוע מהוראות כל דין, גוף מוסדי יברר ויישב תביעות ויטפל בפניות ציבור בתום לב, בענייניות, ביסודיות, ביעילות, במקצועיות, בשקיפות ובהוגנות.</w:t>
      </w:r>
    </w:p>
    <w:p w:rsidR="0038338B" w:rsidRPr="0038338B" w:rsidRDefault="0038338B" w:rsidP="0038338B">
      <w:pPr>
        <w:overflowPunct/>
        <w:autoSpaceDE/>
        <w:autoSpaceDN/>
        <w:adjustRightInd/>
        <w:spacing w:line="360" w:lineRule="auto"/>
        <w:ind w:left="397"/>
        <w:jc w:val="both"/>
        <w:textAlignment w:val="auto"/>
        <w:rPr>
          <w:b/>
          <w:bCs/>
          <w:sz w:val="24"/>
          <w:rtl/>
        </w:rPr>
      </w:pPr>
    </w:p>
    <w:p w:rsidR="0038338B" w:rsidRPr="0038338B" w:rsidRDefault="0038338B" w:rsidP="0038338B">
      <w:pPr>
        <w:overflowPunct/>
        <w:autoSpaceDE/>
        <w:autoSpaceDN/>
        <w:adjustRightInd/>
        <w:spacing w:line="360" w:lineRule="auto"/>
        <w:ind w:left="397"/>
        <w:jc w:val="both"/>
        <w:textAlignment w:val="auto"/>
        <w:rPr>
          <w:b/>
          <w:bCs/>
          <w:sz w:val="24"/>
          <w:rtl/>
        </w:rPr>
      </w:pPr>
    </w:p>
    <w:p w:rsidR="0038338B" w:rsidRPr="0038338B" w:rsidRDefault="0038338B" w:rsidP="0038338B">
      <w:pPr>
        <w:overflowPunct/>
        <w:autoSpaceDE/>
        <w:autoSpaceDN/>
        <w:adjustRightInd/>
        <w:spacing w:line="360" w:lineRule="auto"/>
        <w:ind w:left="397"/>
        <w:jc w:val="both"/>
        <w:textAlignment w:val="auto"/>
        <w:rPr>
          <w:b/>
          <w:bCs/>
          <w:sz w:val="24"/>
          <w:rtl/>
        </w:rPr>
      </w:pPr>
    </w:p>
    <w:p w:rsidR="0038338B" w:rsidRPr="0038338B" w:rsidRDefault="0038338B" w:rsidP="0038338B">
      <w:pPr>
        <w:numPr>
          <w:ilvl w:val="0"/>
          <w:numId w:val="8"/>
        </w:numPr>
        <w:overflowPunct/>
        <w:autoSpaceDE/>
        <w:autoSpaceDN/>
        <w:adjustRightInd/>
        <w:spacing w:line="360" w:lineRule="auto"/>
        <w:jc w:val="both"/>
        <w:textAlignment w:val="auto"/>
        <w:rPr>
          <w:b/>
          <w:bCs/>
          <w:sz w:val="24"/>
          <w:rtl/>
        </w:rPr>
      </w:pPr>
      <w:r w:rsidRPr="0038338B">
        <w:rPr>
          <w:rFonts w:hint="cs"/>
          <w:b/>
          <w:bCs/>
          <w:sz w:val="24"/>
          <w:rtl/>
        </w:rPr>
        <w:lastRenderedPageBreak/>
        <w:t>מערכת כללים לבירור וליישוב תביעות ולטיפול בפניות ציבור</w:t>
      </w:r>
    </w:p>
    <w:p w:rsidR="0038338B" w:rsidRPr="0038338B" w:rsidRDefault="0038338B" w:rsidP="0038338B">
      <w:pPr>
        <w:numPr>
          <w:ilvl w:val="1"/>
          <w:numId w:val="8"/>
        </w:numPr>
        <w:overflowPunct/>
        <w:autoSpaceDE/>
        <w:autoSpaceDN/>
        <w:adjustRightInd/>
        <w:spacing w:line="360" w:lineRule="auto"/>
        <w:jc w:val="both"/>
        <w:textAlignment w:val="auto"/>
        <w:rPr>
          <w:sz w:val="24"/>
        </w:rPr>
      </w:pPr>
      <w:r w:rsidRPr="0038338B">
        <w:rPr>
          <w:rFonts w:hint="cs"/>
          <w:sz w:val="24"/>
          <w:rtl/>
        </w:rPr>
        <w:t xml:space="preserve">גוף מוסדי יקבע מערכת כללים לבירור וליישוב תביעות ולטיפול בפניות ציבור (להלן - </w:t>
      </w:r>
      <w:r w:rsidRPr="0038338B">
        <w:rPr>
          <w:rFonts w:hint="cs"/>
          <w:b/>
          <w:bCs/>
          <w:sz w:val="24"/>
          <w:rtl/>
        </w:rPr>
        <w:t>מערכת הכללים</w:t>
      </w:r>
      <w:r w:rsidRPr="0038338B">
        <w:rPr>
          <w:rFonts w:hint="cs"/>
          <w:sz w:val="24"/>
          <w:rtl/>
        </w:rPr>
        <w:t>) בכפוף להוראות הבאות:</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הכללים יהיו אחידים לכל סוגי התביעות ולכל סוגי התובעים, ואולם גוף מוסדי רשאי לכלול כללים שונים ביחס לסוגים שונים של תביעות, ובלבד שיש הצדקה לשונות זו עקב המאפיינים של סוג התביעה.</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 xml:space="preserve">ייקבעו כללים ביחס לכל נושא המצוין בכותרות המשנה שבסעיף 8 לפחות, ככל שהנושא האמור רלבנטי לסוג התביעה. </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כלל שייקבע לא יסטה באופן בלתי סביר מהכלל הקבוע בסעיף 8 ומהוראות שקבועות  בנספח ב' לחוזר זה.</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 xml:space="preserve">על אף האמור בפסקאות (1) ו-(3), המועדים והתקופות שייקבעו במערכת הכללים, ייקבעו לכל סוג התביעה ולא יעלו על אלו הקבועים בסעיף 8. המועדים והתקופות בגין כל סוג תביעה יוצגו בטבלה נפרדת בהתאם לנספח א' המצורף לחוזר זה (להלן - </w:t>
      </w:r>
      <w:r w:rsidRPr="0038338B">
        <w:rPr>
          <w:rFonts w:hint="cs"/>
          <w:b/>
          <w:bCs/>
          <w:sz w:val="24"/>
          <w:rtl/>
        </w:rPr>
        <w:t>טבלת המועדים</w:t>
      </w:r>
      <w:r w:rsidRPr="0038338B">
        <w:rPr>
          <w:rFonts w:hint="cs"/>
          <w:sz w:val="24"/>
          <w:rtl/>
        </w:rPr>
        <w:t xml:space="preserve">). </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 xml:space="preserve">מערכת הכללים תחייב את הגוף המוסדי בלבד ולא תטיל על התובע חיובים כלשהם. </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מערכת הכללים לא תתנה קיומה של חובה של הגוף המוסדי במעשה של תובע שאינו מחויב על פי התקנון, פוליסת הביטוח או הדין שמכוחם נובעת החובה, למעט התניית קיומה של החובה בהמצאת מידע או מסמכים.</w:t>
      </w:r>
    </w:p>
    <w:p w:rsidR="0038338B" w:rsidRPr="0038338B" w:rsidRDefault="0038338B" w:rsidP="0038338B">
      <w:pPr>
        <w:numPr>
          <w:ilvl w:val="12"/>
          <w:numId w:val="0"/>
        </w:numPr>
        <w:spacing w:line="360" w:lineRule="auto"/>
        <w:ind w:left="1106"/>
        <w:jc w:val="both"/>
        <w:rPr>
          <w:sz w:val="24"/>
        </w:rPr>
      </w:pPr>
      <w:r w:rsidRPr="0038338B">
        <w:rPr>
          <w:rFonts w:hint="cs"/>
          <w:sz w:val="24"/>
          <w:rtl/>
        </w:rPr>
        <w:t>לעניין סעיף קטן זה, "חובה של הגוף המוסדי" - בין חובה הנובעת ממערכת הכללים עצמה ובין חובה הנובעת מתקנון, מפוליסת ביטוח או מכוח הדין.</w:t>
      </w:r>
    </w:p>
    <w:p w:rsidR="0038338B" w:rsidRPr="0038338B" w:rsidRDefault="0038338B" w:rsidP="0038338B">
      <w:pPr>
        <w:numPr>
          <w:ilvl w:val="1"/>
          <w:numId w:val="8"/>
        </w:numPr>
        <w:overflowPunct/>
        <w:autoSpaceDE/>
        <w:autoSpaceDN/>
        <w:adjustRightInd/>
        <w:spacing w:line="360" w:lineRule="auto"/>
        <w:jc w:val="both"/>
        <w:textAlignment w:val="auto"/>
        <w:rPr>
          <w:sz w:val="24"/>
        </w:rPr>
      </w:pPr>
      <w:r w:rsidRPr="0038338B">
        <w:rPr>
          <w:rFonts w:hint="cs"/>
          <w:sz w:val="24"/>
          <w:rtl/>
        </w:rPr>
        <w:t>לא קבע גוף מוסדי כלל בנושא המצוין בכותרות המשנה שבסעיף 8, או שקבע כלל שאינו עומד בהוראות סעיף קטן א(3), יחול הכלל הקבוע בסעיף 8.</w:t>
      </w:r>
    </w:p>
    <w:p w:rsidR="0038338B" w:rsidRPr="0038338B" w:rsidRDefault="0038338B" w:rsidP="0038338B">
      <w:pPr>
        <w:numPr>
          <w:ilvl w:val="1"/>
          <w:numId w:val="8"/>
        </w:numPr>
        <w:overflowPunct/>
        <w:autoSpaceDE/>
        <w:autoSpaceDN/>
        <w:adjustRightInd/>
        <w:spacing w:line="360" w:lineRule="auto"/>
        <w:jc w:val="both"/>
        <w:textAlignment w:val="auto"/>
        <w:rPr>
          <w:sz w:val="24"/>
        </w:rPr>
      </w:pPr>
      <w:r w:rsidRPr="0038338B">
        <w:rPr>
          <w:rFonts w:hint="cs"/>
          <w:sz w:val="24"/>
          <w:rtl/>
        </w:rPr>
        <w:t xml:space="preserve">גוף מוסדי יערוך לגבי כל סוג תביעה טבלה המשווה בין מערכת הכללים שקבע לפי סעיף 4(א) ובין הכללים המפורטים בסעיף 8 (להלן - </w:t>
      </w:r>
      <w:r w:rsidRPr="0038338B">
        <w:rPr>
          <w:rFonts w:hint="cs"/>
          <w:b/>
          <w:bCs/>
          <w:sz w:val="24"/>
          <w:rtl/>
        </w:rPr>
        <w:t>טבלת ההשוואה</w:t>
      </w:r>
      <w:r w:rsidRPr="0038338B">
        <w:rPr>
          <w:rFonts w:hint="cs"/>
          <w:sz w:val="24"/>
          <w:rtl/>
        </w:rPr>
        <w:t>).</w:t>
      </w:r>
    </w:p>
    <w:p w:rsidR="0038338B" w:rsidRPr="0038338B" w:rsidRDefault="0038338B" w:rsidP="0038338B">
      <w:pPr>
        <w:overflowPunct/>
        <w:autoSpaceDE/>
        <w:autoSpaceDN/>
        <w:adjustRightInd/>
        <w:ind w:left="360"/>
        <w:jc w:val="both"/>
        <w:textAlignment w:val="auto"/>
        <w:rPr>
          <w:sz w:val="24"/>
          <w:rtl/>
        </w:rPr>
      </w:pPr>
    </w:p>
    <w:p w:rsidR="0038338B" w:rsidRPr="0038338B" w:rsidRDefault="0038338B" w:rsidP="0038338B">
      <w:pPr>
        <w:numPr>
          <w:ilvl w:val="0"/>
          <w:numId w:val="8"/>
        </w:numPr>
        <w:overflowPunct/>
        <w:autoSpaceDE/>
        <w:autoSpaceDN/>
        <w:adjustRightInd/>
        <w:spacing w:line="360" w:lineRule="auto"/>
        <w:jc w:val="both"/>
        <w:textAlignment w:val="auto"/>
        <w:rPr>
          <w:b/>
          <w:bCs/>
          <w:sz w:val="24"/>
        </w:rPr>
      </w:pPr>
      <w:r w:rsidRPr="0038338B">
        <w:rPr>
          <w:rFonts w:hint="cs"/>
          <w:b/>
          <w:bCs/>
          <w:sz w:val="24"/>
          <w:rtl/>
        </w:rPr>
        <w:t xml:space="preserve">מעמד מערכת הכללים </w:t>
      </w:r>
    </w:p>
    <w:p w:rsidR="0038338B" w:rsidRPr="0038338B" w:rsidRDefault="0038338B" w:rsidP="0038338B">
      <w:pPr>
        <w:numPr>
          <w:ilvl w:val="1"/>
          <w:numId w:val="8"/>
        </w:numPr>
        <w:overflowPunct/>
        <w:autoSpaceDE/>
        <w:autoSpaceDN/>
        <w:adjustRightInd/>
        <w:spacing w:line="360" w:lineRule="auto"/>
        <w:jc w:val="both"/>
        <w:textAlignment w:val="auto"/>
        <w:rPr>
          <w:sz w:val="24"/>
        </w:rPr>
      </w:pPr>
      <w:r w:rsidRPr="0038338B">
        <w:rPr>
          <w:rFonts w:hint="cs"/>
          <w:sz w:val="24"/>
          <w:rtl/>
        </w:rPr>
        <w:t>חברה מנהלת תכלול את מערכת הכללים בתקנון הקרן שהיא מנהלת, ולעניין חיובי חברת ביטוח יראו את מערכת הכללים כחלק מתנאי פוליסת הביטוח.</w:t>
      </w:r>
    </w:p>
    <w:p w:rsidR="0038338B" w:rsidRPr="0038338B" w:rsidRDefault="0038338B" w:rsidP="0038338B">
      <w:pPr>
        <w:numPr>
          <w:ilvl w:val="1"/>
          <w:numId w:val="8"/>
        </w:numPr>
        <w:overflowPunct/>
        <w:autoSpaceDE/>
        <w:autoSpaceDN/>
        <w:adjustRightInd/>
        <w:spacing w:line="360" w:lineRule="auto"/>
        <w:jc w:val="both"/>
        <w:textAlignment w:val="auto"/>
        <w:rPr>
          <w:sz w:val="24"/>
        </w:rPr>
      </w:pPr>
      <w:r w:rsidRPr="0038338B">
        <w:rPr>
          <w:rFonts w:hint="cs"/>
          <w:sz w:val="24"/>
          <w:rtl/>
        </w:rPr>
        <w:t>גוף מוסדי יפעל לפי מערכת הכללים, ויראו את הכללים שקבע גוף מוסדי לפי חוזר זה, כהוראות שניתנו לפי סעיף 2(ב) לחוק הפיקוח</w:t>
      </w:r>
      <w:r w:rsidRPr="0038338B">
        <w:rPr>
          <w:rFonts w:hint="cs"/>
          <w:sz w:val="24"/>
        </w:rPr>
        <w:t xml:space="preserve"> </w:t>
      </w:r>
      <w:r w:rsidRPr="0038338B">
        <w:rPr>
          <w:rFonts w:hint="cs"/>
          <w:sz w:val="24"/>
          <w:rtl/>
        </w:rPr>
        <w:t>ביטוח או לפי סעיף 39(ב) לחוק הפיקוח גמל, לרבות לעניין עיצום כספי.</w:t>
      </w:r>
    </w:p>
    <w:p w:rsidR="0038338B" w:rsidRPr="0038338B" w:rsidRDefault="0038338B" w:rsidP="00AB679D">
      <w:pPr>
        <w:numPr>
          <w:ilvl w:val="1"/>
          <w:numId w:val="8"/>
        </w:numPr>
        <w:overflowPunct/>
        <w:autoSpaceDE/>
        <w:autoSpaceDN/>
        <w:adjustRightInd/>
        <w:spacing w:line="360" w:lineRule="auto"/>
        <w:jc w:val="both"/>
        <w:textAlignment w:val="auto"/>
        <w:rPr>
          <w:sz w:val="24"/>
        </w:rPr>
      </w:pPr>
      <w:r w:rsidRPr="0038338B">
        <w:rPr>
          <w:rFonts w:hint="cs"/>
          <w:sz w:val="24"/>
          <w:rtl/>
        </w:rPr>
        <w:t xml:space="preserve">בסעיף זה, "מערכת הכללים" </w:t>
      </w:r>
      <w:r w:rsidRPr="0038338B">
        <w:rPr>
          <w:sz w:val="24"/>
          <w:rtl/>
        </w:rPr>
        <w:t>–</w:t>
      </w:r>
      <w:r w:rsidRPr="0038338B">
        <w:rPr>
          <w:rFonts w:hint="cs"/>
          <w:sz w:val="24"/>
          <w:rtl/>
        </w:rPr>
        <w:t xml:space="preserve"> מערכת הכללים שקבע הגוף המוסדי כאמור בסעיף 4, לרבות כללים לפי סעיף 8 שהוחלו עליו בהתאם להוראות סעיף 4(ב).</w:t>
      </w:r>
    </w:p>
    <w:p w:rsidR="0038338B" w:rsidRPr="0038338B" w:rsidRDefault="0038338B" w:rsidP="0038338B">
      <w:pPr>
        <w:overflowPunct/>
        <w:autoSpaceDE/>
        <w:autoSpaceDN/>
        <w:adjustRightInd/>
        <w:spacing w:line="360" w:lineRule="auto"/>
        <w:ind w:left="360"/>
        <w:jc w:val="both"/>
        <w:textAlignment w:val="auto"/>
        <w:rPr>
          <w:sz w:val="24"/>
          <w:rtl/>
        </w:rPr>
      </w:pPr>
    </w:p>
    <w:p w:rsidR="0038338B" w:rsidRPr="0038338B" w:rsidRDefault="0038338B" w:rsidP="0038338B">
      <w:pPr>
        <w:numPr>
          <w:ilvl w:val="0"/>
          <w:numId w:val="8"/>
        </w:numPr>
        <w:overflowPunct/>
        <w:autoSpaceDE/>
        <w:autoSpaceDN/>
        <w:adjustRightInd/>
        <w:spacing w:line="360" w:lineRule="auto"/>
        <w:jc w:val="both"/>
        <w:textAlignment w:val="auto"/>
        <w:rPr>
          <w:b/>
          <w:bCs/>
          <w:sz w:val="24"/>
        </w:rPr>
      </w:pPr>
      <w:r w:rsidRPr="0038338B">
        <w:rPr>
          <w:rFonts w:hint="cs"/>
          <w:b/>
          <w:bCs/>
          <w:sz w:val="24"/>
          <w:rtl/>
        </w:rPr>
        <w:t>פרסום ומסירת מערכת הכללים</w:t>
      </w:r>
    </w:p>
    <w:p w:rsidR="0038338B" w:rsidRPr="0038338B" w:rsidRDefault="0038338B" w:rsidP="0038338B">
      <w:pPr>
        <w:numPr>
          <w:ilvl w:val="1"/>
          <w:numId w:val="8"/>
        </w:numPr>
        <w:overflowPunct/>
        <w:autoSpaceDE/>
        <w:autoSpaceDN/>
        <w:adjustRightInd/>
        <w:spacing w:line="360" w:lineRule="auto"/>
        <w:jc w:val="both"/>
        <w:textAlignment w:val="auto"/>
        <w:rPr>
          <w:sz w:val="24"/>
        </w:rPr>
      </w:pPr>
      <w:r w:rsidRPr="0038338B">
        <w:rPr>
          <w:rFonts w:hint="cs"/>
          <w:sz w:val="24"/>
          <w:rtl/>
        </w:rPr>
        <w:lastRenderedPageBreak/>
        <w:t>גוף מוסדי יציג באתר האינטרנט שלו, באופן זמין ובולט, את מערכת הכללים וטבלת המועדים לפי חוזר זה.</w:t>
      </w:r>
    </w:p>
    <w:p w:rsidR="0038338B" w:rsidRPr="0038338B" w:rsidRDefault="0038338B" w:rsidP="0038338B">
      <w:pPr>
        <w:numPr>
          <w:ilvl w:val="1"/>
          <w:numId w:val="8"/>
        </w:numPr>
        <w:overflowPunct/>
        <w:autoSpaceDE/>
        <w:autoSpaceDN/>
        <w:adjustRightInd/>
        <w:spacing w:line="360" w:lineRule="auto"/>
        <w:jc w:val="both"/>
        <w:textAlignment w:val="auto"/>
        <w:rPr>
          <w:sz w:val="24"/>
        </w:rPr>
      </w:pPr>
      <w:r w:rsidRPr="0038338B">
        <w:rPr>
          <w:rFonts w:hint="cs"/>
          <w:sz w:val="24"/>
          <w:rtl/>
        </w:rPr>
        <w:t>גוף מוסדי יציג באתר האינטרנט שלו העתקים ממערכות כללים קודמות ויציין לצד כל העתק את התקופה שבה מערכת הכללים הייתה בתוקף.</w:t>
      </w:r>
    </w:p>
    <w:p w:rsidR="0038338B" w:rsidRPr="0038338B" w:rsidRDefault="0038338B" w:rsidP="0038338B">
      <w:pPr>
        <w:numPr>
          <w:ilvl w:val="1"/>
          <w:numId w:val="8"/>
        </w:numPr>
        <w:overflowPunct/>
        <w:autoSpaceDE/>
        <w:autoSpaceDN/>
        <w:adjustRightInd/>
        <w:spacing w:line="360" w:lineRule="auto"/>
        <w:jc w:val="both"/>
        <w:textAlignment w:val="auto"/>
        <w:rPr>
          <w:sz w:val="24"/>
        </w:rPr>
      </w:pPr>
      <w:r w:rsidRPr="0038338B">
        <w:rPr>
          <w:rFonts w:hint="cs"/>
          <w:sz w:val="24"/>
          <w:rtl/>
        </w:rPr>
        <w:t>העתק ממערכת הכללים יימסר לכל פונה, לפי דרישתו.</w:t>
      </w:r>
    </w:p>
    <w:p w:rsidR="0038338B" w:rsidRPr="0038338B" w:rsidRDefault="0038338B" w:rsidP="0038338B">
      <w:pPr>
        <w:spacing w:line="360" w:lineRule="auto"/>
        <w:ind w:left="794"/>
        <w:jc w:val="both"/>
        <w:rPr>
          <w:sz w:val="24"/>
        </w:rPr>
      </w:pPr>
    </w:p>
    <w:p w:rsidR="0038338B" w:rsidRPr="0038338B" w:rsidRDefault="0038338B" w:rsidP="0038338B">
      <w:pPr>
        <w:numPr>
          <w:ilvl w:val="0"/>
          <w:numId w:val="8"/>
        </w:numPr>
        <w:overflowPunct/>
        <w:autoSpaceDE/>
        <w:autoSpaceDN/>
        <w:adjustRightInd/>
        <w:spacing w:line="360" w:lineRule="auto"/>
        <w:jc w:val="both"/>
        <w:textAlignment w:val="auto"/>
        <w:rPr>
          <w:sz w:val="24"/>
          <w:rtl/>
        </w:rPr>
      </w:pPr>
      <w:r w:rsidRPr="0038338B">
        <w:rPr>
          <w:rFonts w:hint="cs"/>
          <w:b/>
          <w:bCs/>
          <w:sz w:val="24"/>
          <w:rtl/>
        </w:rPr>
        <w:t>הכשרת העוסקים ביישוב תביעות</w:t>
      </w:r>
    </w:p>
    <w:p w:rsidR="0038338B" w:rsidRPr="0038338B" w:rsidRDefault="0038338B" w:rsidP="0038338B">
      <w:pPr>
        <w:overflowPunct/>
        <w:autoSpaceDE/>
        <w:autoSpaceDN/>
        <w:adjustRightInd/>
        <w:spacing w:line="360" w:lineRule="auto"/>
        <w:ind w:left="360"/>
        <w:jc w:val="both"/>
        <w:textAlignment w:val="auto"/>
        <w:rPr>
          <w:sz w:val="24"/>
          <w:rtl/>
        </w:rPr>
      </w:pPr>
      <w:r w:rsidRPr="0038338B">
        <w:rPr>
          <w:rFonts w:hint="cs"/>
          <w:sz w:val="24"/>
          <w:rtl/>
        </w:rPr>
        <w:t>גוף מוסדי יוודא כי כל מי שפועל מטעמו ביישוב תביעות יהיה בעל הכישורים הנדרשים לכך ויכיר את הוראות הדין הרלוונטיות, את מוצרי הגוף המוסדי הרלבנטיים לסוג התביעות שבהן הוא מטפל ואת נהלי הגוף המוסדי.</w:t>
      </w:r>
    </w:p>
    <w:p w:rsidR="0038338B" w:rsidRPr="0038338B" w:rsidRDefault="0038338B" w:rsidP="0038338B">
      <w:pPr>
        <w:overflowPunct/>
        <w:autoSpaceDE/>
        <w:autoSpaceDN/>
        <w:adjustRightInd/>
        <w:spacing w:line="360" w:lineRule="auto"/>
        <w:jc w:val="both"/>
        <w:textAlignment w:val="auto"/>
        <w:rPr>
          <w:sz w:val="24"/>
          <w:rtl/>
        </w:rPr>
      </w:pPr>
    </w:p>
    <w:p w:rsidR="0038338B" w:rsidRPr="0038338B" w:rsidRDefault="0038338B" w:rsidP="0038338B">
      <w:pPr>
        <w:numPr>
          <w:ilvl w:val="0"/>
          <w:numId w:val="8"/>
        </w:numPr>
        <w:overflowPunct/>
        <w:autoSpaceDE/>
        <w:autoSpaceDN/>
        <w:adjustRightInd/>
        <w:spacing w:line="360" w:lineRule="auto"/>
        <w:jc w:val="both"/>
        <w:textAlignment w:val="auto"/>
        <w:rPr>
          <w:b/>
          <w:bCs/>
          <w:sz w:val="24"/>
          <w:rtl/>
        </w:rPr>
      </w:pPr>
      <w:r w:rsidRPr="0038338B">
        <w:rPr>
          <w:rFonts w:hint="cs"/>
          <w:b/>
          <w:bCs/>
          <w:sz w:val="24"/>
          <w:rtl/>
        </w:rPr>
        <w:t>כללים לבירור וליישוב תביעות ולטיפול בפניות ציבור</w:t>
      </w:r>
    </w:p>
    <w:p w:rsidR="0038338B" w:rsidRPr="0038338B" w:rsidRDefault="0038338B" w:rsidP="0038338B">
      <w:pPr>
        <w:numPr>
          <w:ilvl w:val="1"/>
          <w:numId w:val="8"/>
        </w:numPr>
        <w:overflowPunct/>
        <w:autoSpaceDE/>
        <w:autoSpaceDN/>
        <w:adjustRightInd/>
        <w:spacing w:line="360" w:lineRule="auto"/>
        <w:jc w:val="both"/>
        <w:textAlignment w:val="auto"/>
        <w:rPr>
          <w:b/>
          <w:bCs/>
          <w:sz w:val="24"/>
          <w:rtl/>
        </w:rPr>
      </w:pPr>
      <w:r w:rsidRPr="0038338B">
        <w:rPr>
          <w:rFonts w:hint="cs"/>
          <w:b/>
          <w:bCs/>
          <w:sz w:val="24"/>
          <w:rtl/>
        </w:rPr>
        <w:t>מסמכים ומידע בבירור תביעה</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tl/>
        </w:rPr>
      </w:pPr>
      <w:r w:rsidRPr="0038338B">
        <w:rPr>
          <w:rFonts w:hint="cs"/>
          <w:sz w:val="24"/>
          <w:rtl/>
        </w:rPr>
        <w:t>פנה אדם בקשר להגשת תביעה לגוף מוסדי או למי מטעמו (בפסקה זו - הפניה), ימסור לו הגוף המוסדי בהקדם האפשרי ממועד הפניה לגוף המוסדי או למי מטעמו, את המסמכים המפורטים להלן, הרלבנטיים לסוג התביעה:</w:t>
      </w:r>
    </w:p>
    <w:p w:rsidR="0038338B" w:rsidRPr="0038338B" w:rsidRDefault="0038338B" w:rsidP="0038338B">
      <w:pPr>
        <w:numPr>
          <w:ilvl w:val="0"/>
          <w:numId w:val="9"/>
        </w:numPr>
        <w:tabs>
          <w:tab w:val="num" w:pos="1556"/>
        </w:tabs>
        <w:overflowPunct/>
        <w:autoSpaceDE/>
        <w:autoSpaceDN/>
        <w:adjustRightInd/>
        <w:spacing w:line="360" w:lineRule="auto"/>
        <w:ind w:left="1556"/>
        <w:jc w:val="both"/>
        <w:textAlignment w:val="auto"/>
        <w:rPr>
          <w:sz w:val="24"/>
        </w:rPr>
      </w:pPr>
      <w:r w:rsidRPr="0038338B">
        <w:rPr>
          <w:rFonts w:hint="cs"/>
          <w:sz w:val="24"/>
          <w:rtl/>
        </w:rPr>
        <w:t>מערכת הכללים של הגוף המוסדי;</w:t>
      </w:r>
    </w:p>
    <w:p w:rsidR="0038338B" w:rsidRPr="0038338B" w:rsidRDefault="0038338B" w:rsidP="0038338B">
      <w:pPr>
        <w:numPr>
          <w:ilvl w:val="0"/>
          <w:numId w:val="9"/>
        </w:numPr>
        <w:tabs>
          <w:tab w:val="num" w:pos="1556"/>
        </w:tabs>
        <w:overflowPunct/>
        <w:autoSpaceDE/>
        <w:autoSpaceDN/>
        <w:adjustRightInd/>
        <w:spacing w:line="360" w:lineRule="auto"/>
        <w:ind w:left="1556"/>
        <w:jc w:val="both"/>
        <w:textAlignment w:val="auto"/>
        <w:rPr>
          <w:sz w:val="24"/>
        </w:rPr>
      </w:pPr>
      <w:r w:rsidRPr="0038338B">
        <w:rPr>
          <w:rFonts w:hint="cs"/>
          <w:sz w:val="24"/>
          <w:rtl/>
        </w:rPr>
        <w:t>מסמך שבו יפורט הליך בירור ויישוב התביעה;</w:t>
      </w:r>
    </w:p>
    <w:p w:rsidR="0038338B" w:rsidRPr="0038338B" w:rsidRDefault="0038338B" w:rsidP="0038338B">
      <w:pPr>
        <w:numPr>
          <w:ilvl w:val="0"/>
          <w:numId w:val="9"/>
        </w:numPr>
        <w:tabs>
          <w:tab w:val="num" w:pos="1556"/>
        </w:tabs>
        <w:overflowPunct/>
        <w:autoSpaceDE/>
        <w:autoSpaceDN/>
        <w:adjustRightInd/>
        <w:spacing w:line="360" w:lineRule="auto"/>
        <w:ind w:left="1556"/>
        <w:jc w:val="both"/>
        <w:textAlignment w:val="auto"/>
        <w:rPr>
          <w:sz w:val="24"/>
          <w:rtl/>
        </w:rPr>
      </w:pPr>
      <w:r w:rsidRPr="0038338B">
        <w:rPr>
          <w:rFonts w:hint="cs"/>
          <w:sz w:val="24"/>
          <w:rtl/>
        </w:rPr>
        <w:t>הנחיות בדבר אופן הפעולה הנדרש מתובע; הנחיות אלו יכללו, בין היתר, מידע לגבי זכותו של תובע לקבל שיפוי על הוצאות שהיו לו אשר הגוף המוסדי חייב לשפותו בגינן (כגון שיפוי בשל צעדים שננקטו על ידו לשם הקטנת הנזק, שיפוי בשל תשלום למומחה עבור חוות דעת וכדומה);</w:t>
      </w:r>
    </w:p>
    <w:p w:rsidR="0038338B" w:rsidRPr="0038338B" w:rsidRDefault="0038338B" w:rsidP="0038338B">
      <w:pPr>
        <w:numPr>
          <w:ilvl w:val="0"/>
          <w:numId w:val="9"/>
        </w:numPr>
        <w:tabs>
          <w:tab w:val="num" w:pos="1556"/>
        </w:tabs>
        <w:overflowPunct/>
        <w:autoSpaceDE/>
        <w:autoSpaceDN/>
        <w:adjustRightInd/>
        <w:spacing w:line="360" w:lineRule="auto"/>
        <w:ind w:left="1556"/>
        <w:jc w:val="both"/>
        <w:textAlignment w:val="auto"/>
        <w:rPr>
          <w:sz w:val="24"/>
        </w:rPr>
      </w:pPr>
      <w:r w:rsidRPr="0038338B">
        <w:rPr>
          <w:rFonts w:hint="cs"/>
          <w:sz w:val="24"/>
          <w:rtl/>
        </w:rPr>
        <w:t>פירוט המידע והמסמכים הנדרשים מתובע לשם בירור ויישוב תביעה;</w:t>
      </w:r>
    </w:p>
    <w:p w:rsidR="0038338B" w:rsidRPr="0038338B" w:rsidRDefault="0038338B" w:rsidP="0038338B">
      <w:pPr>
        <w:numPr>
          <w:ilvl w:val="0"/>
          <w:numId w:val="9"/>
        </w:numPr>
        <w:tabs>
          <w:tab w:val="num" w:pos="1556"/>
        </w:tabs>
        <w:overflowPunct/>
        <w:autoSpaceDE/>
        <w:autoSpaceDN/>
        <w:adjustRightInd/>
        <w:spacing w:line="360" w:lineRule="auto"/>
        <w:ind w:left="1556"/>
        <w:jc w:val="both"/>
        <w:textAlignment w:val="auto"/>
        <w:rPr>
          <w:sz w:val="24"/>
        </w:rPr>
      </w:pPr>
      <w:r w:rsidRPr="0038338B">
        <w:rPr>
          <w:rFonts w:hint="cs"/>
          <w:sz w:val="24"/>
          <w:rtl/>
        </w:rPr>
        <w:t>טופס הגשת תביעה, ככל שישנו, והנחיות לגבי מילויו;</w:t>
      </w:r>
    </w:p>
    <w:p w:rsidR="0038338B" w:rsidRPr="0038338B" w:rsidRDefault="0038338B" w:rsidP="0038338B">
      <w:pPr>
        <w:numPr>
          <w:ilvl w:val="0"/>
          <w:numId w:val="9"/>
        </w:numPr>
        <w:tabs>
          <w:tab w:val="num" w:pos="1556"/>
        </w:tabs>
        <w:overflowPunct/>
        <w:autoSpaceDE/>
        <w:autoSpaceDN/>
        <w:adjustRightInd/>
        <w:spacing w:line="360" w:lineRule="auto"/>
        <w:ind w:left="1556"/>
        <w:jc w:val="both"/>
        <w:textAlignment w:val="auto"/>
        <w:rPr>
          <w:sz w:val="24"/>
        </w:rPr>
      </w:pPr>
      <w:r w:rsidRPr="0038338B">
        <w:rPr>
          <w:rFonts w:hint="cs"/>
          <w:sz w:val="24"/>
          <w:rtl/>
        </w:rPr>
        <w:t>הודעה על תקופת ההתיישנות לפי סעיף 8ז(1).</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המסמכים המפורטים בפסקה (1) יפורסמו באתר האינטרנט של הגוף המוסדי.</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על אף האמור בפסקה (1), שלח הגוף המוסדי הודעת תשלום כאמור בסעיף קטן (ג), יהיה פטור ממסירת המסמכים המפורטים בפסקה (1)(ב) עד (ו).</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על אף האמור בפסקה (1), הוריד הפונה את המסמכים האמורים שם מאתר האינטרנט של הגוף המוסדי, יהיה פטור הגוף המוסדי ממסירת המסמכים כאמור בפסקה (1).</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גוף מוסדי לא ידרוש מתובע מידע או מסמכים שתובע סביר אינו יכול להשיגם או אינו רשאי לקבלם, אלא אם כן יש לגוף המוסדי יסוד ממשי להניח שהמידע או המסמכים כאמור נמצאים בידי התובע.</w:t>
      </w:r>
    </w:p>
    <w:p w:rsidR="0038338B" w:rsidRPr="0038338B" w:rsidRDefault="0038338B" w:rsidP="0038338B">
      <w:pPr>
        <w:tabs>
          <w:tab w:val="num" w:pos="1440"/>
          <w:tab w:val="num" w:pos="1533"/>
        </w:tabs>
        <w:spacing w:line="360" w:lineRule="auto"/>
        <w:jc w:val="both"/>
        <w:rPr>
          <w:sz w:val="24"/>
        </w:rPr>
      </w:pP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lastRenderedPageBreak/>
        <w:t xml:space="preserve">גוף מוסדי ימסור לתובע, בהקדם האפשרי מהמועד שבו נתקבל מידע או מסמך בקשר לתביעה אצל גוף מוסדי או מי מטעמו, הודעה בכתב. בהודעה יצוין המסמך שנתקבל, מועד קבלתו, ויפורטו בה המידע והמסמכים אשר נדרשו וטרם הומצאו על ידי התובע. גוף מוסדי רשאי לשלוח הודעה כאמור במסגרת הודעת המשך בירור לפי סעיף קטן (ו)(2). מצא גוף מוסדי כי דרושים לו מהתובע מידע ומסמכים נוספים לצורך בירור תביעה, ידרוש מסמכים אלו לא יאוחר מארבעה עשר ימי עסקים מהיום שהתברר לו הצורך בהם. </w:t>
      </w:r>
    </w:p>
    <w:p w:rsidR="0038338B" w:rsidRPr="0038338B" w:rsidRDefault="0038338B" w:rsidP="0038338B">
      <w:pPr>
        <w:overflowPunct/>
        <w:autoSpaceDE/>
        <w:autoSpaceDN/>
        <w:adjustRightInd/>
        <w:spacing w:line="360" w:lineRule="auto"/>
        <w:ind w:left="794"/>
        <w:jc w:val="both"/>
        <w:textAlignment w:val="auto"/>
        <w:rPr>
          <w:sz w:val="24"/>
        </w:rPr>
      </w:pPr>
    </w:p>
    <w:p w:rsidR="0038338B" w:rsidRPr="0038338B" w:rsidRDefault="0038338B" w:rsidP="0038338B">
      <w:pPr>
        <w:numPr>
          <w:ilvl w:val="1"/>
          <w:numId w:val="8"/>
        </w:numPr>
        <w:overflowPunct/>
        <w:autoSpaceDE/>
        <w:autoSpaceDN/>
        <w:adjustRightInd/>
        <w:spacing w:line="360" w:lineRule="auto"/>
        <w:jc w:val="both"/>
        <w:textAlignment w:val="auto"/>
        <w:rPr>
          <w:b/>
          <w:bCs/>
          <w:sz w:val="24"/>
          <w:rtl/>
        </w:rPr>
      </w:pPr>
      <w:r w:rsidRPr="0038338B">
        <w:rPr>
          <w:rFonts w:hint="cs"/>
          <w:b/>
          <w:bCs/>
          <w:sz w:val="24"/>
          <w:rtl/>
        </w:rPr>
        <w:t>הודעה בדבר מהלך בירור התביעה ותוצאותיו</w:t>
      </w:r>
    </w:p>
    <w:p w:rsidR="0038338B" w:rsidRPr="0038338B" w:rsidRDefault="0038338B" w:rsidP="0038338B">
      <w:pPr>
        <w:overflowPunct/>
        <w:autoSpaceDE/>
        <w:autoSpaceDN/>
        <w:adjustRightInd/>
        <w:spacing w:line="360" w:lineRule="auto"/>
        <w:ind w:left="794"/>
        <w:jc w:val="both"/>
        <w:textAlignment w:val="auto"/>
        <w:rPr>
          <w:sz w:val="24"/>
          <w:rtl/>
        </w:rPr>
      </w:pPr>
      <w:r w:rsidRPr="0038338B">
        <w:rPr>
          <w:rFonts w:hint="cs"/>
          <w:sz w:val="24"/>
          <w:rtl/>
        </w:rPr>
        <w:t>על גוף מוסדי למסור לתובע, בתוך שלושים ימים מהיום שהיו בידיו כל המידע והמסמכים שהוא דרש מהתובע לשם בירור התביעה או עם תשלום התביעה, הודעה לפי סעיף קטן (ו), אם טרם מסר הודעה כאמור, הודעה לפי סעיפים קטנים (ג), (ד) או (ה), בהתאם לנסיבות העניין. דרש גוף מוסדי כי תביעה תוגש בכתב, באמצעות טופס הגשת תביעה כאמור בסעיף קטן (א)(1)(ה), תחל להימנות התקופה כאמור בסעיף קטן זה לא לפני שנתקבל הטופס בידי הגוף המוסדי.</w:t>
      </w:r>
    </w:p>
    <w:p w:rsidR="0038338B" w:rsidRPr="0038338B" w:rsidRDefault="0038338B" w:rsidP="0038338B">
      <w:pPr>
        <w:overflowPunct/>
        <w:autoSpaceDE/>
        <w:autoSpaceDN/>
        <w:adjustRightInd/>
        <w:spacing w:line="360" w:lineRule="auto"/>
        <w:ind w:left="794"/>
        <w:jc w:val="both"/>
        <w:textAlignment w:val="auto"/>
        <w:rPr>
          <w:sz w:val="24"/>
          <w:rtl/>
        </w:rPr>
      </w:pPr>
    </w:p>
    <w:p w:rsidR="0038338B" w:rsidRPr="0038338B" w:rsidRDefault="0038338B" w:rsidP="0038338B">
      <w:pPr>
        <w:numPr>
          <w:ilvl w:val="1"/>
          <w:numId w:val="8"/>
        </w:numPr>
        <w:overflowPunct/>
        <w:autoSpaceDE/>
        <w:autoSpaceDN/>
        <w:adjustRightInd/>
        <w:spacing w:line="360" w:lineRule="auto"/>
        <w:jc w:val="both"/>
        <w:textAlignment w:val="auto"/>
        <w:rPr>
          <w:b/>
          <w:bCs/>
          <w:sz w:val="24"/>
        </w:rPr>
      </w:pPr>
      <w:r w:rsidRPr="0038338B">
        <w:rPr>
          <w:rFonts w:hint="cs"/>
          <w:b/>
          <w:bCs/>
          <w:sz w:val="24"/>
          <w:rtl/>
        </w:rPr>
        <w:t>הודעת תשלום והודעת תשלום חלקי</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 xml:space="preserve">החליט גוף מוסדי על תשלום תביעה - ימסור לתובע במועד התשלום הודעה בכתב (להלן - </w:t>
      </w:r>
      <w:r w:rsidRPr="0038338B">
        <w:rPr>
          <w:rFonts w:hint="cs"/>
          <w:b/>
          <w:bCs/>
          <w:sz w:val="24"/>
          <w:rtl/>
        </w:rPr>
        <w:t>הודעת תשלום</w:t>
      </w:r>
      <w:r w:rsidRPr="0038338B">
        <w:rPr>
          <w:rFonts w:hint="cs"/>
          <w:sz w:val="24"/>
          <w:rtl/>
        </w:rPr>
        <w:t>) שתכלול, בין השאר, התייחסות לגבי העניינים הבאים, ככל שהם רלבנטיים או שתכלול הפנייה למסמכים בעניינים כאמור, שיצורפו להודעה (כגון דוח שמאי או חוות דעת מומחה):</w:t>
      </w:r>
    </w:p>
    <w:p w:rsidR="0038338B" w:rsidRPr="0038338B" w:rsidRDefault="0038338B" w:rsidP="0038338B">
      <w:pPr>
        <w:numPr>
          <w:ilvl w:val="3"/>
          <w:numId w:val="10"/>
        </w:numPr>
        <w:overflowPunct/>
        <w:autoSpaceDE/>
        <w:autoSpaceDN/>
        <w:adjustRightInd/>
        <w:spacing w:line="360" w:lineRule="auto"/>
        <w:jc w:val="both"/>
        <w:textAlignment w:val="auto"/>
        <w:rPr>
          <w:sz w:val="24"/>
        </w:rPr>
      </w:pPr>
      <w:r w:rsidRPr="0038338B">
        <w:rPr>
          <w:rFonts w:hint="cs"/>
          <w:sz w:val="24"/>
          <w:rtl/>
        </w:rPr>
        <w:t xml:space="preserve">לגבי תשלום חד פעמי - עילת התשלום; פירוט סביר ובהיר בדבר אופן החישוב; גובה הנזק; סכום המס שנוכה במקור, אופן חישובו וציון הוראות הדין שלפיהן חושב ונוכה, הפניה לתלוש שכר או הפניה לאישור מאת שלטונות המס שיצורף להודעה; פירוט בדבר קיזוז תשלומים אחרים שמגיעים לתובע שלא מהגוף המוסדי בשל נסיבות הקשורות לאותה עילת תביעה ושלפי הפוליסה, התקנון או הדין קוזזו מהתשלום; סכום ההשתתפות העצמית; פירוט בדבר קיזוז סכומים אחרים שמגיעים לגוף המוסדי מאת התובע; פירוט בדבר קיזוז מקדמות או סכומים שאינם שנויים במחלוקת אם שולמו כאלה; סוג ההצמדה ושיטת ההצמדה; הריבית החלה וציון ההוראות החלות לגביה; הסכום </w:t>
      </w:r>
      <w:proofErr w:type="spellStart"/>
      <w:r w:rsidRPr="0038338B">
        <w:rPr>
          <w:rFonts w:hint="cs"/>
          <w:sz w:val="24"/>
          <w:rtl/>
        </w:rPr>
        <w:t>שנתווסף</w:t>
      </w:r>
      <w:proofErr w:type="spellEnd"/>
      <w:r w:rsidRPr="0038338B">
        <w:rPr>
          <w:rFonts w:hint="cs"/>
          <w:sz w:val="24"/>
          <w:rtl/>
        </w:rPr>
        <w:t xml:space="preserve"> לתשלום בגין הפרשי הצמדה וריבית; סכום התשלום בפיגור וציון ההוראות החלות לגבי הריבית הנגבית בשל הפיגור; המועד שבו היו בידי הגוף המוסדי כל המידע והמסמכים הדרושים לבירור התביעה. </w:t>
      </w:r>
    </w:p>
    <w:p w:rsidR="0038338B" w:rsidRPr="0038338B" w:rsidRDefault="0038338B" w:rsidP="0038338B">
      <w:pPr>
        <w:numPr>
          <w:ilvl w:val="3"/>
          <w:numId w:val="10"/>
        </w:numPr>
        <w:overflowPunct/>
        <w:autoSpaceDE/>
        <w:autoSpaceDN/>
        <w:adjustRightInd/>
        <w:spacing w:line="360" w:lineRule="auto"/>
        <w:jc w:val="both"/>
        <w:textAlignment w:val="auto"/>
        <w:rPr>
          <w:sz w:val="24"/>
        </w:rPr>
      </w:pPr>
      <w:r w:rsidRPr="0038338B">
        <w:rPr>
          <w:rFonts w:hint="cs"/>
          <w:sz w:val="24"/>
          <w:rtl/>
        </w:rPr>
        <w:t xml:space="preserve">לגבי תשלום עיתי (לרבות קצבה) יפורט, במועד התשלום הראשון, בנוסף לאמור בפסקה (א) - סכום התשלום הראשון; מנגנון עדכון התשלומים; המועד הראשון שבשלו זכאי התובע לתשלום; משך התקופה </w:t>
      </w:r>
      <w:proofErr w:type="spellStart"/>
      <w:r w:rsidRPr="0038338B">
        <w:rPr>
          <w:rFonts w:hint="cs"/>
          <w:sz w:val="24"/>
          <w:rtl/>
        </w:rPr>
        <w:t>המירבית</w:t>
      </w:r>
      <w:proofErr w:type="spellEnd"/>
      <w:r w:rsidRPr="0038338B">
        <w:rPr>
          <w:rFonts w:hint="cs"/>
          <w:sz w:val="24"/>
          <w:rtl/>
        </w:rPr>
        <w:t xml:space="preserve"> שבשלה זכאי התובע </w:t>
      </w:r>
      <w:r w:rsidRPr="0038338B">
        <w:rPr>
          <w:rFonts w:hint="cs"/>
          <w:sz w:val="24"/>
          <w:rtl/>
        </w:rPr>
        <w:lastRenderedPageBreak/>
        <w:t>לתשלומים בכפוף להוראות הפוליסה, התקנון או הדין; משך התקופה עד לבדיקה מחודשת של זכאות; הכללים לבדיקה מחודשת של זכאות במהלך תקופת הזכאות לתשלומים; מנגנון הארכת תקופת הזכאות לתשלומים.</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 xml:space="preserve">החליט גוף מוסדי על תשלום התביעה תוך דחיית חלק מהתביעה לגבי סכומים שנדרשו או חלק מהעילות שנדרשו - ימסור לתובע במועד התשלום הודעה בכתב (להלן- </w:t>
      </w:r>
      <w:r w:rsidRPr="0038338B">
        <w:rPr>
          <w:rFonts w:hint="cs"/>
          <w:b/>
          <w:bCs/>
          <w:sz w:val="24"/>
          <w:rtl/>
        </w:rPr>
        <w:t>הודעת תשלום חלקי</w:t>
      </w:r>
      <w:r w:rsidRPr="0038338B">
        <w:rPr>
          <w:rFonts w:hint="cs"/>
          <w:sz w:val="24"/>
          <w:rtl/>
        </w:rPr>
        <w:t>) שבה שני חלקים כמפורט להלן:</w:t>
      </w:r>
    </w:p>
    <w:p w:rsidR="0038338B" w:rsidRPr="0038338B" w:rsidRDefault="0038338B" w:rsidP="0038338B">
      <w:pPr>
        <w:spacing w:line="360" w:lineRule="auto"/>
        <w:ind w:left="1106"/>
        <w:jc w:val="both"/>
        <w:rPr>
          <w:sz w:val="24"/>
          <w:rtl/>
        </w:rPr>
      </w:pPr>
      <w:r w:rsidRPr="0038338B">
        <w:rPr>
          <w:rFonts w:hint="cs"/>
          <w:sz w:val="24"/>
          <w:rtl/>
        </w:rPr>
        <w:t>החלק הראשון - בחלק זה יפורטו מרכיביו של התשלום שבו הכיר הגוף המוסדי, ויחולו לגביו ההוראות הקבועות בפסקה (1).</w:t>
      </w:r>
    </w:p>
    <w:p w:rsidR="0038338B" w:rsidRPr="0038338B" w:rsidRDefault="0038338B" w:rsidP="0038338B">
      <w:pPr>
        <w:spacing w:line="360" w:lineRule="auto"/>
        <w:ind w:left="1106"/>
        <w:jc w:val="both"/>
        <w:rPr>
          <w:sz w:val="24"/>
          <w:rtl/>
        </w:rPr>
      </w:pPr>
      <w:r w:rsidRPr="0038338B">
        <w:rPr>
          <w:rFonts w:hint="cs"/>
          <w:sz w:val="24"/>
          <w:rtl/>
        </w:rPr>
        <w:t>החלק השני - בחלק זה יפורטו הנימוקים העומדים בבסיס החלטתו של הגוף המוסדי לדחות חלק מהתביעה, ויחולו לגביו ההוראות הקבועות בסעיף 8(ה).</w:t>
      </w:r>
    </w:p>
    <w:p w:rsidR="0038338B" w:rsidRPr="0038338B" w:rsidRDefault="0038338B" w:rsidP="0038338B">
      <w:pPr>
        <w:spacing w:line="360" w:lineRule="auto"/>
        <w:ind w:left="1106"/>
        <w:jc w:val="both"/>
        <w:rPr>
          <w:sz w:val="24"/>
          <w:rtl/>
        </w:rPr>
      </w:pPr>
    </w:p>
    <w:p w:rsidR="0038338B" w:rsidRPr="0038338B" w:rsidRDefault="0038338B" w:rsidP="0038338B">
      <w:pPr>
        <w:numPr>
          <w:ilvl w:val="1"/>
          <w:numId w:val="8"/>
        </w:numPr>
        <w:overflowPunct/>
        <w:autoSpaceDE/>
        <w:autoSpaceDN/>
        <w:adjustRightInd/>
        <w:spacing w:line="360" w:lineRule="auto"/>
        <w:jc w:val="both"/>
        <w:textAlignment w:val="auto"/>
        <w:rPr>
          <w:b/>
          <w:bCs/>
          <w:sz w:val="24"/>
          <w:rtl/>
        </w:rPr>
      </w:pPr>
      <w:r w:rsidRPr="0038338B">
        <w:rPr>
          <w:rFonts w:hint="cs"/>
          <w:b/>
          <w:bCs/>
          <w:sz w:val="24"/>
          <w:rtl/>
        </w:rPr>
        <w:t>הודעת פשרה</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חברת ביטוח לא תציע לתובע הצעת פשרה בלתי סבירה למועד ההצעה.</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 xml:space="preserve">הסכימו הצדדים על תשלום במסגרת הסדר פשרה - תמסור חברת הביטוח לתובע הצעת פשרה בכתב (להלן - </w:t>
      </w:r>
      <w:r w:rsidRPr="0038338B">
        <w:rPr>
          <w:rFonts w:hint="cs"/>
          <w:b/>
          <w:bCs/>
          <w:sz w:val="24"/>
          <w:rtl/>
        </w:rPr>
        <w:t>הודעת פשרה</w:t>
      </w:r>
      <w:r w:rsidRPr="0038338B">
        <w:rPr>
          <w:rFonts w:hint="cs"/>
          <w:sz w:val="24"/>
          <w:rtl/>
        </w:rPr>
        <w:t>) ותיתן לו זמן סביר לעיין בתנאיה.</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 xml:space="preserve">בהודעת הפשרה יפורטו מקרה הביטוח, הנימוקים שביסוד הפשרה, מרכיבי התשלום שאינם שנויים במחלוקת ככל שישנם, הסכום שנקבע בפשרה, הסכום לתשלום והפער בין הסכום שנקבע בפשרה ובין הסכום לתשלום, ככל שקיים פער כאמור. </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כל עוד לא אישר התובע את הודעת הפשרה היא לא תחייב את הצדדים.</w:t>
      </w:r>
    </w:p>
    <w:p w:rsidR="0038338B" w:rsidRPr="0038338B" w:rsidRDefault="0038338B" w:rsidP="0038338B">
      <w:pPr>
        <w:tabs>
          <w:tab w:val="num" w:pos="1533"/>
        </w:tabs>
        <w:spacing w:line="360" w:lineRule="auto"/>
        <w:ind w:left="1106"/>
        <w:jc w:val="both"/>
        <w:rPr>
          <w:sz w:val="24"/>
        </w:rPr>
      </w:pPr>
    </w:p>
    <w:p w:rsidR="0038338B" w:rsidRPr="0038338B" w:rsidRDefault="0038338B" w:rsidP="0038338B">
      <w:pPr>
        <w:numPr>
          <w:ilvl w:val="1"/>
          <w:numId w:val="8"/>
        </w:numPr>
        <w:overflowPunct/>
        <w:autoSpaceDE/>
        <w:autoSpaceDN/>
        <w:adjustRightInd/>
        <w:spacing w:line="360" w:lineRule="auto"/>
        <w:jc w:val="both"/>
        <w:textAlignment w:val="auto"/>
        <w:rPr>
          <w:b/>
          <w:bCs/>
          <w:sz w:val="24"/>
          <w:rtl/>
        </w:rPr>
      </w:pPr>
      <w:r w:rsidRPr="0038338B">
        <w:rPr>
          <w:rFonts w:hint="cs"/>
          <w:b/>
          <w:bCs/>
          <w:sz w:val="24"/>
          <w:rtl/>
        </w:rPr>
        <w:t>הודעת דחייה</w:t>
      </w:r>
    </w:p>
    <w:p w:rsidR="0038338B" w:rsidRPr="0038338B" w:rsidRDefault="0038338B" w:rsidP="0038338B">
      <w:pPr>
        <w:overflowPunct/>
        <w:autoSpaceDE/>
        <w:autoSpaceDN/>
        <w:adjustRightInd/>
        <w:spacing w:line="360" w:lineRule="auto"/>
        <w:ind w:left="799"/>
        <w:jc w:val="both"/>
        <w:textAlignment w:val="auto"/>
        <w:rPr>
          <w:sz w:val="24"/>
          <w:rtl/>
        </w:rPr>
      </w:pPr>
      <w:r w:rsidRPr="0038338B">
        <w:rPr>
          <w:rFonts w:hint="cs"/>
          <w:sz w:val="24"/>
          <w:rtl/>
        </w:rPr>
        <w:t xml:space="preserve">החליט גוף מוסדי על דחיית תביעה - ימסור לתובע הודעה בכתב (להלן - </w:t>
      </w:r>
      <w:r w:rsidRPr="0038338B">
        <w:rPr>
          <w:rFonts w:hint="cs"/>
          <w:b/>
          <w:bCs/>
          <w:sz w:val="24"/>
          <w:rtl/>
        </w:rPr>
        <w:t>הודעת דחייה</w:t>
      </w:r>
      <w:r w:rsidRPr="0038338B">
        <w:rPr>
          <w:rFonts w:hint="cs"/>
          <w:sz w:val="24"/>
          <w:rtl/>
        </w:rPr>
        <w:t>). נימוקי הדחייה יכללו גם את תנאי הפוליסה או התקנון, התניה או הסייג שנקבעו במועד ההצטרפות או במועד חידוש הכיסוי הביטוחי, או הוראות הדין, אשר בשלם נדחית התביעה, ככל שהדחייה נסמכת עליהם.</w:t>
      </w:r>
    </w:p>
    <w:p w:rsidR="0038338B" w:rsidRPr="0038338B" w:rsidRDefault="0038338B" w:rsidP="0038338B">
      <w:pPr>
        <w:overflowPunct/>
        <w:autoSpaceDE/>
        <w:autoSpaceDN/>
        <w:adjustRightInd/>
        <w:spacing w:line="360" w:lineRule="auto"/>
        <w:ind w:left="799"/>
        <w:jc w:val="both"/>
        <w:textAlignment w:val="auto"/>
        <w:rPr>
          <w:sz w:val="24"/>
        </w:rPr>
      </w:pPr>
    </w:p>
    <w:p w:rsidR="0038338B" w:rsidRPr="0038338B" w:rsidRDefault="0038338B" w:rsidP="0038338B">
      <w:pPr>
        <w:numPr>
          <w:ilvl w:val="1"/>
          <w:numId w:val="8"/>
        </w:numPr>
        <w:overflowPunct/>
        <w:autoSpaceDE/>
        <w:autoSpaceDN/>
        <w:adjustRightInd/>
        <w:spacing w:line="360" w:lineRule="auto"/>
        <w:jc w:val="both"/>
        <w:textAlignment w:val="auto"/>
        <w:rPr>
          <w:b/>
          <w:bCs/>
          <w:sz w:val="24"/>
          <w:rtl/>
        </w:rPr>
      </w:pPr>
      <w:r w:rsidRPr="0038338B">
        <w:rPr>
          <w:rFonts w:hint="cs"/>
          <w:b/>
          <w:bCs/>
          <w:sz w:val="24"/>
          <w:rtl/>
        </w:rPr>
        <w:t>הודעת המשך בירור או הפסקת בירור</w:t>
      </w:r>
    </w:p>
    <w:p w:rsidR="0038338B" w:rsidRPr="0038338B" w:rsidRDefault="0038338B" w:rsidP="0038338B">
      <w:pPr>
        <w:numPr>
          <w:ilvl w:val="2"/>
          <w:numId w:val="11"/>
        </w:numPr>
        <w:overflowPunct/>
        <w:autoSpaceDE/>
        <w:autoSpaceDN/>
        <w:adjustRightInd/>
        <w:spacing w:line="360" w:lineRule="auto"/>
        <w:ind w:left="1106" w:hanging="270"/>
        <w:jc w:val="both"/>
        <w:textAlignment w:val="auto"/>
        <w:rPr>
          <w:sz w:val="24"/>
          <w:rtl/>
        </w:rPr>
      </w:pPr>
      <w:r w:rsidRPr="0038338B">
        <w:rPr>
          <w:rFonts w:hint="cs"/>
          <w:sz w:val="24"/>
          <w:rtl/>
        </w:rPr>
        <w:t xml:space="preserve">סבר גוף מוסדי כי דרוש לו זמן נוסף לשם בירור התביעה - ימסור לתובע הודעה בכתב שבה יפורטו הסיבות בגינן נדרש לו זמן נוסף לבירור התביעה (להלן - </w:t>
      </w:r>
      <w:r w:rsidRPr="0038338B">
        <w:rPr>
          <w:rFonts w:hint="cs"/>
          <w:b/>
          <w:bCs/>
          <w:sz w:val="24"/>
          <w:rtl/>
        </w:rPr>
        <w:t>הודעת המשך בירור</w:t>
      </w:r>
      <w:r w:rsidRPr="0038338B">
        <w:rPr>
          <w:rFonts w:hint="cs"/>
          <w:sz w:val="24"/>
          <w:rtl/>
        </w:rPr>
        <w:t>).</w:t>
      </w:r>
    </w:p>
    <w:p w:rsidR="0038338B" w:rsidRPr="0038338B" w:rsidRDefault="0038338B" w:rsidP="0038338B">
      <w:pPr>
        <w:numPr>
          <w:ilvl w:val="2"/>
          <w:numId w:val="11"/>
        </w:numPr>
        <w:overflowPunct/>
        <w:autoSpaceDE/>
        <w:autoSpaceDN/>
        <w:adjustRightInd/>
        <w:spacing w:line="360" w:lineRule="auto"/>
        <w:ind w:left="1106" w:hanging="270"/>
        <w:jc w:val="both"/>
        <w:textAlignment w:val="auto"/>
        <w:rPr>
          <w:sz w:val="24"/>
        </w:rPr>
      </w:pPr>
      <w:r w:rsidRPr="0038338B">
        <w:rPr>
          <w:rFonts w:hint="cs"/>
          <w:sz w:val="24"/>
          <w:rtl/>
        </w:rPr>
        <w:t xml:space="preserve">על גוף מוסדי לציין בהודעת המשך בירור כל מידע או מסמך נוסף הנדרש מהתובע לשם בירור התביעה. </w:t>
      </w:r>
    </w:p>
    <w:p w:rsidR="0038338B" w:rsidRPr="0038338B" w:rsidRDefault="0038338B" w:rsidP="0038338B">
      <w:pPr>
        <w:numPr>
          <w:ilvl w:val="2"/>
          <w:numId w:val="11"/>
        </w:numPr>
        <w:overflowPunct/>
        <w:autoSpaceDE/>
        <w:autoSpaceDN/>
        <w:adjustRightInd/>
        <w:spacing w:line="360" w:lineRule="auto"/>
        <w:ind w:left="1106" w:hanging="270"/>
        <w:jc w:val="both"/>
        <w:textAlignment w:val="auto"/>
        <w:rPr>
          <w:sz w:val="24"/>
          <w:rtl/>
        </w:rPr>
      </w:pPr>
      <w:r w:rsidRPr="0038338B">
        <w:rPr>
          <w:rFonts w:hint="cs"/>
          <w:sz w:val="24"/>
          <w:rtl/>
        </w:rPr>
        <w:t>הודעת המשך בירור</w:t>
      </w:r>
      <w:r w:rsidRPr="0038338B" w:rsidDel="00F15C38">
        <w:rPr>
          <w:rFonts w:hint="cs"/>
          <w:sz w:val="24"/>
          <w:rtl/>
        </w:rPr>
        <w:t xml:space="preserve"> </w:t>
      </w:r>
      <w:r w:rsidRPr="0038338B">
        <w:rPr>
          <w:rFonts w:hint="cs"/>
          <w:sz w:val="24"/>
          <w:rtl/>
        </w:rPr>
        <w:t xml:space="preserve">תימסר לתובע לפחות כל תשעים ימים ועד למשלוח הודעת תשלום, הודעת תשלום חלקי, הודעת דחייה או הודעת פשרה, לפי העניין. אם בהודעת המשך הבירור הקודמת ועל פי תנאי הפוליסה או התקנון נקבע מועד עתידי </w:t>
      </w:r>
      <w:r w:rsidRPr="0038338B">
        <w:rPr>
          <w:rFonts w:hint="cs"/>
          <w:sz w:val="24"/>
          <w:rtl/>
        </w:rPr>
        <w:lastRenderedPageBreak/>
        <w:t>להערכת הנזק, פטור הגוף המוסדי ממשלוח הודעות המשך בירור נוספות עד למועד האמור, ובלבד שתישלח הודעת המשך בירור לפחות לאחר שנה.</w:t>
      </w:r>
    </w:p>
    <w:p w:rsidR="0038338B" w:rsidRDefault="0038338B" w:rsidP="0038338B">
      <w:pPr>
        <w:numPr>
          <w:ilvl w:val="2"/>
          <w:numId w:val="11"/>
        </w:numPr>
        <w:overflowPunct/>
        <w:autoSpaceDE/>
        <w:autoSpaceDN/>
        <w:adjustRightInd/>
        <w:spacing w:line="360" w:lineRule="auto"/>
        <w:ind w:left="1106" w:hanging="270"/>
        <w:jc w:val="both"/>
        <w:textAlignment w:val="auto"/>
        <w:rPr>
          <w:sz w:val="24"/>
        </w:rPr>
      </w:pPr>
      <w:r w:rsidRPr="0038338B">
        <w:rPr>
          <w:rFonts w:hint="cs"/>
          <w:sz w:val="24"/>
          <w:rtl/>
        </w:rPr>
        <w:t>הגוף המוסדי פטור מחובתו לשלוח הודעות המשך בירור נוספות אם פנה התובע לערכאות משפטיות או אם לא הגיב התובע לאחר שנמסרו לו שתי הודעות המשך בירור עוקבות הכוללות דרישה למידע או למסמך לשם בירור התביעה ובלבד שבהודעה האחרונה לתובע ציין הגוף המוסדי כי לא ימסרו לו הודעות נוספות אם לא יתקבלו ממנו המסמכים הנדרשים או עד לקבלת תגובה אחרת.</w:t>
      </w:r>
    </w:p>
    <w:p w:rsidR="00AB679D" w:rsidRPr="0038338B" w:rsidRDefault="00AB679D" w:rsidP="00AB679D">
      <w:pPr>
        <w:overflowPunct/>
        <w:autoSpaceDE/>
        <w:autoSpaceDN/>
        <w:adjustRightInd/>
        <w:spacing w:line="360" w:lineRule="auto"/>
        <w:ind w:left="1106"/>
        <w:jc w:val="both"/>
        <w:textAlignment w:val="auto"/>
        <w:rPr>
          <w:sz w:val="24"/>
        </w:rPr>
      </w:pPr>
    </w:p>
    <w:p w:rsidR="0038338B" w:rsidRPr="0038338B" w:rsidRDefault="0038338B" w:rsidP="0038338B">
      <w:pPr>
        <w:numPr>
          <w:ilvl w:val="1"/>
          <w:numId w:val="8"/>
        </w:numPr>
        <w:overflowPunct/>
        <w:autoSpaceDE/>
        <w:autoSpaceDN/>
        <w:adjustRightInd/>
        <w:spacing w:line="360" w:lineRule="auto"/>
        <w:jc w:val="both"/>
        <w:textAlignment w:val="auto"/>
        <w:rPr>
          <w:b/>
          <w:bCs/>
          <w:sz w:val="24"/>
          <w:rtl/>
        </w:rPr>
      </w:pPr>
      <w:r w:rsidRPr="0038338B">
        <w:rPr>
          <w:rFonts w:hint="cs"/>
          <w:b/>
          <w:bCs/>
          <w:sz w:val="24"/>
          <w:rtl/>
        </w:rPr>
        <w:t>הודעה בדבר התיישנות תביעה</w:t>
      </w:r>
    </w:p>
    <w:p w:rsidR="0038338B" w:rsidRPr="0038338B" w:rsidRDefault="0038338B" w:rsidP="0038338B">
      <w:pPr>
        <w:numPr>
          <w:ilvl w:val="2"/>
          <w:numId w:val="12"/>
        </w:numPr>
        <w:overflowPunct/>
        <w:autoSpaceDE/>
        <w:autoSpaceDN/>
        <w:adjustRightInd/>
        <w:spacing w:line="360" w:lineRule="auto"/>
        <w:ind w:left="1106" w:hanging="270"/>
        <w:jc w:val="both"/>
        <w:textAlignment w:val="auto"/>
        <w:rPr>
          <w:sz w:val="24"/>
        </w:rPr>
      </w:pPr>
      <w:r w:rsidRPr="0038338B">
        <w:rPr>
          <w:rFonts w:hint="cs"/>
          <w:sz w:val="24"/>
          <w:rtl/>
        </w:rPr>
        <w:t xml:space="preserve">הודעת תשלום, הודעת תשלום חלקי, הודעת דחייה והודעת המשך בירור ראשונה - תכלול פסקה אשר בה תצוין בהבלטה מיוחדת תקופת התיישנות התביעה בהתאם להוראות הדין הרלוונטיות, וכן יצוין כי ככלל, הגשת התביעה לגוף מוסדי, אינה עוצרת את מרוץ ההתיישנות וכי רק הגשת תביעה לבית משפט עוצרת את מרוץ ההתיישנות (להלן - </w:t>
      </w:r>
      <w:r w:rsidRPr="0038338B">
        <w:rPr>
          <w:rFonts w:hint="cs"/>
          <w:b/>
          <w:bCs/>
          <w:sz w:val="24"/>
          <w:rtl/>
        </w:rPr>
        <w:t>פסקת התיישנות</w:t>
      </w:r>
      <w:r w:rsidRPr="0038338B">
        <w:rPr>
          <w:rFonts w:hint="cs"/>
          <w:sz w:val="24"/>
          <w:rtl/>
        </w:rPr>
        <w:t>).</w:t>
      </w:r>
    </w:p>
    <w:p w:rsidR="0038338B" w:rsidRPr="0038338B" w:rsidRDefault="0038338B" w:rsidP="0038338B">
      <w:pPr>
        <w:numPr>
          <w:ilvl w:val="2"/>
          <w:numId w:val="12"/>
        </w:numPr>
        <w:overflowPunct/>
        <w:autoSpaceDE/>
        <w:autoSpaceDN/>
        <w:adjustRightInd/>
        <w:spacing w:line="360" w:lineRule="auto"/>
        <w:ind w:left="1106" w:hanging="270"/>
        <w:jc w:val="both"/>
        <w:textAlignment w:val="auto"/>
        <w:rPr>
          <w:sz w:val="24"/>
        </w:rPr>
      </w:pPr>
      <w:r w:rsidRPr="0038338B">
        <w:rPr>
          <w:rFonts w:hint="cs"/>
          <w:sz w:val="24"/>
          <w:rtl/>
        </w:rPr>
        <w:t xml:space="preserve"> כל הודעה הנשלחת לתובע בנוגע לתביעה במהלך השנה שקדמה למועד הצפוי להתיישנות התביעה תכלול פסקת התיישנות, את מועד קרות מקרה הביטוח וכן יצוין בה כי מרוץ ההתיישנות החל במועד קרות מקרה הביטוח.</w:t>
      </w:r>
    </w:p>
    <w:p w:rsidR="0038338B" w:rsidRPr="0038338B" w:rsidRDefault="0038338B" w:rsidP="0038338B">
      <w:pPr>
        <w:numPr>
          <w:ilvl w:val="2"/>
          <w:numId w:val="12"/>
        </w:numPr>
        <w:overflowPunct/>
        <w:autoSpaceDE/>
        <w:autoSpaceDN/>
        <w:adjustRightInd/>
        <w:spacing w:line="360" w:lineRule="auto"/>
        <w:ind w:left="1106" w:hanging="270"/>
        <w:jc w:val="both"/>
        <w:textAlignment w:val="auto"/>
        <w:rPr>
          <w:sz w:val="24"/>
        </w:rPr>
      </w:pPr>
      <w:r w:rsidRPr="0038338B">
        <w:rPr>
          <w:rFonts w:hint="cs"/>
          <w:sz w:val="24"/>
          <w:rtl/>
        </w:rPr>
        <w:t>לא כלל גוף מוסדי פסקת התיישנות בהודעה לפי פסקה (1) שנשלחה לתובע שלא במהלך השנה שקדמה למועד הצפוי להתיישנות יראוהו כמי שהסכים שתקופת הזמן שבין המועד הראשון שבו היה עליו לתת הודעה ובה פסקת התיישנות לבין המועד שבו ניתנה בפועל הודעה ובה פסקת התיישנות, לא תובא במניין תקופת ההתיישנות.</w:t>
      </w:r>
      <w:r w:rsidRPr="0038338B">
        <w:rPr>
          <w:sz w:val="24"/>
        </w:rPr>
        <w:t xml:space="preserve"> </w:t>
      </w:r>
      <w:r w:rsidRPr="0038338B">
        <w:rPr>
          <w:rFonts w:hint="cs"/>
          <w:sz w:val="24"/>
          <w:rtl/>
        </w:rPr>
        <w:t>הסכמת הגוף המוסדי בפסקה זו, תחול רק לגבי ההפרה הראשונה של הגוף המוסדי.</w:t>
      </w:r>
    </w:p>
    <w:p w:rsidR="0038338B" w:rsidRPr="0038338B" w:rsidRDefault="0038338B" w:rsidP="0038338B">
      <w:pPr>
        <w:numPr>
          <w:ilvl w:val="2"/>
          <w:numId w:val="12"/>
        </w:numPr>
        <w:overflowPunct/>
        <w:autoSpaceDE/>
        <w:autoSpaceDN/>
        <w:adjustRightInd/>
        <w:spacing w:line="360" w:lineRule="auto"/>
        <w:ind w:left="1106" w:hanging="270"/>
        <w:jc w:val="both"/>
        <w:textAlignment w:val="auto"/>
        <w:rPr>
          <w:sz w:val="24"/>
        </w:rPr>
      </w:pPr>
      <w:r w:rsidRPr="0038338B">
        <w:rPr>
          <w:rFonts w:hint="cs"/>
          <w:sz w:val="24"/>
          <w:rtl/>
        </w:rPr>
        <w:t xml:space="preserve">לא כלל גוף מוסדי פסקת התיישנות בהודעה לפי פסקה (1) שנשלחה לתובע במהלך השנה שקדמה למועד הצפוי להתיישנות - יראוהו כמי שהסכים שתקופת הזמן שבין מועד שליחת ההודעה הראשונה בשנה האמורה לבין המועד שבו שלח הודעה שבה כלל פסקת התיישנות ואת מועד ההתיישנות, לא תובא במניין תקופת ההתיישנות. הסכמת הגוף המוסדי בפסקה זו, תחול רק לגבי ההפרה הראשונה של הגוף המוסדי במהלך השנה שקדמה למועד ההתיישנות. </w:t>
      </w:r>
    </w:p>
    <w:p w:rsidR="0038338B" w:rsidRPr="0038338B" w:rsidRDefault="0038338B" w:rsidP="0038338B">
      <w:pPr>
        <w:spacing w:line="360" w:lineRule="auto"/>
        <w:ind w:left="1106"/>
        <w:jc w:val="both"/>
        <w:rPr>
          <w:sz w:val="24"/>
        </w:rPr>
      </w:pPr>
    </w:p>
    <w:p w:rsidR="0038338B" w:rsidRPr="0038338B" w:rsidRDefault="0038338B" w:rsidP="0038338B">
      <w:pPr>
        <w:numPr>
          <w:ilvl w:val="1"/>
          <w:numId w:val="8"/>
        </w:numPr>
        <w:overflowPunct/>
        <w:autoSpaceDE/>
        <w:autoSpaceDN/>
        <w:adjustRightInd/>
        <w:spacing w:line="360" w:lineRule="auto"/>
        <w:jc w:val="both"/>
        <w:textAlignment w:val="auto"/>
        <w:rPr>
          <w:b/>
          <w:bCs/>
          <w:sz w:val="24"/>
          <w:rtl/>
        </w:rPr>
      </w:pPr>
      <w:r w:rsidRPr="0038338B">
        <w:rPr>
          <w:rFonts w:hint="cs"/>
          <w:b/>
          <w:bCs/>
          <w:sz w:val="24"/>
          <w:rtl/>
        </w:rPr>
        <w:t>הודעה בעניין זכות השגה על החלטה</w:t>
      </w:r>
    </w:p>
    <w:p w:rsidR="0038338B" w:rsidRPr="0038338B" w:rsidRDefault="0038338B" w:rsidP="0038338B">
      <w:pPr>
        <w:overflowPunct/>
        <w:autoSpaceDE/>
        <w:autoSpaceDN/>
        <w:adjustRightInd/>
        <w:spacing w:line="360" w:lineRule="auto"/>
        <w:ind w:left="794"/>
        <w:jc w:val="both"/>
        <w:textAlignment w:val="auto"/>
        <w:rPr>
          <w:sz w:val="24"/>
        </w:rPr>
      </w:pPr>
      <w:r w:rsidRPr="0038338B">
        <w:rPr>
          <w:rFonts w:hint="cs"/>
          <w:sz w:val="24"/>
          <w:rtl/>
        </w:rPr>
        <w:t>הודעת תשלום, הודעת תשלום חלקי או הודעת דחייה תכלול פסקה המציינת בהבלטה מיוחדת את זכויות התובע הבאות:</w:t>
      </w:r>
    </w:p>
    <w:p w:rsidR="0038338B" w:rsidRPr="0038338B" w:rsidRDefault="0038338B" w:rsidP="0038338B">
      <w:pPr>
        <w:numPr>
          <w:ilvl w:val="2"/>
          <w:numId w:val="13"/>
        </w:numPr>
        <w:overflowPunct/>
        <w:autoSpaceDE/>
        <w:autoSpaceDN/>
        <w:adjustRightInd/>
        <w:spacing w:line="360" w:lineRule="auto"/>
        <w:ind w:left="1106" w:hanging="270"/>
        <w:jc w:val="both"/>
        <w:textAlignment w:val="auto"/>
        <w:rPr>
          <w:sz w:val="24"/>
        </w:rPr>
      </w:pPr>
      <w:r w:rsidRPr="0038338B">
        <w:rPr>
          <w:rFonts w:hint="cs"/>
          <w:sz w:val="24"/>
          <w:rtl/>
        </w:rPr>
        <w:t xml:space="preserve">להשיג על ההחלטה והדרך להגשת השגה, ככל שנקבעו בפוליסה או בתקנון, לרבות זכותו להגיש חוות דעת של מומחה מטעמו. </w:t>
      </w:r>
    </w:p>
    <w:p w:rsidR="0038338B" w:rsidRPr="0038338B" w:rsidRDefault="0038338B" w:rsidP="0038338B">
      <w:pPr>
        <w:numPr>
          <w:ilvl w:val="2"/>
          <w:numId w:val="13"/>
        </w:numPr>
        <w:overflowPunct/>
        <w:autoSpaceDE/>
        <w:autoSpaceDN/>
        <w:adjustRightInd/>
        <w:spacing w:line="360" w:lineRule="auto"/>
        <w:ind w:left="1106" w:hanging="270"/>
        <w:jc w:val="both"/>
        <w:textAlignment w:val="auto"/>
        <w:rPr>
          <w:sz w:val="24"/>
          <w:rtl/>
        </w:rPr>
      </w:pPr>
      <w:r w:rsidRPr="0038338B">
        <w:rPr>
          <w:rFonts w:hint="cs"/>
          <w:sz w:val="24"/>
          <w:rtl/>
        </w:rPr>
        <w:t>להביא את השגתו בפני הממונה על פניות הציבור של הגוף המוסדי, תוך ציון פרטי הממונה והאופן שבו ניתן לפנות אליו.</w:t>
      </w:r>
    </w:p>
    <w:p w:rsidR="0038338B" w:rsidRPr="0038338B" w:rsidRDefault="0038338B" w:rsidP="0038338B">
      <w:pPr>
        <w:numPr>
          <w:ilvl w:val="2"/>
          <w:numId w:val="13"/>
        </w:numPr>
        <w:overflowPunct/>
        <w:autoSpaceDE/>
        <w:autoSpaceDN/>
        <w:adjustRightInd/>
        <w:spacing w:line="360" w:lineRule="auto"/>
        <w:ind w:left="1106" w:hanging="270"/>
        <w:jc w:val="both"/>
        <w:textAlignment w:val="auto"/>
        <w:rPr>
          <w:sz w:val="24"/>
        </w:rPr>
      </w:pPr>
      <w:r w:rsidRPr="0038338B">
        <w:rPr>
          <w:rFonts w:hint="cs"/>
          <w:sz w:val="24"/>
          <w:rtl/>
        </w:rPr>
        <w:lastRenderedPageBreak/>
        <w:t>להשיג על החלטת הגוף המוסדי בפני גורמים נוספים, ובכלל זה בפני ערכאה שיפוטית או בפני הממונה על שוק ההון, ביטוח וחיסכון במשרד האוצר.</w:t>
      </w:r>
    </w:p>
    <w:p w:rsidR="0038338B" w:rsidRPr="0038338B" w:rsidRDefault="0038338B" w:rsidP="0038338B">
      <w:pPr>
        <w:spacing w:line="360" w:lineRule="auto"/>
        <w:ind w:left="1106"/>
        <w:jc w:val="both"/>
        <w:rPr>
          <w:sz w:val="24"/>
        </w:rPr>
      </w:pPr>
    </w:p>
    <w:p w:rsidR="0038338B" w:rsidRPr="0038338B" w:rsidRDefault="0038338B" w:rsidP="0038338B">
      <w:pPr>
        <w:numPr>
          <w:ilvl w:val="1"/>
          <w:numId w:val="8"/>
        </w:numPr>
        <w:overflowPunct/>
        <w:autoSpaceDE/>
        <w:autoSpaceDN/>
        <w:adjustRightInd/>
        <w:spacing w:line="360" w:lineRule="auto"/>
        <w:jc w:val="both"/>
        <w:textAlignment w:val="auto"/>
        <w:rPr>
          <w:b/>
          <w:bCs/>
          <w:sz w:val="24"/>
          <w:rtl/>
        </w:rPr>
      </w:pPr>
      <w:r w:rsidRPr="0038338B">
        <w:rPr>
          <w:rFonts w:hint="cs"/>
          <w:b/>
          <w:bCs/>
          <w:sz w:val="24"/>
          <w:rtl/>
        </w:rPr>
        <w:t xml:space="preserve">בדיקה מחודשת של זכאות </w:t>
      </w:r>
    </w:p>
    <w:p w:rsidR="0038338B" w:rsidRPr="0038338B" w:rsidRDefault="0038338B" w:rsidP="0038338B">
      <w:pPr>
        <w:numPr>
          <w:ilvl w:val="2"/>
          <w:numId w:val="14"/>
        </w:numPr>
        <w:overflowPunct/>
        <w:autoSpaceDE/>
        <w:autoSpaceDN/>
        <w:adjustRightInd/>
        <w:spacing w:line="360" w:lineRule="auto"/>
        <w:ind w:left="1106" w:hanging="270"/>
        <w:jc w:val="both"/>
        <w:textAlignment w:val="auto"/>
        <w:rPr>
          <w:sz w:val="24"/>
        </w:rPr>
      </w:pPr>
      <w:r w:rsidRPr="0038338B">
        <w:rPr>
          <w:rFonts w:hint="cs"/>
          <w:sz w:val="24"/>
          <w:rtl/>
        </w:rPr>
        <w:t>חברה מנהלת המבקשת לבדוק מחדש זכאותו של תובע לקבלת תשלומים עיתיים, תפעל על פי הכללים שנקבעו לכך בתקנון.</w:t>
      </w:r>
    </w:p>
    <w:p w:rsidR="0038338B" w:rsidRPr="0038338B" w:rsidRDefault="0038338B" w:rsidP="0038338B">
      <w:pPr>
        <w:numPr>
          <w:ilvl w:val="2"/>
          <w:numId w:val="14"/>
        </w:numPr>
        <w:overflowPunct/>
        <w:autoSpaceDE/>
        <w:autoSpaceDN/>
        <w:adjustRightInd/>
        <w:spacing w:line="360" w:lineRule="auto"/>
        <w:ind w:left="1106" w:hanging="270"/>
        <w:jc w:val="both"/>
        <w:textAlignment w:val="auto"/>
        <w:rPr>
          <w:sz w:val="24"/>
        </w:rPr>
      </w:pPr>
      <w:r w:rsidRPr="0038338B">
        <w:rPr>
          <w:rFonts w:hint="cs"/>
          <w:sz w:val="24"/>
          <w:rtl/>
        </w:rPr>
        <w:t>חברת ביטוח רשאית לבחון מחדש זכאותו של תובע לקבלת תשלומים עיתיים, ובלבד שהיא תפעל על פי כללים סבירים שקבעה בעניין זה.</w:t>
      </w:r>
    </w:p>
    <w:p w:rsidR="0038338B" w:rsidRPr="0038338B" w:rsidRDefault="0038338B" w:rsidP="0038338B">
      <w:pPr>
        <w:numPr>
          <w:ilvl w:val="2"/>
          <w:numId w:val="14"/>
        </w:numPr>
        <w:overflowPunct/>
        <w:autoSpaceDE/>
        <w:autoSpaceDN/>
        <w:adjustRightInd/>
        <w:spacing w:line="360" w:lineRule="auto"/>
        <w:ind w:left="1106" w:hanging="270"/>
        <w:jc w:val="both"/>
        <w:textAlignment w:val="auto"/>
        <w:rPr>
          <w:sz w:val="24"/>
        </w:rPr>
      </w:pPr>
      <w:r w:rsidRPr="0038338B">
        <w:rPr>
          <w:rFonts w:hint="cs"/>
          <w:sz w:val="24"/>
          <w:rtl/>
        </w:rPr>
        <w:t>כללים כאמור בפסקאות (1) ו-(2) יימסרו לתובע עם הודעת התשלום או הודעת התשלום החלקי.</w:t>
      </w:r>
    </w:p>
    <w:p w:rsidR="0038338B" w:rsidRPr="0038338B" w:rsidRDefault="0038338B" w:rsidP="0038338B">
      <w:pPr>
        <w:numPr>
          <w:ilvl w:val="2"/>
          <w:numId w:val="14"/>
        </w:numPr>
        <w:overflowPunct/>
        <w:autoSpaceDE/>
        <w:autoSpaceDN/>
        <w:adjustRightInd/>
        <w:spacing w:line="360" w:lineRule="auto"/>
        <w:ind w:left="1106" w:hanging="270"/>
        <w:jc w:val="both"/>
        <w:textAlignment w:val="auto"/>
        <w:rPr>
          <w:sz w:val="24"/>
        </w:rPr>
      </w:pPr>
      <w:r w:rsidRPr="0038338B">
        <w:rPr>
          <w:rFonts w:hint="cs"/>
          <w:sz w:val="24"/>
          <w:rtl/>
        </w:rPr>
        <w:t xml:space="preserve"> חברת ביטוח תפרסם באתר האינטרנט שלה את הכללים כאמור בפסקה (2).</w:t>
      </w:r>
    </w:p>
    <w:p w:rsidR="0038338B" w:rsidRPr="0038338B" w:rsidRDefault="0038338B" w:rsidP="0038338B">
      <w:pPr>
        <w:numPr>
          <w:ilvl w:val="2"/>
          <w:numId w:val="14"/>
        </w:numPr>
        <w:overflowPunct/>
        <w:autoSpaceDE/>
        <w:autoSpaceDN/>
        <w:adjustRightInd/>
        <w:spacing w:line="360" w:lineRule="auto"/>
        <w:ind w:left="1106" w:hanging="270"/>
        <w:jc w:val="both"/>
        <w:textAlignment w:val="auto"/>
        <w:rPr>
          <w:sz w:val="24"/>
        </w:rPr>
      </w:pPr>
      <w:r w:rsidRPr="0038338B">
        <w:rPr>
          <w:rFonts w:hint="cs"/>
          <w:sz w:val="24"/>
          <w:rtl/>
        </w:rPr>
        <w:t xml:space="preserve">התובע לא </w:t>
      </w:r>
      <w:proofErr w:type="spellStart"/>
      <w:r w:rsidRPr="0038338B">
        <w:rPr>
          <w:rFonts w:hint="cs"/>
          <w:sz w:val="24"/>
          <w:rtl/>
        </w:rPr>
        <w:t>ישא</w:t>
      </w:r>
      <w:proofErr w:type="spellEnd"/>
      <w:r w:rsidRPr="0038338B">
        <w:rPr>
          <w:rFonts w:hint="cs"/>
          <w:sz w:val="24"/>
          <w:rtl/>
        </w:rPr>
        <w:t xml:space="preserve"> בעלויות בדיקה כאמור בפסקאות (1) ו-(2), אשר ידרוש הגוף המוסדי.</w:t>
      </w:r>
    </w:p>
    <w:p w:rsidR="0038338B" w:rsidRPr="0038338B" w:rsidRDefault="0038338B" w:rsidP="0038338B">
      <w:pPr>
        <w:numPr>
          <w:ilvl w:val="2"/>
          <w:numId w:val="14"/>
        </w:numPr>
        <w:overflowPunct/>
        <w:autoSpaceDE/>
        <w:autoSpaceDN/>
        <w:adjustRightInd/>
        <w:spacing w:line="360" w:lineRule="auto"/>
        <w:ind w:left="1106" w:hanging="270"/>
        <w:jc w:val="both"/>
        <w:textAlignment w:val="auto"/>
        <w:rPr>
          <w:sz w:val="24"/>
        </w:rPr>
      </w:pPr>
      <w:r w:rsidRPr="0038338B">
        <w:rPr>
          <w:rFonts w:hint="cs"/>
          <w:sz w:val="24"/>
          <w:rtl/>
        </w:rPr>
        <w:t xml:space="preserve">גוף מוסדי לא יקטין ולא יפסיק תשלומים עיתיים בעקבות בדיקה מחודשת של זכאות, אלא בהתאם לכללים שנקבעו לכך בפוליסה או בתקנון ולאחר שהודיע לתובע כי בכוונתו להקטין או להפסיק את התשלומים (להלן - </w:t>
      </w:r>
      <w:r w:rsidRPr="0038338B">
        <w:rPr>
          <w:rFonts w:hint="cs"/>
          <w:b/>
          <w:bCs/>
          <w:sz w:val="24"/>
          <w:rtl/>
        </w:rPr>
        <w:t>הודעת שינוי</w:t>
      </w:r>
      <w:r w:rsidRPr="0038338B">
        <w:rPr>
          <w:rFonts w:hint="cs"/>
          <w:sz w:val="24"/>
          <w:rtl/>
        </w:rPr>
        <w:t>). לא נקבעו כללים כאמור, ימסור הגוף המוסדי לתובע הודעת שינוי לפחות שלושים ימים לפני מועד הקטנת או הפסקת התשלומים אך לא יותר משישים ימים לפני המועד האמור, ובכל מקרה לא לפני שממצאי הבדיקה שנעשתה לפי הוראות פסקאות (1) או (2) הראו כי יש להקטין או להפסיק את התשלומים. למען הסר ספק, אין באמור בפסקה זו כדי לגרוע מזכותו של גוף מוסדי לדרוש השבת סכומים בגין תשלומים ששולמו ביתר טרם המועד האמור.</w:t>
      </w:r>
    </w:p>
    <w:p w:rsidR="0038338B" w:rsidRPr="0038338B" w:rsidRDefault="0038338B" w:rsidP="0038338B">
      <w:pPr>
        <w:numPr>
          <w:ilvl w:val="2"/>
          <w:numId w:val="14"/>
        </w:numPr>
        <w:overflowPunct/>
        <w:autoSpaceDE/>
        <w:autoSpaceDN/>
        <w:adjustRightInd/>
        <w:spacing w:line="360" w:lineRule="auto"/>
        <w:ind w:left="1106" w:hanging="270"/>
        <w:jc w:val="both"/>
        <w:textAlignment w:val="auto"/>
        <w:rPr>
          <w:sz w:val="24"/>
        </w:rPr>
      </w:pPr>
      <w:r w:rsidRPr="0038338B">
        <w:rPr>
          <w:rFonts w:hint="cs"/>
          <w:sz w:val="24"/>
          <w:rtl/>
        </w:rPr>
        <w:t>הודעת שינוי תכלול את כל הנימוקים המונחים ביסוד החלטת הגוף המוסדי להקטין או להפסיק את תשלום התשלומים העיתיים, ויחולו עליה ההוראות לעניין הודעת דחייה וחוות דעת מומחה, בשינויים המחויבים.</w:t>
      </w:r>
    </w:p>
    <w:p w:rsidR="0038338B" w:rsidRPr="0038338B" w:rsidRDefault="0038338B" w:rsidP="0038338B">
      <w:pPr>
        <w:spacing w:line="360" w:lineRule="auto"/>
        <w:ind w:left="1106"/>
        <w:jc w:val="both"/>
        <w:rPr>
          <w:sz w:val="24"/>
        </w:rPr>
      </w:pPr>
    </w:p>
    <w:p w:rsidR="0038338B" w:rsidRPr="0038338B" w:rsidRDefault="0038338B" w:rsidP="0038338B">
      <w:pPr>
        <w:numPr>
          <w:ilvl w:val="1"/>
          <w:numId w:val="8"/>
        </w:numPr>
        <w:overflowPunct/>
        <w:autoSpaceDE/>
        <w:autoSpaceDN/>
        <w:adjustRightInd/>
        <w:spacing w:line="360" w:lineRule="auto"/>
        <w:jc w:val="both"/>
        <w:textAlignment w:val="auto"/>
        <w:rPr>
          <w:b/>
          <w:bCs/>
          <w:sz w:val="24"/>
          <w:rtl/>
        </w:rPr>
      </w:pPr>
      <w:r w:rsidRPr="0038338B">
        <w:rPr>
          <w:rFonts w:hint="cs"/>
          <w:b/>
          <w:bCs/>
          <w:sz w:val="24"/>
          <w:rtl/>
        </w:rPr>
        <w:t>בירור תביעה בעזרת מומחה</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גוף מוסדי שנעזר לשם בירור תביעה במומחה הפוגש בתובע או במומחה שבודק את הרכוש נושא התביעה על מנת להעריך נזק שנגרם לאותו רכוש, בנוכחות התובע או שלא בנוכחותו, יודיע על כך לתובע מראש, יסביר לתובע את תפקידו של המומחה בקשר לבירור התביעה, ויודיע לו כי זכותו להיות מיוצג או להיוועץ במומחה מטעמו במהלך בירור התביעה בעזרת המומחה.</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המומחה כאמור בפסקה (1), למעט עובד של הגוף המוסדי שעיקר עיסוקו יישוב תביעות, לא ידחה תביעה במלואה או בחלקה ולא יציע פשרה אלא בעניין היקף הנזק.</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הוראות פסקה (1) לא יחולו על גוף מוסדי הנעזר בחוקר במסגרת חקירה סמויה.</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lastRenderedPageBreak/>
        <w:t>הודעה לפי פסקה (1) יכול שתימסר במסגרת המסמך האמור בסעיף 8א(1)(ב).</w:t>
      </w:r>
    </w:p>
    <w:p w:rsidR="0038338B" w:rsidRPr="0038338B" w:rsidRDefault="0038338B" w:rsidP="0038338B">
      <w:pPr>
        <w:spacing w:line="360" w:lineRule="auto"/>
        <w:ind w:left="836"/>
        <w:jc w:val="both"/>
        <w:rPr>
          <w:sz w:val="24"/>
          <w:rtl/>
        </w:rPr>
      </w:pPr>
      <w:r w:rsidRPr="0038338B">
        <w:rPr>
          <w:rFonts w:hint="cs"/>
          <w:sz w:val="24"/>
          <w:rtl/>
        </w:rPr>
        <w:t xml:space="preserve">לעניין סעיף קטן זה, "מומחה" - בין אם הוא עובד של הגוף המוסדי ובין אם לאו, ובין אם הוא נפגש עם התובע ובין אם לאו, כגון שמאי או מומחה רפואי, אך למעט יועץ משפטי ולמעט ועדה רפואית בקרן פנסיה הפועלת מתוקף התקנון. </w:t>
      </w:r>
    </w:p>
    <w:p w:rsidR="0038338B" w:rsidRPr="0038338B" w:rsidRDefault="0038338B" w:rsidP="0038338B">
      <w:pPr>
        <w:numPr>
          <w:ilvl w:val="1"/>
          <w:numId w:val="8"/>
        </w:numPr>
        <w:overflowPunct/>
        <w:autoSpaceDE/>
        <w:autoSpaceDN/>
        <w:adjustRightInd/>
        <w:spacing w:line="360" w:lineRule="auto"/>
        <w:jc w:val="both"/>
        <w:textAlignment w:val="auto"/>
        <w:rPr>
          <w:b/>
          <w:bCs/>
          <w:sz w:val="24"/>
          <w:rtl/>
        </w:rPr>
      </w:pPr>
      <w:r w:rsidRPr="0038338B">
        <w:rPr>
          <w:rFonts w:hint="cs"/>
          <w:b/>
          <w:bCs/>
          <w:sz w:val="24"/>
          <w:rtl/>
        </w:rPr>
        <w:t xml:space="preserve">חוות דעת מומחה </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חוות דעת של מומחה שעליה מסתמך הגוף המוסדי לצורך יישוב התביעה, תיערך באופן מקצועי, תהיה מנומקת, ותכלול את שמו, תוארו, השכלתו המקצועית ותפקידו של המומחה, ואת רשימת כל המסמכים אשר המומחה הסתמך עליהם בעריכת חוות הדעת.</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חוות דעת של מומחה, לא תתייחס במישרין לזכות המבוטח לקבלת תגמולי ביטוח.</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נסמך גוף מוסדי על חוות דעת של מומחה במסגרת יישוב תביעה, ימסור הגוף המוסדי את חוות הדעת לתובע במועד מסירת ההודעה הרלוונטית לפי סעיף קטן (ב) או לפי סעיף קטן (ט). לחוות הדעת תצורף רשימה של כל ההודעות והמסמכים שמסר התובע לגוף מוסדי או למומחה מטעמו לצורך כתיבת חוות הדעת, וכן כל מסמך נוסף שעליו נסמכת חוות הדעת. ההודעות והמסמכים כאמור, יימסרו לתובע לפי בקשתו.</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 xml:space="preserve">הייתה חוות הדעת של המומחה חסויה על פי דין, ימסור הגוף המוסדי הודעה בכתב לתובע שבה יסביר מדוע </w:t>
      </w:r>
      <w:r w:rsidRPr="0038338B">
        <w:rPr>
          <w:sz w:val="24"/>
          <w:rtl/>
        </w:rPr>
        <w:t>ה</w:t>
      </w:r>
      <w:r w:rsidRPr="0038338B">
        <w:rPr>
          <w:rFonts w:hint="cs"/>
          <w:sz w:val="24"/>
          <w:rtl/>
        </w:rPr>
        <w:t>ו</w:t>
      </w:r>
      <w:r w:rsidRPr="0038338B">
        <w:rPr>
          <w:sz w:val="24"/>
          <w:rtl/>
        </w:rPr>
        <w:t xml:space="preserve">א סבור כי </w:t>
      </w:r>
      <w:r w:rsidRPr="0038338B">
        <w:rPr>
          <w:rFonts w:hint="cs"/>
          <w:sz w:val="24"/>
          <w:rtl/>
        </w:rPr>
        <w:t xml:space="preserve">חוות הדעת </w:t>
      </w:r>
      <w:r w:rsidRPr="0038338B">
        <w:rPr>
          <w:sz w:val="24"/>
          <w:rtl/>
        </w:rPr>
        <w:t>חסויה</w:t>
      </w:r>
      <w:r w:rsidRPr="0038338B">
        <w:rPr>
          <w:rFonts w:hint="cs"/>
          <w:sz w:val="24"/>
          <w:rtl/>
        </w:rPr>
        <w:t>.</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היוועצות פנימית שלא עולה כדי חוות דעת, תתועד בתיק התביעה.</w:t>
      </w:r>
    </w:p>
    <w:p w:rsidR="0038338B" w:rsidRPr="0038338B" w:rsidRDefault="0038338B" w:rsidP="0038338B">
      <w:pPr>
        <w:spacing w:line="360" w:lineRule="auto"/>
        <w:ind w:left="836"/>
        <w:jc w:val="both"/>
        <w:rPr>
          <w:sz w:val="24"/>
          <w:rtl/>
        </w:rPr>
      </w:pPr>
      <w:r w:rsidRPr="0038338B">
        <w:rPr>
          <w:rFonts w:hint="cs"/>
          <w:sz w:val="24"/>
          <w:rtl/>
        </w:rPr>
        <w:t>לעניין סעיף קטן זה, "מומחה" - כהגדרתו בסעיף קטן (י).</w:t>
      </w:r>
    </w:p>
    <w:p w:rsidR="0038338B" w:rsidRPr="0038338B" w:rsidRDefault="0038338B" w:rsidP="0038338B">
      <w:pPr>
        <w:spacing w:line="360" w:lineRule="auto"/>
        <w:ind w:left="836"/>
        <w:jc w:val="both"/>
        <w:rPr>
          <w:sz w:val="24"/>
          <w:rtl/>
        </w:rPr>
      </w:pPr>
    </w:p>
    <w:p w:rsidR="0038338B" w:rsidRPr="0038338B" w:rsidRDefault="0038338B" w:rsidP="0038338B">
      <w:pPr>
        <w:numPr>
          <w:ilvl w:val="1"/>
          <w:numId w:val="8"/>
        </w:numPr>
        <w:overflowPunct/>
        <w:autoSpaceDE/>
        <w:autoSpaceDN/>
        <w:adjustRightInd/>
        <w:spacing w:line="360" w:lineRule="auto"/>
        <w:jc w:val="both"/>
        <w:textAlignment w:val="auto"/>
        <w:rPr>
          <w:b/>
          <w:bCs/>
          <w:sz w:val="24"/>
          <w:rtl/>
        </w:rPr>
      </w:pPr>
      <w:r w:rsidRPr="0038338B">
        <w:rPr>
          <w:rFonts w:hint="cs"/>
          <w:b/>
          <w:bCs/>
          <w:sz w:val="24"/>
          <w:rtl/>
        </w:rPr>
        <w:t>תחלוף וזכויות כלפי צד שלישי</w:t>
      </w:r>
    </w:p>
    <w:p w:rsidR="0038338B" w:rsidRPr="0038338B" w:rsidRDefault="0038338B" w:rsidP="0038338B">
      <w:pPr>
        <w:numPr>
          <w:ilvl w:val="2"/>
          <w:numId w:val="15"/>
        </w:numPr>
        <w:overflowPunct/>
        <w:autoSpaceDE/>
        <w:autoSpaceDN/>
        <w:adjustRightInd/>
        <w:spacing w:line="360" w:lineRule="auto"/>
        <w:ind w:left="1106" w:hanging="270"/>
        <w:jc w:val="both"/>
        <w:textAlignment w:val="auto"/>
        <w:rPr>
          <w:sz w:val="24"/>
          <w:rtl/>
        </w:rPr>
      </w:pPr>
      <w:r w:rsidRPr="0038338B">
        <w:rPr>
          <w:rFonts w:hint="cs"/>
          <w:sz w:val="24"/>
          <w:rtl/>
        </w:rPr>
        <w:t>חברת ביטוח העומדת לתבוע צד שלישי, מכוח זכות התחלוף, תודיע על כך למבוטח בכתב זמן סביר מראש.</w:t>
      </w:r>
    </w:p>
    <w:p w:rsidR="0038338B" w:rsidRPr="0038338B" w:rsidRDefault="0038338B" w:rsidP="0038338B">
      <w:pPr>
        <w:numPr>
          <w:ilvl w:val="2"/>
          <w:numId w:val="15"/>
        </w:numPr>
        <w:overflowPunct/>
        <w:autoSpaceDE/>
        <w:autoSpaceDN/>
        <w:adjustRightInd/>
        <w:spacing w:line="360" w:lineRule="auto"/>
        <w:ind w:left="1106" w:hanging="270"/>
        <w:jc w:val="both"/>
        <w:textAlignment w:val="auto"/>
        <w:rPr>
          <w:sz w:val="24"/>
        </w:rPr>
      </w:pPr>
      <w:r w:rsidRPr="0038338B">
        <w:rPr>
          <w:rFonts w:hint="cs"/>
          <w:sz w:val="24"/>
          <w:rtl/>
        </w:rPr>
        <w:t>ניתן במסגרת תביעת תחלוף פסק דין, פסק בוררות או נחתם הסכם פשרה - תעביר חברת הביטוח למבוטח העתק מהפסק או מההסכם בתוך ארבעה עשר ימי עסקים מיום קבלת הפסק בחברה או מיום חתימת ההסכם.</w:t>
      </w:r>
    </w:p>
    <w:p w:rsidR="0038338B" w:rsidRPr="0038338B" w:rsidRDefault="0038338B" w:rsidP="0038338B">
      <w:pPr>
        <w:numPr>
          <w:ilvl w:val="2"/>
          <w:numId w:val="15"/>
        </w:numPr>
        <w:overflowPunct/>
        <w:autoSpaceDE/>
        <w:autoSpaceDN/>
        <w:adjustRightInd/>
        <w:spacing w:line="360" w:lineRule="auto"/>
        <w:ind w:left="1106" w:hanging="270"/>
        <w:jc w:val="both"/>
        <w:textAlignment w:val="auto"/>
        <w:rPr>
          <w:sz w:val="24"/>
        </w:rPr>
      </w:pPr>
      <w:r w:rsidRPr="0038338B">
        <w:rPr>
          <w:rFonts w:hint="cs"/>
          <w:sz w:val="24"/>
          <w:rtl/>
        </w:rPr>
        <w:t>אם מצאה חברת ביטוח במסגרת בירור התביעה כי עשויה לעמוד למבוטח זכות כנגד הצד השלישי שאותו עשויה חברת הביטוח לתבוע מכוח זכות התחלוף, תציין זאת בפני המבוטח בכל הודעה שניתנה לפי סעיף קטן (ב) או לפי סעיף קטן (ט).</w:t>
      </w:r>
    </w:p>
    <w:p w:rsidR="0038338B" w:rsidRPr="0038338B" w:rsidRDefault="0038338B" w:rsidP="0038338B">
      <w:pPr>
        <w:numPr>
          <w:ilvl w:val="2"/>
          <w:numId w:val="15"/>
        </w:numPr>
        <w:overflowPunct/>
        <w:autoSpaceDE/>
        <w:autoSpaceDN/>
        <w:adjustRightInd/>
        <w:spacing w:line="360" w:lineRule="auto"/>
        <w:ind w:left="1106" w:hanging="270"/>
        <w:jc w:val="both"/>
        <w:textAlignment w:val="auto"/>
        <w:rPr>
          <w:sz w:val="24"/>
        </w:rPr>
      </w:pPr>
      <w:r w:rsidRPr="0038338B">
        <w:rPr>
          <w:rFonts w:hint="cs"/>
          <w:sz w:val="24"/>
          <w:rtl/>
        </w:rPr>
        <w:t>אין באמור בסעיף זה כדי לחייב את חברת הביטוח לייצג את המבוטח או להטיל עליה חובת ייעוץ.</w:t>
      </w:r>
    </w:p>
    <w:p w:rsidR="0038338B" w:rsidRPr="0038338B" w:rsidRDefault="0038338B" w:rsidP="0038338B">
      <w:pPr>
        <w:overflowPunct/>
        <w:autoSpaceDE/>
        <w:autoSpaceDN/>
        <w:adjustRightInd/>
        <w:spacing w:line="360" w:lineRule="auto"/>
        <w:ind w:left="360"/>
        <w:jc w:val="both"/>
        <w:textAlignment w:val="auto"/>
        <w:rPr>
          <w:sz w:val="24"/>
          <w:rtl/>
        </w:rPr>
      </w:pPr>
    </w:p>
    <w:p w:rsidR="0038338B" w:rsidRPr="0038338B" w:rsidRDefault="0038338B" w:rsidP="0038338B">
      <w:pPr>
        <w:numPr>
          <w:ilvl w:val="1"/>
          <w:numId w:val="8"/>
        </w:numPr>
        <w:overflowPunct/>
        <w:autoSpaceDE/>
        <w:autoSpaceDN/>
        <w:adjustRightInd/>
        <w:spacing w:line="360" w:lineRule="auto"/>
        <w:jc w:val="both"/>
        <w:textAlignment w:val="auto"/>
        <w:rPr>
          <w:b/>
          <w:bCs/>
          <w:sz w:val="24"/>
          <w:rtl/>
        </w:rPr>
      </w:pPr>
      <w:r w:rsidRPr="0038338B">
        <w:rPr>
          <w:rFonts w:hint="cs"/>
          <w:b/>
          <w:bCs/>
          <w:sz w:val="24"/>
          <w:rtl/>
        </w:rPr>
        <w:t>תביעת צד שלישי</w:t>
      </w:r>
    </w:p>
    <w:p w:rsidR="0038338B" w:rsidRPr="0038338B" w:rsidRDefault="0038338B" w:rsidP="0038338B">
      <w:pPr>
        <w:numPr>
          <w:ilvl w:val="2"/>
          <w:numId w:val="23"/>
        </w:numPr>
        <w:overflowPunct/>
        <w:autoSpaceDE/>
        <w:autoSpaceDN/>
        <w:adjustRightInd/>
        <w:spacing w:line="360" w:lineRule="auto"/>
        <w:ind w:left="1106" w:hanging="270"/>
        <w:jc w:val="both"/>
        <w:textAlignment w:val="auto"/>
        <w:rPr>
          <w:sz w:val="24"/>
        </w:rPr>
      </w:pPr>
      <w:r w:rsidRPr="0038338B">
        <w:rPr>
          <w:rFonts w:hint="cs"/>
          <w:sz w:val="24"/>
          <w:rtl/>
        </w:rPr>
        <w:t xml:space="preserve">פנה תובע לחברת ביטוח בבקשה לקבל מידע בדבר עצם קיומה של פוליסה לביטוח אחריות של אדם מסוים בעקבות מקרה מסוים, תמסור חברת הביטוח את המידע בעניין זה לתובע בתוך ארבעה עשר ימי עסקים ממועד דרישתו של התובע. </w:t>
      </w:r>
    </w:p>
    <w:p w:rsidR="0038338B" w:rsidRPr="0038338B" w:rsidRDefault="0038338B" w:rsidP="0038338B">
      <w:pPr>
        <w:numPr>
          <w:ilvl w:val="2"/>
          <w:numId w:val="23"/>
        </w:numPr>
        <w:overflowPunct/>
        <w:autoSpaceDE/>
        <w:autoSpaceDN/>
        <w:adjustRightInd/>
        <w:spacing w:line="360" w:lineRule="auto"/>
        <w:ind w:left="1106" w:hanging="270"/>
        <w:jc w:val="both"/>
        <w:textAlignment w:val="auto"/>
        <w:rPr>
          <w:sz w:val="24"/>
        </w:rPr>
      </w:pPr>
      <w:r w:rsidRPr="0038338B">
        <w:rPr>
          <w:rFonts w:hint="cs"/>
          <w:sz w:val="24"/>
          <w:rtl/>
        </w:rPr>
        <w:lastRenderedPageBreak/>
        <w:t xml:space="preserve">דרש תובע מחברת ביטוח תגמולי ביטוח, תודיע חברת הביטוח למבוטח בכתב בתוך שבעה ימי עסקים מיום הדרישה על התביעה כאמור וכי אם לא יודיע לה על התנגדותו לתשלום הפיצוי בתוך שלושים ימים, תשלם לצד השלישי את תגמולי הביטוח שהיא חייבת למבוטח, ככל שהיא חייבת בתשלומם. </w:t>
      </w:r>
    </w:p>
    <w:p w:rsidR="0038338B" w:rsidRPr="0038338B" w:rsidRDefault="0038338B" w:rsidP="0038338B">
      <w:pPr>
        <w:numPr>
          <w:ilvl w:val="2"/>
          <w:numId w:val="23"/>
        </w:numPr>
        <w:overflowPunct/>
        <w:autoSpaceDE/>
        <w:autoSpaceDN/>
        <w:adjustRightInd/>
        <w:spacing w:line="360" w:lineRule="auto"/>
        <w:ind w:left="1106" w:hanging="270"/>
        <w:jc w:val="both"/>
        <w:textAlignment w:val="auto"/>
        <w:rPr>
          <w:sz w:val="24"/>
          <w:rtl/>
        </w:rPr>
      </w:pPr>
      <w:r w:rsidRPr="0038338B">
        <w:rPr>
          <w:rFonts w:hint="eastAsia"/>
          <w:sz w:val="24"/>
          <w:rtl/>
        </w:rPr>
        <w:t>חברת</w:t>
      </w:r>
      <w:r w:rsidRPr="0038338B">
        <w:rPr>
          <w:sz w:val="24"/>
        </w:rPr>
        <w:t xml:space="preserve"> </w:t>
      </w:r>
      <w:r w:rsidRPr="0038338B">
        <w:rPr>
          <w:rFonts w:hint="eastAsia"/>
          <w:sz w:val="24"/>
          <w:rtl/>
        </w:rPr>
        <w:t>הביטוח</w:t>
      </w:r>
      <w:r w:rsidRPr="0038338B">
        <w:rPr>
          <w:sz w:val="24"/>
        </w:rPr>
        <w:t xml:space="preserve"> </w:t>
      </w:r>
      <w:r w:rsidRPr="0038338B">
        <w:rPr>
          <w:rFonts w:hint="eastAsia"/>
          <w:sz w:val="24"/>
          <w:rtl/>
        </w:rPr>
        <w:t>תפעל</w:t>
      </w:r>
      <w:r w:rsidRPr="0038338B">
        <w:rPr>
          <w:sz w:val="24"/>
        </w:rPr>
        <w:t xml:space="preserve"> </w:t>
      </w:r>
      <w:r w:rsidRPr="0038338B">
        <w:rPr>
          <w:rFonts w:hint="eastAsia"/>
          <w:sz w:val="24"/>
          <w:rtl/>
        </w:rPr>
        <w:t>לבירור</w:t>
      </w:r>
      <w:r w:rsidRPr="0038338B">
        <w:rPr>
          <w:rFonts w:hint="cs"/>
          <w:sz w:val="24"/>
          <w:rtl/>
        </w:rPr>
        <w:t xml:space="preserve"> </w:t>
      </w:r>
      <w:proofErr w:type="spellStart"/>
      <w:r w:rsidRPr="0038338B">
        <w:rPr>
          <w:rFonts w:hint="eastAsia"/>
          <w:sz w:val="24"/>
          <w:rtl/>
        </w:rPr>
        <w:t>חבותה</w:t>
      </w:r>
      <w:proofErr w:type="spellEnd"/>
      <w:r w:rsidRPr="0038338B">
        <w:rPr>
          <w:sz w:val="24"/>
        </w:rPr>
        <w:t xml:space="preserve"> </w:t>
      </w:r>
      <w:r w:rsidRPr="0038338B">
        <w:rPr>
          <w:rFonts w:hint="eastAsia"/>
          <w:sz w:val="24"/>
          <w:rtl/>
        </w:rPr>
        <w:t>כלפי</w:t>
      </w:r>
      <w:r w:rsidRPr="0038338B">
        <w:rPr>
          <w:sz w:val="24"/>
        </w:rPr>
        <w:t xml:space="preserve"> </w:t>
      </w:r>
      <w:r w:rsidRPr="0038338B">
        <w:rPr>
          <w:rFonts w:hint="cs"/>
          <w:sz w:val="24"/>
          <w:rtl/>
        </w:rPr>
        <w:t>המבוטח</w:t>
      </w:r>
      <w:r w:rsidRPr="0038338B">
        <w:rPr>
          <w:sz w:val="24"/>
        </w:rPr>
        <w:t xml:space="preserve"> </w:t>
      </w:r>
      <w:r w:rsidRPr="0038338B">
        <w:rPr>
          <w:rFonts w:hint="eastAsia"/>
          <w:sz w:val="24"/>
          <w:rtl/>
        </w:rPr>
        <w:t>בהתאם</w:t>
      </w:r>
      <w:r w:rsidRPr="0038338B">
        <w:rPr>
          <w:sz w:val="24"/>
        </w:rPr>
        <w:t xml:space="preserve"> </w:t>
      </w:r>
      <w:r w:rsidRPr="0038338B">
        <w:rPr>
          <w:rFonts w:hint="eastAsia"/>
          <w:sz w:val="24"/>
          <w:rtl/>
        </w:rPr>
        <w:t>לתקופות</w:t>
      </w:r>
      <w:r w:rsidRPr="0038338B">
        <w:rPr>
          <w:sz w:val="24"/>
        </w:rPr>
        <w:t xml:space="preserve"> </w:t>
      </w:r>
      <w:r w:rsidRPr="0038338B">
        <w:rPr>
          <w:rFonts w:hint="eastAsia"/>
          <w:sz w:val="24"/>
          <w:rtl/>
        </w:rPr>
        <w:t>ולמועדים</w:t>
      </w:r>
      <w:r w:rsidRPr="0038338B">
        <w:rPr>
          <w:sz w:val="24"/>
        </w:rPr>
        <w:t xml:space="preserve"> </w:t>
      </w:r>
      <w:r w:rsidRPr="0038338B">
        <w:rPr>
          <w:rFonts w:hint="eastAsia"/>
          <w:sz w:val="24"/>
          <w:rtl/>
        </w:rPr>
        <w:t>הקבועים</w:t>
      </w:r>
      <w:r w:rsidRPr="0038338B">
        <w:rPr>
          <w:sz w:val="24"/>
        </w:rPr>
        <w:t xml:space="preserve"> </w:t>
      </w:r>
      <w:r w:rsidRPr="0038338B">
        <w:rPr>
          <w:rFonts w:hint="eastAsia"/>
          <w:sz w:val="24"/>
          <w:rtl/>
        </w:rPr>
        <w:t>במערכת</w:t>
      </w:r>
      <w:r w:rsidRPr="0038338B">
        <w:rPr>
          <w:sz w:val="24"/>
        </w:rPr>
        <w:t xml:space="preserve"> </w:t>
      </w:r>
      <w:r w:rsidRPr="0038338B">
        <w:rPr>
          <w:rFonts w:hint="eastAsia"/>
          <w:sz w:val="24"/>
          <w:rtl/>
        </w:rPr>
        <w:t>הכללים</w:t>
      </w:r>
      <w:r w:rsidRPr="0038338B">
        <w:rPr>
          <w:rFonts w:hint="cs"/>
          <w:sz w:val="24"/>
          <w:rtl/>
        </w:rPr>
        <w:t>.</w:t>
      </w:r>
    </w:p>
    <w:p w:rsidR="0038338B" w:rsidRPr="0038338B" w:rsidRDefault="0038338B" w:rsidP="0038338B">
      <w:pPr>
        <w:numPr>
          <w:ilvl w:val="2"/>
          <w:numId w:val="23"/>
        </w:numPr>
        <w:overflowPunct/>
        <w:autoSpaceDE/>
        <w:autoSpaceDN/>
        <w:adjustRightInd/>
        <w:spacing w:line="360" w:lineRule="auto"/>
        <w:ind w:left="1106" w:hanging="270"/>
        <w:jc w:val="both"/>
        <w:textAlignment w:val="auto"/>
        <w:rPr>
          <w:sz w:val="24"/>
        </w:rPr>
      </w:pPr>
      <w:r w:rsidRPr="0038338B">
        <w:rPr>
          <w:rFonts w:hint="cs"/>
          <w:sz w:val="24"/>
          <w:rtl/>
        </w:rPr>
        <w:t>מצאה חברת הביטוח כי קיימת חבות כלפי המבוטח ולא התנגד המבוטח לתשלום האמור בפסקה (2) במהלך שלושים הימים האמורים, בין אם הודיע על אי התנגדותו או על הסכמתו ובין אם לא השיב כלל לחברת הביטוח, תשלם חברת הביטוח לתובע את תגמולי הביטוח שהיא חייבת למבוטח.</w:t>
      </w:r>
    </w:p>
    <w:p w:rsidR="0038338B" w:rsidRPr="0038338B" w:rsidRDefault="0038338B" w:rsidP="0038338B">
      <w:pPr>
        <w:spacing w:line="360" w:lineRule="auto"/>
        <w:ind w:left="794"/>
        <w:jc w:val="both"/>
        <w:rPr>
          <w:sz w:val="24"/>
          <w:rtl/>
        </w:rPr>
      </w:pPr>
      <w:r w:rsidRPr="0038338B">
        <w:rPr>
          <w:rFonts w:hint="cs"/>
          <w:sz w:val="24"/>
          <w:rtl/>
        </w:rPr>
        <w:t>לעניין סעיף קטן זה, "תובע" - תובע שהינו צד שלישי.</w:t>
      </w:r>
    </w:p>
    <w:p w:rsidR="0038338B" w:rsidRPr="0038338B" w:rsidRDefault="0038338B" w:rsidP="0038338B">
      <w:pPr>
        <w:overflowPunct/>
        <w:autoSpaceDE/>
        <w:autoSpaceDN/>
        <w:adjustRightInd/>
        <w:spacing w:line="360" w:lineRule="auto"/>
        <w:ind w:left="360"/>
        <w:jc w:val="both"/>
        <w:textAlignment w:val="auto"/>
        <w:rPr>
          <w:sz w:val="24"/>
          <w:rtl/>
        </w:rPr>
      </w:pPr>
    </w:p>
    <w:p w:rsidR="0038338B" w:rsidRPr="0038338B" w:rsidRDefault="0038338B" w:rsidP="0038338B">
      <w:pPr>
        <w:numPr>
          <w:ilvl w:val="1"/>
          <w:numId w:val="8"/>
        </w:numPr>
        <w:overflowPunct/>
        <w:autoSpaceDE/>
        <w:autoSpaceDN/>
        <w:adjustRightInd/>
        <w:spacing w:line="360" w:lineRule="auto"/>
        <w:jc w:val="both"/>
        <w:textAlignment w:val="auto"/>
        <w:rPr>
          <w:b/>
          <w:bCs/>
          <w:sz w:val="24"/>
          <w:rtl/>
        </w:rPr>
      </w:pPr>
      <w:r w:rsidRPr="0038338B">
        <w:rPr>
          <w:rFonts w:hint="cs"/>
          <w:b/>
          <w:bCs/>
          <w:sz w:val="24"/>
          <w:rtl/>
        </w:rPr>
        <w:t>מתן תשובות</w:t>
      </w:r>
      <w:r w:rsidRPr="0038338B">
        <w:rPr>
          <w:b/>
          <w:bCs/>
          <w:sz w:val="24"/>
        </w:rPr>
        <w:t xml:space="preserve"> </w:t>
      </w:r>
      <w:r w:rsidRPr="0038338B">
        <w:rPr>
          <w:rFonts w:hint="cs"/>
          <w:b/>
          <w:bCs/>
          <w:sz w:val="24"/>
          <w:rtl/>
        </w:rPr>
        <w:t>וטיפול בפניות ציבור</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גוף מוסדי ישיב בכתב לכל פניה בכתב של לקוח, בין אם נשלחה לממונה על פניות הציבור ובין אם לגורם אחר בגוף המוסדי, תוך זמן סביר בנסיבות העניין, ובכל מקרה לא יאוחר משלושים ימים ממועד קבלת הפניה.</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6"/>
          <w:rtl/>
        </w:rPr>
      </w:pPr>
      <w:r w:rsidRPr="0038338B">
        <w:rPr>
          <w:rFonts w:hint="cs"/>
          <w:sz w:val="24"/>
          <w:rtl/>
        </w:rPr>
        <w:t>קיבל</w:t>
      </w:r>
      <w:r w:rsidRPr="0038338B">
        <w:rPr>
          <w:sz w:val="24"/>
          <w:rtl/>
        </w:rPr>
        <w:t xml:space="preserve"> גוף מוסדי </w:t>
      </w:r>
      <w:r w:rsidRPr="0038338B">
        <w:rPr>
          <w:rFonts w:hint="cs"/>
          <w:sz w:val="24"/>
          <w:rtl/>
        </w:rPr>
        <w:t>פנייה של לקוח, בין אם פנה הלקוח באופן ישיר לגוף המוסדי ובין אם הופנה אליו הלקוח באמצעות הממונה על שוק ההון, ביטוח וחיסכון,</w:t>
      </w:r>
      <w:r w:rsidRPr="0038338B">
        <w:rPr>
          <w:sz w:val="24"/>
          <w:rtl/>
        </w:rPr>
        <w:t xml:space="preserve"> </w:t>
      </w:r>
      <w:r w:rsidRPr="0038338B">
        <w:rPr>
          <w:rFonts w:hint="cs"/>
          <w:sz w:val="24"/>
          <w:rtl/>
        </w:rPr>
        <w:t xml:space="preserve">ומצא הגוף המוסדי </w:t>
      </w:r>
      <w:r w:rsidRPr="0038338B">
        <w:rPr>
          <w:sz w:val="24"/>
          <w:rtl/>
        </w:rPr>
        <w:t>שהיה ליקוי בהתנהלות</w:t>
      </w:r>
      <w:r w:rsidRPr="0038338B">
        <w:rPr>
          <w:rFonts w:hint="cs"/>
          <w:sz w:val="24"/>
          <w:rtl/>
        </w:rPr>
        <w:t>ו</w:t>
      </w:r>
      <w:r w:rsidRPr="0038338B">
        <w:rPr>
          <w:sz w:val="24"/>
          <w:rtl/>
        </w:rPr>
        <w:t xml:space="preserve"> או בהתנהלות מי מטעמו</w:t>
      </w:r>
      <w:r w:rsidRPr="0038338B">
        <w:rPr>
          <w:rFonts w:hint="cs"/>
          <w:sz w:val="24"/>
          <w:rtl/>
        </w:rPr>
        <w:t xml:space="preserve"> ואותו הליקוי שנמצא מצביע על היותו ליקוי </w:t>
      </w:r>
      <w:r w:rsidRPr="0038338B">
        <w:rPr>
          <w:sz w:val="24"/>
          <w:rtl/>
        </w:rPr>
        <w:t xml:space="preserve">מערכתי, יערוך </w:t>
      </w:r>
      <w:r w:rsidRPr="0038338B">
        <w:rPr>
          <w:rFonts w:hint="cs"/>
          <w:sz w:val="24"/>
          <w:rtl/>
        </w:rPr>
        <w:t xml:space="preserve">הגוף המוסדי </w:t>
      </w:r>
      <w:r w:rsidRPr="0038338B">
        <w:rPr>
          <w:sz w:val="24"/>
          <w:rtl/>
        </w:rPr>
        <w:t xml:space="preserve">בדיקה לאיתור מקרים דומים שבהם אירע </w:t>
      </w:r>
      <w:r w:rsidRPr="0038338B">
        <w:rPr>
          <w:rFonts w:hint="cs"/>
          <w:sz w:val="24"/>
          <w:rtl/>
        </w:rPr>
        <w:t>ה</w:t>
      </w:r>
      <w:r w:rsidRPr="0038338B">
        <w:rPr>
          <w:sz w:val="24"/>
          <w:rtl/>
        </w:rPr>
        <w:t>ליקוי</w:t>
      </w:r>
      <w:r w:rsidRPr="0038338B">
        <w:rPr>
          <w:rFonts w:hint="cs"/>
          <w:sz w:val="24"/>
          <w:rtl/>
        </w:rPr>
        <w:t xml:space="preserve"> המערכתי; מצא הגוף המוסדי ליקויים דומים יפיק לקחים ממקרים אלו ו</w:t>
      </w:r>
      <w:r w:rsidRPr="0038338B">
        <w:rPr>
          <w:rFonts w:hint="eastAsia"/>
          <w:sz w:val="24"/>
          <w:rtl/>
        </w:rPr>
        <w:t>י</w:t>
      </w:r>
      <w:r w:rsidRPr="0038338B">
        <w:rPr>
          <w:rFonts w:hint="cs"/>
          <w:sz w:val="24"/>
          <w:rtl/>
        </w:rPr>
        <w:t>פעל לתיקונם</w:t>
      </w:r>
      <w:r w:rsidRPr="0038338B">
        <w:rPr>
          <w:sz w:val="24"/>
          <w:rtl/>
        </w:rPr>
        <w:t xml:space="preserve"> בתוך זמן סביר</w:t>
      </w:r>
      <w:r w:rsidRPr="0038338B">
        <w:rPr>
          <w:rFonts w:hint="cs"/>
          <w:sz w:val="24"/>
          <w:rtl/>
        </w:rPr>
        <w:t>; בסעיף זה</w:t>
      </w:r>
      <w:r w:rsidRPr="0038338B">
        <w:rPr>
          <w:sz w:val="26"/>
          <w:rtl/>
        </w:rPr>
        <w:t xml:space="preserve"> </w:t>
      </w:r>
      <w:r w:rsidRPr="0038338B">
        <w:rPr>
          <w:rFonts w:hint="cs"/>
          <w:sz w:val="26"/>
          <w:rtl/>
        </w:rPr>
        <w:t xml:space="preserve">"ליקוי מערכתי" - </w:t>
      </w:r>
      <w:r w:rsidRPr="0038338B">
        <w:rPr>
          <w:rFonts w:hint="cs"/>
          <w:sz w:val="24"/>
          <w:rtl/>
        </w:rPr>
        <w:t>ליקוי מהותי, ליקוי שחוזר על עצמו או ליקוי בעל השפעה על קבוצת לקוחות</w:t>
      </w:r>
      <w:r w:rsidRPr="0038338B">
        <w:rPr>
          <w:rFonts w:hint="cs"/>
          <w:sz w:val="26"/>
          <w:rtl/>
        </w:rPr>
        <w:t xml:space="preserve">; </w:t>
      </w:r>
      <w:r w:rsidRPr="0038338B">
        <w:rPr>
          <w:sz w:val="26"/>
          <w:rtl/>
        </w:rPr>
        <w:t xml:space="preserve">"לקוח" </w:t>
      </w:r>
      <w:r w:rsidRPr="0038338B">
        <w:rPr>
          <w:rFonts w:hint="cs"/>
          <w:sz w:val="26"/>
          <w:rtl/>
        </w:rPr>
        <w:t xml:space="preserve">- </w:t>
      </w:r>
      <w:r w:rsidRPr="0038338B">
        <w:rPr>
          <w:sz w:val="26"/>
          <w:rtl/>
        </w:rPr>
        <w:t xml:space="preserve">מבוטח, עמית, </w:t>
      </w:r>
      <w:r w:rsidRPr="0038338B">
        <w:rPr>
          <w:rFonts w:hint="cs"/>
          <w:sz w:val="26"/>
          <w:rtl/>
        </w:rPr>
        <w:t>מוטב</w:t>
      </w:r>
      <w:r w:rsidRPr="0038338B">
        <w:rPr>
          <w:sz w:val="26"/>
          <w:rtl/>
        </w:rPr>
        <w:t>, תובע או מי מטעמם.</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sz w:val="24"/>
          <w:rtl/>
        </w:rPr>
        <w:t xml:space="preserve">גוף מוסדי יתעד וישמור מידע על </w:t>
      </w:r>
      <w:r w:rsidRPr="0038338B">
        <w:rPr>
          <w:rFonts w:hint="cs"/>
          <w:sz w:val="24"/>
          <w:rtl/>
        </w:rPr>
        <w:t>ה</w:t>
      </w:r>
      <w:r w:rsidRPr="0038338B">
        <w:rPr>
          <w:sz w:val="24"/>
          <w:rtl/>
        </w:rPr>
        <w:t>בדיקה,</w:t>
      </w:r>
      <w:r w:rsidRPr="0038338B">
        <w:rPr>
          <w:rFonts w:hint="cs"/>
          <w:sz w:val="24"/>
          <w:rtl/>
        </w:rPr>
        <w:t xml:space="preserve"> </w:t>
      </w:r>
      <w:r w:rsidRPr="0038338B">
        <w:rPr>
          <w:sz w:val="24"/>
          <w:rtl/>
        </w:rPr>
        <w:t xml:space="preserve">הפקת </w:t>
      </w:r>
      <w:r w:rsidRPr="0038338B">
        <w:rPr>
          <w:rFonts w:hint="cs"/>
          <w:sz w:val="24"/>
          <w:rtl/>
        </w:rPr>
        <w:t>הל</w:t>
      </w:r>
      <w:r w:rsidRPr="0038338B">
        <w:rPr>
          <w:sz w:val="24"/>
          <w:rtl/>
        </w:rPr>
        <w:t>קחים ותיקון</w:t>
      </w:r>
      <w:r w:rsidRPr="0038338B">
        <w:rPr>
          <w:rFonts w:hint="cs"/>
          <w:sz w:val="24"/>
          <w:rtl/>
        </w:rPr>
        <w:t xml:space="preserve"> ה</w:t>
      </w:r>
      <w:r w:rsidRPr="0038338B">
        <w:rPr>
          <w:sz w:val="24"/>
          <w:rtl/>
        </w:rPr>
        <w:t>ליקוי</w:t>
      </w:r>
      <w:r w:rsidRPr="0038338B">
        <w:rPr>
          <w:rFonts w:hint="cs"/>
          <w:sz w:val="24"/>
          <w:rtl/>
        </w:rPr>
        <w:t xml:space="preserve"> המערכתי </w:t>
      </w:r>
      <w:r w:rsidRPr="0038338B">
        <w:rPr>
          <w:sz w:val="24"/>
          <w:rtl/>
        </w:rPr>
        <w:t>שאותר.</w:t>
      </w:r>
    </w:p>
    <w:p w:rsidR="0038338B" w:rsidRPr="0038338B" w:rsidRDefault="0038338B" w:rsidP="0038338B">
      <w:pPr>
        <w:overflowPunct/>
        <w:autoSpaceDE/>
        <w:autoSpaceDN/>
        <w:adjustRightInd/>
        <w:spacing w:line="360" w:lineRule="auto"/>
        <w:ind w:left="794"/>
        <w:jc w:val="both"/>
        <w:textAlignment w:val="auto"/>
        <w:rPr>
          <w:sz w:val="24"/>
          <w:rtl/>
        </w:rPr>
      </w:pPr>
    </w:p>
    <w:p w:rsidR="0038338B" w:rsidRPr="0038338B" w:rsidRDefault="0038338B" w:rsidP="0038338B">
      <w:pPr>
        <w:numPr>
          <w:ilvl w:val="1"/>
          <w:numId w:val="8"/>
        </w:numPr>
        <w:overflowPunct/>
        <w:autoSpaceDE/>
        <w:autoSpaceDN/>
        <w:adjustRightInd/>
        <w:spacing w:line="360" w:lineRule="auto"/>
        <w:jc w:val="both"/>
        <w:textAlignment w:val="auto"/>
        <w:rPr>
          <w:b/>
          <w:bCs/>
          <w:sz w:val="24"/>
          <w:rtl/>
        </w:rPr>
      </w:pPr>
      <w:r w:rsidRPr="0038338B">
        <w:rPr>
          <w:rFonts w:hint="cs"/>
          <w:b/>
          <w:bCs/>
          <w:sz w:val="24"/>
          <w:rtl/>
        </w:rPr>
        <w:t>מתן העתקים</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 xml:space="preserve">גוף מוסדי ימסור לתובע, לפי בקשתו, העתק מן הפוליסה או מהתקנון, בתוך ארבעה עשר ימי עסקים ממועד קבלת הבקשה. </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Pr>
      </w:pPr>
      <w:r w:rsidRPr="0038338B">
        <w:rPr>
          <w:rFonts w:hint="cs"/>
          <w:sz w:val="24"/>
          <w:rtl/>
        </w:rPr>
        <w:t>על אף האמור בפסקה (1), חברת ביטוח רשאית להפנות תובע שהינו צד שלישי בביטוח אחריות לנוסח הפוליסה שנמצא באתר האינטרנט של החברה.</w:t>
      </w:r>
    </w:p>
    <w:p w:rsidR="0038338B" w:rsidRPr="0038338B" w:rsidRDefault="0038338B" w:rsidP="0038338B">
      <w:pPr>
        <w:numPr>
          <w:ilvl w:val="2"/>
          <w:numId w:val="8"/>
        </w:numPr>
        <w:tabs>
          <w:tab w:val="num" w:pos="1106"/>
          <w:tab w:val="num" w:pos="1533"/>
        </w:tabs>
        <w:overflowPunct/>
        <w:autoSpaceDE/>
        <w:autoSpaceDN/>
        <w:adjustRightInd/>
        <w:spacing w:line="360" w:lineRule="auto"/>
        <w:ind w:left="1106" w:hanging="270"/>
        <w:jc w:val="both"/>
        <w:textAlignment w:val="auto"/>
        <w:rPr>
          <w:sz w:val="24"/>
          <w:rtl/>
        </w:rPr>
      </w:pPr>
      <w:r w:rsidRPr="0038338B">
        <w:rPr>
          <w:rFonts w:hint="cs"/>
          <w:sz w:val="24"/>
          <w:rtl/>
        </w:rPr>
        <w:t>גוף מוסדי ימסור לתובע, לפי בקשתו, העתקים מכל מסמך אשר התובע חתום עליו, מכל מסמך אשר מסר התובע לגוף המוסדי, או מכל מסמך אשר התקבל אצל הגוף המוסדי מכוח הסכמת התובע, בתוך עשרים ואחד ימי עסקים ממועד קבלת הבקשה.</w:t>
      </w:r>
    </w:p>
    <w:p w:rsidR="0038338B" w:rsidRPr="0038338B" w:rsidRDefault="0038338B" w:rsidP="0038338B">
      <w:pPr>
        <w:spacing w:line="360" w:lineRule="auto"/>
        <w:ind w:left="836"/>
        <w:jc w:val="both"/>
        <w:rPr>
          <w:sz w:val="24"/>
        </w:rPr>
      </w:pPr>
    </w:p>
    <w:p w:rsidR="0038338B" w:rsidRPr="0038338B" w:rsidRDefault="0038338B" w:rsidP="0038338B">
      <w:pPr>
        <w:numPr>
          <w:ilvl w:val="0"/>
          <w:numId w:val="24"/>
        </w:numPr>
        <w:overflowPunct/>
        <w:autoSpaceDE/>
        <w:autoSpaceDN/>
        <w:adjustRightInd/>
        <w:spacing w:line="360" w:lineRule="auto"/>
        <w:jc w:val="both"/>
        <w:textAlignment w:val="auto"/>
        <w:rPr>
          <w:b/>
          <w:bCs/>
          <w:sz w:val="24"/>
          <w:rtl/>
        </w:rPr>
      </w:pPr>
      <w:r w:rsidRPr="0038338B">
        <w:rPr>
          <w:rFonts w:hint="cs"/>
          <w:b/>
          <w:bCs/>
          <w:sz w:val="24"/>
          <w:rtl/>
        </w:rPr>
        <w:lastRenderedPageBreak/>
        <w:t>שמירת מידע ומסמכים</w:t>
      </w:r>
    </w:p>
    <w:p w:rsidR="0038338B" w:rsidRPr="0038338B" w:rsidRDefault="0038338B" w:rsidP="0038338B">
      <w:pPr>
        <w:numPr>
          <w:ilvl w:val="1"/>
          <w:numId w:val="16"/>
        </w:numPr>
        <w:overflowPunct/>
        <w:autoSpaceDE/>
        <w:autoSpaceDN/>
        <w:adjustRightInd/>
        <w:spacing w:line="360" w:lineRule="auto"/>
        <w:jc w:val="both"/>
        <w:textAlignment w:val="auto"/>
        <w:rPr>
          <w:sz w:val="24"/>
        </w:rPr>
      </w:pPr>
      <w:r w:rsidRPr="0038338B">
        <w:rPr>
          <w:rFonts w:hint="cs"/>
          <w:sz w:val="24"/>
          <w:rtl/>
        </w:rPr>
        <w:t>גוף מוסדי ישמור את כל המידע והמסמכים הנוגעים למבוטח, כל עוד הוא מבוטח אצלו באותה פוליסה או קרן, ולמשך תקופה של לפחות שבע שנים לאחר שחדל להיות מבוטח כאמור.</w:t>
      </w:r>
    </w:p>
    <w:p w:rsidR="0038338B" w:rsidRPr="0038338B" w:rsidRDefault="0038338B" w:rsidP="0038338B">
      <w:pPr>
        <w:numPr>
          <w:ilvl w:val="1"/>
          <w:numId w:val="16"/>
        </w:numPr>
        <w:overflowPunct/>
        <w:autoSpaceDE/>
        <w:autoSpaceDN/>
        <w:adjustRightInd/>
        <w:spacing w:line="360" w:lineRule="auto"/>
        <w:jc w:val="both"/>
        <w:textAlignment w:val="auto"/>
        <w:rPr>
          <w:sz w:val="24"/>
          <w:rtl/>
        </w:rPr>
      </w:pPr>
      <w:r w:rsidRPr="0038338B">
        <w:rPr>
          <w:rFonts w:hint="cs"/>
          <w:sz w:val="24"/>
          <w:rtl/>
        </w:rPr>
        <w:t>מבלי לגרוע מהוראות סעיף קטן (א), גוף מוסדי ישמור את כל המידע והמסמכים הנוגעים לתביעה</w:t>
      </w:r>
      <w:r w:rsidRPr="0038338B" w:rsidDel="0097122A">
        <w:rPr>
          <w:rFonts w:hint="cs"/>
          <w:sz w:val="24"/>
          <w:rtl/>
        </w:rPr>
        <w:t xml:space="preserve"> על פי </w:t>
      </w:r>
      <w:r w:rsidRPr="0038338B">
        <w:rPr>
          <w:rFonts w:hint="cs"/>
          <w:sz w:val="24"/>
          <w:rtl/>
        </w:rPr>
        <w:t xml:space="preserve">תקנון או </w:t>
      </w:r>
      <w:r w:rsidRPr="0038338B" w:rsidDel="0097122A">
        <w:rPr>
          <w:rFonts w:hint="cs"/>
          <w:sz w:val="24"/>
          <w:rtl/>
        </w:rPr>
        <w:t>פוליסה ארוכ</w:t>
      </w:r>
      <w:r w:rsidRPr="0038338B">
        <w:rPr>
          <w:rFonts w:hint="cs"/>
          <w:sz w:val="24"/>
          <w:rtl/>
        </w:rPr>
        <w:t>ת</w:t>
      </w:r>
      <w:r w:rsidRPr="0038338B" w:rsidDel="0097122A">
        <w:rPr>
          <w:rFonts w:hint="cs"/>
          <w:sz w:val="24"/>
          <w:rtl/>
        </w:rPr>
        <w:t xml:space="preserve"> טווח או פוליסה מתחדשת</w:t>
      </w:r>
      <w:r w:rsidRPr="0038338B">
        <w:rPr>
          <w:rFonts w:hint="cs"/>
          <w:sz w:val="24"/>
          <w:rtl/>
        </w:rPr>
        <w:t>, למשך תקופה של לפחות שבע שנים ממועד היישוב הסופי של התביעה.</w:t>
      </w:r>
    </w:p>
    <w:p w:rsidR="0038338B" w:rsidRPr="0038338B" w:rsidRDefault="0038338B" w:rsidP="0038338B">
      <w:pPr>
        <w:numPr>
          <w:ilvl w:val="1"/>
          <w:numId w:val="16"/>
        </w:numPr>
        <w:overflowPunct/>
        <w:autoSpaceDE/>
        <w:autoSpaceDN/>
        <w:adjustRightInd/>
        <w:spacing w:line="360" w:lineRule="auto"/>
        <w:jc w:val="both"/>
        <w:textAlignment w:val="auto"/>
        <w:rPr>
          <w:sz w:val="24"/>
        </w:rPr>
      </w:pPr>
      <w:r w:rsidRPr="0038338B">
        <w:rPr>
          <w:rFonts w:hint="cs"/>
          <w:sz w:val="24"/>
          <w:rtl/>
        </w:rPr>
        <w:t>מבלי לגרוע מהוראות סעיף קטן (א), גוף מוסדי ישמור בגין כל תביעה רשומה הכוללת, לפי העניין, את שם התובע, שם המבוטח, סוג ומהדורת הפוליסה או התקנון, מספר הפוליסה או מספר החשבון בקרן הפנסיה, מועד תחילת ביטוח ומועד סוף ביטוח, מספר התביעה, אופן ומועד היישוב הסופי של התביעה (תשלום, תשלום חלקי, דחייה או פשרה).</w:t>
      </w:r>
    </w:p>
    <w:p w:rsidR="0038338B" w:rsidRPr="0038338B" w:rsidRDefault="0038338B" w:rsidP="0038338B">
      <w:pPr>
        <w:numPr>
          <w:ilvl w:val="12"/>
          <w:numId w:val="0"/>
        </w:numPr>
        <w:overflowPunct/>
        <w:autoSpaceDE/>
        <w:autoSpaceDN/>
        <w:adjustRightInd/>
        <w:spacing w:line="360" w:lineRule="auto"/>
        <w:ind w:left="772" w:hanging="26"/>
        <w:jc w:val="both"/>
        <w:textAlignment w:val="auto"/>
        <w:rPr>
          <w:sz w:val="24"/>
          <w:rtl/>
        </w:rPr>
      </w:pPr>
      <w:r w:rsidRPr="0038338B">
        <w:rPr>
          <w:rFonts w:hint="cs"/>
          <w:sz w:val="24"/>
          <w:rtl/>
        </w:rPr>
        <w:t>בתשלום או בתשלום חלקי שהוא תשלום חד פעמי - יישמרו גם מועד התשלום, סכום התשלום ודרך תשלומו; בתשלום או בתשלום חלקי שהוא תשלום עיתי - יישמרו גם מועד וסכום התשלום הראשון, תקופת התשלום ומנגנון ההצמדה.</w:t>
      </w:r>
    </w:p>
    <w:p w:rsidR="0038338B" w:rsidRPr="0038338B" w:rsidRDefault="0038338B" w:rsidP="0038338B">
      <w:pPr>
        <w:numPr>
          <w:ilvl w:val="12"/>
          <w:numId w:val="0"/>
        </w:numPr>
        <w:overflowPunct/>
        <w:autoSpaceDE/>
        <w:autoSpaceDN/>
        <w:adjustRightInd/>
        <w:spacing w:line="360" w:lineRule="auto"/>
        <w:ind w:left="772" w:hanging="26"/>
        <w:jc w:val="both"/>
        <w:textAlignment w:val="auto"/>
        <w:rPr>
          <w:sz w:val="24"/>
        </w:rPr>
      </w:pPr>
    </w:p>
    <w:p w:rsidR="0038338B" w:rsidRPr="0038338B" w:rsidRDefault="0038338B" w:rsidP="0038338B">
      <w:pPr>
        <w:numPr>
          <w:ilvl w:val="0"/>
          <w:numId w:val="24"/>
        </w:numPr>
        <w:overflowPunct/>
        <w:autoSpaceDE/>
        <w:autoSpaceDN/>
        <w:adjustRightInd/>
        <w:spacing w:line="360" w:lineRule="auto"/>
        <w:jc w:val="both"/>
        <w:textAlignment w:val="auto"/>
        <w:rPr>
          <w:b/>
          <w:bCs/>
          <w:sz w:val="24"/>
          <w:rtl/>
        </w:rPr>
      </w:pPr>
      <w:r w:rsidRPr="0038338B">
        <w:rPr>
          <w:rFonts w:hint="cs"/>
          <w:b/>
          <w:bCs/>
          <w:sz w:val="24"/>
          <w:rtl/>
        </w:rPr>
        <w:t>תפקידי הדירקטוריון</w:t>
      </w:r>
    </w:p>
    <w:p w:rsidR="0038338B" w:rsidRPr="0038338B" w:rsidRDefault="0038338B" w:rsidP="0038338B">
      <w:pPr>
        <w:numPr>
          <w:ilvl w:val="1"/>
          <w:numId w:val="17"/>
        </w:numPr>
        <w:overflowPunct/>
        <w:autoSpaceDE/>
        <w:autoSpaceDN/>
        <w:adjustRightInd/>
        <w:spacing w:line="360" w:lineRule="auto"/>
        <w:jc w:val="both"/>
        <w:textAlignment w:val="auto"/>
        <w:rPr>
          <w:sz w:val="24"/>
        </w:rPr>
      </w:pPr>
      <w:r w:rsidRPr="0038338B">
        <w:rPr>
          <w:rFonts w:hint="cs"/>
          <w:sz w:val="24"/>
          <w:rtl/>
        </w:rPr>
        <w:t xml:space="preserve">דירקטוריון הגוף המוסדי יאשר מדיניות ביחס ליישוב תביעות ולטיפול בפניות ציבור ולמערכת הכללים בגוף המוסדי. </w:t>
      </w:r>
    </w:p>
    <w:p w:rsidR="0038338B" w:rsidRPr="0038338B" w:rsidRDefault="0038338B" w:rsidP="0038338B">
      <w:pPr>
        <w:numPr>
          <w:ilvl w:val="1"/>
          <w:numId w:val="17"/>
        </w:numPr>
        <w:overflowPunct/>
        <w:autoSpaceDE/>
        <w:autoSpaceDN/>
        <w:adjustRightInd/>
        <w:spacing w:line="360" w:lineRule="auto"/>
        <w:jc w:val="both"/>
        <w:textAlignment w:val="auto"/>
        <w:rPr>
          <w:sz w:val="24"/>
        </w:rPr>
      </w:pPr>
      <w:r w:rsidRPr="0038338B">
        <w:rPr>
          <w:rFonts w:hint="cs"/>
          <w:sz w:val="24"/>
          <w:rtl/>
        </w:rPr>
        <w:t>דירקטוריון הגוף המוסדי ידון לפחות פעם בשנתיים במדיניות כאמור.</w:t>
      </w:r>
    </w:p>
    <w:p w:rsidR="0038338B" w:rsidRPr="0038338B" w:rsidRDefault="0038338B" w:rsidP="0038338B">
      <w:pPr>
        <w:overflowPunct/>
        <w:autoSpaceDE/>
        <w:autoSpaceDN/>
        <w:adjustRightInd/>
        <w:spacing w:line="360" w:lineRule="auto"/>
        <w:ind w:left="794"/>
        <w:jc w:val="both"/>
        <w:textAlignment w:val="auto"/>
        <w:rPr>
          <w:b/>
          <w:bCs/>
          <w:sz w:val="24"/>
          <w:rtl/>
        </w:rPr>
      </w:pPr>
    </w:p>
    <w:p w:rsidR="0038338B" w:rsidRPr="0038338B" w:rsidRDefault="0038338B" w:rsidP="0038338B">
      <w:pPr>
        <w:numPr>
          <w:ilvl w:val="0"/>
          <w:numId w:val="24"/>
        </w:numPr>
        <w:overflowPunct/>
        <w:autoSpaceDE/>
        <w:autoSpaceDN/>
        <w:adjustRightInd/>
        <w:spacing w:line="360" w:lineRule="auto"/>
        <w:jc w:val="both"/>
        <w:textAlignment w:val="auto"/>
        <w:rPr>
          <w:b/>
          <w:bCs/>
          <w:sz w:val="24"/>
        </w:rPr>
      </w:pPr>
      <w:r w:rsidRPr="0038338B">
        <w:rPr>
          <w:rFonts w:hint="cs"/>
          <w:b/>
          <w:bCs/>
          <w:sz w:val="24"/>
          <w:rtl/>
        </w:rPr>
        <w:t xml:space="preserve">תפקידי ההנהלה </w:t>
      </w:r>
    </w:p>
    <w:p w:rsidR="0038338B" w:rsidRPr="0038338B" w:rsidRDefault="0038338B" w:rsidP="0038338B">
      <w:pPr>
        <w:numPr>
          <w:ilvl w:val="1"/>
          <w:numId w:val="19"/>
        </w:numPr>
        <w:overflowPunct/>
        <w:autoSpaceDE/>
        <w:autoSpaceDN/>
        <w:adjustRightInd/>
        <w:spacing w:line="360" w:lineRule="auto"/>
        <w:jc w:val="both"/>
        <w:textAlignment w:val="auto"/>
        <w:rPr>
          <w:sz w:val="24"/>
        </w:rPr>
      </w:pPr>
      <w:r w:rsidRPr="0038338B">
        <w:rPr>
          <w:rFonts w:hint="cs"/>
          <w:sz w:val="24"/>
          <w:rtl/>
        </w:rPr>
        <w:t>הנהלת הגוף המוסדי תאשר את מערכת הכללים לגבי כל סוג תביעה, את טבלת ההשוואה ואת טבלת המועדים.</w:t>
      </w:r>
    </w:p>
    <w:p w:rsidR="0038338B" w:rsidRPr="0038338B" w:rsidRDefault="0038338B" w:rsidP="0038338B">
      <w:pPr>
        <w:numPr>
          <w:ilvl w:val="1"/>
          <w:numId w:val="19"/>
        </w:numPr>
        <w:overflowPunct/>
        <w:autoSpaceDE/>
        <w:autoSpaceDN/>
        <w:adjustRightInd/>
        <w:spacing w:line="360" w:lineRule="auto"/>
        <w:jc w:val="both"/>
        <w:textAlignment w:val="auto"/>
        <w:rPr>
          <w:sz w:val="24"/>
        </w:rPr>
      </w:pPr>
      <w:r w:rsidRPr="0038338B">
        <w:rPr>
          <w:rFonts w:hint="cs"/>
          <w:sz w:val="24"/>
          <w:rtl/>
        </w:rPr>
        <w:t>הנהלת הגוף המוסדי תאשר כל שינוי במערכת הכללים, בטבלת ההשוואה ובטבלת המועדים, לפחות חמישה עשר ימים לפני המועד שבו יכנס השינוי לתוקף.</w:t>
      </w:r>
    </w:p>
    <w:p w:rsidR="0038338B" w:rsidRPr="0038338B" w:rsidRDefault="0038338B" w:rsidP="0038338B">
      <w:pPr>
        <w:numPr>
          <w:ilvl w:val="1"/>
          <w:numId w:val="19"/>
        </w:numPr>
        <w:overflowPunct/>
        <w:autoSpaceDE/>
        <w:autoSpaceDN/>
        <w:adjustRightInd/>
        <w:spacing w:line="360" w:lineRule="auto"/>
        <w:jc w:val="both"/>
        <w:textAlignment w:val="auto"/>
        <w:rPr>
          <w:sz w:val="24"/>
        </w:rPr>
      </w:pPr>
      <w:r w:rsidRPr="0038338B">
        <w:rPr>
          <w:rFonts w:hint="cs"/>
          <w:sz w:val="24"/>
          <w:rtl/>
        </w:rPr>
        <w:t xml:space="preserve">הנהלת הגוף המוסדי תגיש לדירקטוריון הגוף המוסדי, בתוך 30 ימים מתום כל רבעון, דוח אודות התקדמות היערכות הגוף המוסדי ליישום הוראות חוזר זה ברבעון שחלף. </w:t>
      </w:r>
    </w:p>
    <w:p w:rsidR="0038338B" w:rsidRPr="0038338B" w:rsidRDefault="0038338B" w:rsidP="0038338B">
      <w:pPr>
        <w:spacing w:line="360" w:lineRule="auto"/>
        <w:ind w:left="397"/>
        <w:jc w:val="both"/>
        <w:rPr>
          <w:sz w:val="24"/>
        </w:rPr>
      </w:pPr>
    </w:p>
    <w:p w:rsidR="0038338B" w:rsidRPr="0038338B" w:rsidRDefault="0038338B" w:rsidP="0038338B">
      <w:pPr>
        <w:numPr>
          <w:ilvl w:val="0"/>
          <w:numId w:val="22"/>
        </w:numPr>
        <w:overflowPunct/>
        <w:autoSpaceDE/>
        <w:autoSpaceDN/>
        <w:adjustRightInd/>
        <w:spacing w:line="360" w:lineRule="auto"/>
        <w:jc w:val="both"/>
        <w:textAlignment w:val="auto"/>
        <w:rPr>
          <w:b/>
          <w:bCs/>
          <w:sz w:val="24"/>
          <w:rtl/>
        </w:rPr>
      </w:pPr>
      <w:r w:rsidRPr="0038338B">
        <w:rPr>
          <w:rFonts w:hint="cs"/>
          <w:b/>
          <w:bCs/>
          <w:sz w:val="24"/>
          <w:rtl/>
        </w:rPr>
        <w:t>שמירת דינים</w:t>
      </w:r>
    </w:p>
    <w:p w:rsidR="0038338B" w:rsidRPr="0038338B" w:rsidRDefault="0038338B" w:rsidP="0038338B">
      <w:pPr>
        <w:spacing w:line="360" w:lineRule="auto"/>
        <w:ind w:left="397"/>
        <w:jc w:val="both"/>
        <w:rPr>
          <w:sz w:val="24"/>
          <w:rtl/>
        </w:rPr>
      </w:pPr>
      <w:r w:rsidRPr="0038338B">
        <w:rPr>
          <w:rFonts w:hint="cs"/>
          <w:sz w:val="24"/>
          <w:rtl/>
        </w:rPr>
        <w:t xml:space="preserve">למען הסר ספק, מובהר בזאת כי - </w:t>
      </w:r>
    </w:p>
    <w:p w:rsidR="0038338B" w:rsidRPr="0038338B" w:rsidRDefault="0038338B" w:rsidP="0038338B">
      <w:pPr>
        <w:numPr>
          <w:ilvl w:val="1"/>
          <w:numId w:val="18"/>
        </w:numPr>
        <w:overflowPunct/>
        <w:autoSpaceDE/>
        <w:autoSpaceDN/>
        <w:adjustRightInd/>
        <w:spacing w:line="360" w:lineRule="auto"/>
        <w:jc w:val="both"/>
        <w:textAlignment w:val="auto"/>
        <w:rPr>
          <w:sz w:val="24"/>
        </w:rPr>
      </w:pPr>
      <w:r w:rsidRPr="0038338B">
        <w:rPr>
          <w:rFonts w:hint="cs"/>
          <w:sz w:val="24"/>
          <w:rtl/>
        </w:rPr>
        <w:t>הוראות חוזר זה ומערכת כללים לפי חוזר זה מוסיפות על הוראות כל דין, לרבות ההוראות הקבועות בחוזרים אחרים, ואין בהן כדי לגרוע מהוראות כל דין כאמור.</w:t>
      </w:r>
    </w:p>
    <w:p w:rsidR="0038338B" w:rsidRPr="0038338B" w:rsidRDefault="0038338B" w:rsidP="0038338B">
      <w:pPr>
        <w:numPr>
          <w:ilvl w:val="1"/>
          <w:numId w:val="18"/>
        </w:numPr>
        <w:overflowPunct/>
        <w:autoSpaceDE/>
        <w:autoSpaceDN/>
        <w:adjustRightInd/>
        <w:spacing w:line="360" w:lineRule="auto"/>
        <w:jc w:val="both"/>
        <w:textAlignment w:val="auto"/>
        <w:rPr>
          <w:sz w:val="24"/>
          <w:rtl/>
        </w:rPr>
      </w:pPr>
      <w:r w:rsidRPr="0038338B">
        <w:rPr>
          <w:rFonts w:hint="cs"/>
          <w:sz w:val="24"/>
          <w:rtl/>
        </w:rPr>
        <w:lastRenderedPageBreak/>
        <w:t xml:space="preserve">אין בהוראות חוזר זה ומערכת כללים לפי חוזר זה כדי לגרוע מזכותו של המבוטח על פי כל דין, ובכלל זה זכותו לתבוע ריבית מיוחדת לפי סעיף 28א לחוק חוזה הביטוח, התשמ"א-1981 או פיצוי לפי סעיף 108 לחוק הפיקוח ביטוח. </w:t>
      </w:r>
    </w:p>
    <w:p w:rsidR="0038338B" w:rsidRPr="0038338B" w:rsidRDefault="0038338B" w:rsidP="0038338B">
      <w:pPr>
        <w:overflowPunct/>
        <w:autoSpaceDE/>
        <w:autoSpaceDN/>
        <w:adjustRightInd/>
        <w:spacing w:line="360" w:lineRule="auto"/>
        <w:jc w:val="both"/>
        <w:textAlignment w:val="auto"/>
        <w:rPr>
          <w:sz w:val="24"/>
          <w:rtl/>
        </w:rPr>
      </w:pPr>
    </w:p>
    <w:p w:rsidR="0038338B" w:rsidRPr="0038338B" w:rsidRDefault="0038338B" w:rsidP="0038338B">
      <w:pPr>
        <w:numPr>
          <w:ilvl w:val="0"/>
          <w:numId w:val="22"/>
        </w:numPr>
        <w:overflowPunct/>
        <w:autoSpaceDE/>
        <w:autoSpaceDN/>
        <w:adjustRightInd/>
        <w:spacing w:line="360" w:lineRule="auto"/>
        <w:jc w:val="both"/>
        <w:textAlignment w:val="auto"/>
        <w:rPr>
          <w:b/>
          <w:bCs/>
          <w:sz w:val="24"/>
          <w:rtl/>
        </w:rPr>
      </w:pPr>
      <w:r w:rsidRPr="0038338B">
        <w:rPr>
          <w:rFonts w:hint="cs"/>
          <w:b/>
          <w:bCs/>
          <w:sz w:val="24"/>
          <w:rtl/>
        </w:rPr>
        <w:t>תחולה</w:t>
      </w:r>
    </w:p>
    <w:p w:rsidR="0038338B" w:rsidRPr="0038338B" w:rsidRDefault="0038338B" w:rsidP="0038338B">
      <w:pPr>
        <w:numPr>
          <w:ilvl w:val="1"/>
          <w:numId w:val="20"/>
        </w:numPr>
        <w:overflowPunct/>
        <w:autoSpaceDE/>
        <w:autoSpaceDN/>
        <w:adjustRightInd/>
        <w:spacing w:line="360" w:lineRule="auto"/>
        <w:jc w:val="both"/>
        <w:textAlignment w:val="auto"/>
        <w:rPr>
          <w:sz w:val="24"/>
        </w:rPr>
      </w:pPr>
      <w:r w:rsidRPr="0038338B">
        <w:rPr>
          <w:rFonts w:hint="cs"/>
          <w:sz w:val="24"/>
          <w:rtl/>
        </w:rPr>
        <w:t>הוראות חוזר זה יחולו על כל גוף מוסדי, לרבות הקרן לפיצוי נפגעי תאונות דרכים ("קרנית") והתאגיד המנהל של המאגר לביטוח רכב חובה ("הפול") בע"מ, בין אם הוא פועל ליישוב תביעות בעצמו ובין באמצעות אחר.</w:t>
      </w:r>
    </w:p>
    <w:p w:rsidR="0038338B" w:rsidRPr="0038338B" w:rsidRDefault="0038338B" w:rsidP="0038338B">
      <w:pPr>
        <w:numPr>
          <w:ilvl w:val="1"/>
          <w:numId w:val="20"/>
        </w:numPr>
        <w:overflowPunct/>
        <w:autoSpaceDE/>
        <w:autoSpaceDN/>
        <w:adjustRightInd/>
        <w:spacing w:line="360" w:lineRule="auto"/>
        <w:jc w:val="both"/>
        <w:textAlignment w:val="auto"/>
        <w:rPr>
          <w:sz w:val="24"/>
        </w:rPr>
      </w:pPr>
      <w:r w:rsidRPr="0038338B">
        <w:rPr>
          <w:rFonts w:hint="cs"/>
          <w:sz w:val="24"/>
          <w:rtl/>
        </w:rPr>
        <w:t xml:space="preserve">הוראות החוזר יחולו לגבי ענפי הביטוח הבאים: ביטוח פנסיה - לגבי סיכוני נכות ומוות בלבד; </w:t>
      </w:r>
      <w:r w:rsidRPr="0038338B">
        <w:rPr>
          <w:sz w:val="24"/>
          <w:rtl/>
        </w:rPr>
        <w:t>ב</w:t>
      </w:r>
      <w:r w:rsidRPr="0038338B">
        <w:rPr>
          <w:rFonts w:hint="cs"/>
          <w:sz w:val="24"/>
          <w:rtl/>
        </w:rPr>
        <w:t>יטוח חיים - לגבי סיכוני אבדן כושר עבודה וריסק מוות בלבד;</w:t>
      </w:r>
      <w:r w:rsidRPr="0038338B">
        <w:rPr>
          <w:sz w:val="24"/>
          <w:rtl/>
        </w:rPr>
        <w:t xml:space="preserve"> ב</w:t>
      </w:r>
      <w:r w:rsidRPr="0038338B">
        <w:rPr>
          <w:rFonts w:hint="cs"/>
          <w:sz w:val="24"/>
          <w:rtl/>
        </w:rPr>
        <w:t>יטוח מפני תאונות אישיות;</w:t>
      </w:r>
      <w:r w:rsidRPr="0038338B">
        <w:rPr>
          <w:sz w:val="24"/>
          <w:rtl/>
        </w:rPr>
        <w:t xml:space="preserve"> ב</w:t>
      </w:r>
      <w:r w:rsidRPr="0038338B">
        <w:rPr>
          <w:rFonts w:hint="cs"/>
          <w:sz w:val="24"/>
          <w:rtl/>
        </w:rPr>
        <w:t>יטוח מפני מחלות ואשפוז, למעט ביטוח שיניים ולמעט ביטוח בריאות לעובדים זרים וביטוח בריאות המיועד למתן כיסוי ביטוחי לשוהים זרים בישראל - וזאת לעניין קבלת שירותים במישרין מספק השירות הרפואי ובלא מעורבות של המבטח;</w:t>
      </w:r>
      <w:r w:rsidRPr="0038338B">
        <w:rPr>
          <w:sz w:val="24"/>
          <w:rtl/>
        </w:rPr>
        <w:t xml:space="preserve"> ב</w:t>
      </w:r>
      <w:r w:rsidRPr="0038338B">
        <w:rPr>
          <w:rFonts w:hint="cs"/>
          <w:sz w:val="24"/>
          <w:rtl/>
        </w:rPr>
        <w:t>יטוח רכב מנועי - רכוש (עצמי וצד שלישי);</w:t>
      </w:r>
      <w:r w:rsidRPr="0038338B">
        <w:rPr>
          <w:sz w:val="24"/>
          <w:rtl/>
        </w:rPr>
        <w:t xml:space="preserve"> ב</w:t>
      </w:r>
      <w:r w:rsidRPr="0038338B">
        <w:rPr>
          <w:rFonts w:hint="cs"/>
          <w:sz w:val="24"/>
          <w:rtl/>
        </w:rPr>
        <w:t xml:space="preserve">יטוח מקיף לדירות; </w:t>
      </w:r>
      <w:r w:rsidRPr="0038338B">
        <w:rPr>
          <w:sz w:val="24"/>
          <w:rtl/>
        </w:rPr>
        <w:t>ב</w:t>
      </w:r>
      <w:r w:rsidRPr="0038338B">
        <w:rPr>
          <w:rFonts w:hint="cs"/>
          <w:sz w:val="24"/>
          <w:rtl/>
        </w:rPr>
        <w:t>יטוח מטען, תאונות, מחלות ואשפוז בנסיעות ל</w:t>
      </w:r>
      <w:r w:rsidRPr="0038338B">
        <w:rPr>
          <w:sz w:val="24"/>
          <w:rtl/>
        </w:rPr>
        <w:t>חו</w:t>
      </w:r>
      <w:r w:rsidRPr="0038338B">
        <w:rPr>
          <w:rFonts w:hint="cs"/>
          <w:sz w:val="24"/>
          <w:rtl/>
        </w:rPr>
        <w:t>ץ לאר</w:t>
      </w:r>
      <w:r w:rsidRPr="0038338B">
        <w:rPr>
          <w:sz w:val="24"/>
          <w:rtl/>
        </w:rPr>
        <w:t>ץ</w:t>
      </w:r>
      <w:r w:rsidRPr="0038338B">
        <w:rPr>
          <w:rFonts w:hint="cs"/>
          <w:sz w:val="24"/>
          <w:rtl/>
        </w:rPr>
        <w:t>.</w:t>
      </w:r>
    </w:p>
    <w:p w:rsidR="0038338B" w:rsidRPr="0038338B" w:rsidRDefault="0038338B" w:rsidP="0038338B">
      <w:pPr>
        <w:numPr>
          <w:ilvl w:val="1"/>
          <w:numId w:val="20"/>
        </w:numPr>
        <w:overflowPunct/>
        <w:autoSpaceDE/>
        <w:autoSpaceDN/>
        <w:adjustRightInd/>
        <w:spacing w:line="360" w:lineRule="auto"/>
        <w:jc w:val="both"/>
        <w:textAlignment w:val="auto"/>
        <w:rPr>
          <w:sz w:val="24"/>
        </w:rPr>
      </w:pPr>
      <w:r w:rsidRPr="0038338B">
        <w:rPr>
          <w:rFonts w:hint="cs"/>
          <w:sz w:val="24"/>
          <w:rtl/>
        </w:rPr>
        <w:t xml:space="preserve">הוראות החוזר, למעט סעיף 8(י"ג), יחולו לגבי ענף </w:t>
      </w:r>
      <w:r w:rsidRPr="0038338B">
        <w:rPr>
          <w:sz w:val="24"/>
          <w:rtl/>
        </w:rPr>
        <w:t>ב</w:t>
      </w:r>
      <w:r w:rsidRPr="0038338B">
        <w:rPr>
          <w:rFonts w:hint="cs"/>
          <w:sz w:val="24"/>
          <w:rtl/>
        </w:rPr>
        <w:t>יטוח לפי דרישות פקודת ביטוח רכב מנועי [נוסח חדש], התש"ל-</w:t>
      </w:r>
      <w:r w:rsidRPr="0038338B">
        <w:rPr>
          <w:sz w:val="24"/>
          <w:rtl/>
        </w:rPr>
        <w:t>197</w:t>
      </w:r>
      <w:r w:rsidRPr="0038338B">
        <w:rPr>
          <w:rFonts w:hint="cs"/>
          <w:sz w:val="24"/>
          <w:rtl/>
        </w:rPr>
        <w:t xml:space="preserve">0 (להלן - </w:t>
      </w:r>
      <w:r w:rsidRPr="0038338B">
        <w:rPr>
          <w:rFonts w:hint="cs"/>
          <w:b/>
          <w:bCs/>
          <w:sz w:val="24"/>
          <w:rtl/>
        </w:rPr>
        <w:t>הפקודה</w:t>
      </w:r>
      <w:r w:rsidRPr="0038338B">
        <w:rPr>
          <w:rFonts w:hint="cs"/>
          <w:sz w:val="24"/>
          <w:rtl/>
        </w:rPr>
        <w:t xml:space="preserve">) ובסעיף 8(ו)(3) במקום "תשעים ימים" יבוא " ששה חודשים". </w:t>
      </w:r>
    </w:p>
    <w:p w:rsidR="0038338B" w:rsidRPr="0038338B" w:rsidRDefault="0038338B" w:rsidP="0038338B">
      <w:pPr>
        <w:numPr>
          <w:ilvl w:val="1"/>
          <w:numId w:val="20"/>
        </w:numPr>
        <w:overflowPunct/>
        <w:autoSpaceDE/>
        <w:autoSpaceDN/>
        <w:adjustRightInd/>
        <w:spacing w:line="360" w:lineRule="auto"/>
        <w:jc w:val="both"/>
        <w:textAlignment w:val="auto"/>
        <w:rPr>
          <w:sz w:val="24"/>
        </w:rPr>
      </w:pPr>
      <w:r w:rsidRPr="0038338B">
        <w:rPr>
          <w:rFonts w:hint="cs"/>
          <w:sz w:val="24"/>
          <w:rtl/>
        </w:rPr>
        <w:t>מבלי לגרוע מהוראות סעיף 3, הוראות החוזר לא יחולו על שירותים שמעניק ספק שירות במישרין למבוטח בהתאם לכתב שירות, אם המבטח אינו מעורב ביישוב התביעה.</w:t>
      </w:r>
    </w:p>
    <w:p w:rsidR="0038338B" w:rsidRPr="0038338B" w:rsidRDefault="0038338B" w:rsidP="0038338B">
      <w:pPr>
        <w:numPr>
          <w:ilvl w:val="1"/>
          <w:numId w:val="20"/>
        </w:numPr>
        <w:overflowPunct/>
        <w:autoSpaceDE/>
        <w:autoSpaceDN/>
        <w:adjustRightInd/>
        <w:spacing w:line="360" w:lineRule="auto"/>
        <w:jc w:val="both"/>
        <w:textAlignment w:val="auto"/>
        <w:rPr>
          <w:sz w:val="24"/>
        </w:rPr>
      </w:pPr>
      <w:r w:rsidRPr="0038338B">
        <w:rPr>
          <w:rFonts w:hint="cs"/>
          <w:sz w:val="24"/>
          <w:rtl/>
        </w:rPr>
        <w:t>הוראות סעיף 8 יחולו על תביעה שהוגשה לאחר מועד תחילתן של הוראות חוזר זה.</w:t>
      </w:r>
    </w:p>
    <w:p w:rsidR="0038338B" w:rsidRPr="0038338B" w:rsidRDefault="0038338B" w:rsidP="0038338B">
      <w:pPr>
        <w:numPr>
          <w:ilvl w:val="1"/>
          <w:numId w:val="20"/>
        </w:numPr>
        <w:overflowPunct/>
        <w:autoSpaceDE/>
        <w:autoSpaceDN/>
        <w:adjustRightInd/>
        <w:spacing w:line="360" w:lineRule="auto"/>
        <w:jc w:val="both"/>
        <w:textAlignment w:val="auto"/>
        <w:rPr>
          <w:sz w:val="24"/>
        </w:rPr>
      </w:pPr>
      <w:r w:rsidRPr="0038338B">
        <w:rPr>
          <w:rFonts w:hint="cs"/>
          <w:sz w:val="24"/>
          <w:rtl/>
        </w:rPr>
        <w:t xml:space="preserve">על אף האמור בסעיפים קטנים (ב) ו-(ג): </w:t>
      </w:r>
    </w:p>
    <w:p w:rsidR="0038338B" w:rsidRPr="0038338B" w:rsidRDefault="0038338B" w:rsidP="0038338B">
      <w:pPr>
        <w:numPr>
          <w:ilvl w:val="2"/>
          <w:numId w:val="20"/>
        </w:numPr>
        <w:tabs>
          <w:tab w:val="num" w:pos="1112"/>
        </w:tabs>
        <w:overflowPunct/>
        <w:autoSpaceDE/>
        <w:autoSpaceDN/>
        <w:adjustRightInd/>
        <w:spacing w:line="360" w:lineRule="auto"/>
        <w:ind w:left="1112" w:hanging="360"/>
        <w:jc w:val="both"/>
        <w:textAlignment w:val="auto"/>
        <w:rPr>
          <w:sz w:val="24"/>
        </w:rPr>
      </w:pPr>
      <w:r w:rsidRPr="0038338B">
        <w:rPr>
          <w:rFonts w:hint="cs"/>
          <w:sz w:val="24"/>
          <w:rtl/>
        </w:rPr>
        <w:t>הוראות סעיף 8(ג) יחולו על תביעה שנדונה בבית משפט בהתאם לנסיבות העניין, בשינויים המחויבים.</w:t>
      </w:r>
    </w:p>
    <w:p w:rsidR="0038338B" w:rsidRPr="0038338B" w:rsidRDefault="0038338B" w:rsidP="0038338B">
      <w:pPr>
        <w:numPr>
          <w:ilvl w:val="2"/>
          <w:numId w:val="20"/>
        </w:numPr>
        <w:overflowPunct/>
        <w:autoSpaceDE/>
        <w:autoSpaceDN/>
        <w:adjustRightInd/>
        <w:spacing w:line="360" w:lineRule="auto"/>
        <w:ind w:left="1082" w:hanging="283"/>
        <w:jc w:val="both"/>
        <w:textAlignment w:val="auto"/>
        <w:rPr>
          <w:sz w:val="24"/>
        </w:rPr>
      </w:pPr>
      <w:r w:rsidRPr="0038338B">
        <w:rPr>
          <w:rFonts w:hint="cs"/>
          <w:sz w:val="24"/>
          <w:rtl/>
        </w:rPr>
        <w:t>הוראות סעיף 8(ד) לא יחולו אם התובע מיוצג על ידי עורך דין. הוסכם בין חברת ביטוח לבין תובע כאמור על פשרה, תהיה חברת הביטוח פטורה מחובת הודעה לפי סעיף 8(ב) מאותו מועד ואילך.</w:t>
      </w:r>
    </w:p>
    <w:p w:rsidR="0038338B" w:rsidRPr="0038338B" w:rsidRDefault="0038338B" w:rsidP="0038338B">
      <w:pPr>
        <w:numPr>
          <w:ilvl w:val="2"/>
          <w:numId w:val="20"/>
        </w:numPr>
        <w:overflowPunct/>
        <w:autoSpaceDE/>
        <w:autoSpaceDN/>
        <w:adjustRightInd/>
        <w:spacing w:line="360" w:lineRule="auto"/>
        <w:ind w:left="1082" w:hanging="330"/>
        <w:jc w:val="both"/>
        <w:textAlignment w:val="auto"/>
        <w:rPr>
          <w:sz w:val="24"/>
        </w:rPr>
      </w:pPr>
      <w:r w:rsidRPr="0038338B">
        <w:rPr>
          <w:rFonts w:hint="cs"/>
          <w:sz w:val="24"/>
          <w:rtl/>
        </w:rPr>
        <w:t>הוראות סעיף 8(א), 8(ב), 8(ד) ו- 8(ו) עד 8(ח) לא יחולו על תביעה שנדונה בבית משפט.</w:t>
      </w:r>
    </w:p>
    <w:p w:rsidR="0038338B" w:rsidRPr="0038338B" w:rsidRDefault="0038338B" w:rsidP="0038338B">
      <w:pPr>
        <w:numPr>
          <w:ilvl w:val="1"/>
          <w:numId w:val="20"/>
        </w:numPr>
        <w:overflowPunct/>
        <w:autoSpaceDE/>
        <w:autoSpaceDN/>
        <w:adjustRightInd/>
        <w:spacing w:line="360" w:lineRule="auto"/>
        <w:jc w:val="both"/>
        <w:textAlignment w:val="auto"/>
        <w:rPr>
          <w:sz w:val="24"/>
        </w:rPr>
      </w:pPr>
      <w:r w:rsidRPr="0038338B">
        <w:rPr>
          <w:rFonts w:hint="cs"/>
          <w:sz w:val="24"/>
          <w:rtl/>
        </w:rPr>
        <w:t xml:space="preserve">הוראות סעיף 8(ט)(6) יחולו על פוליסות שתחילת תקופת הביטוח הקבועה בהן היא החל ממועד פרסום החוזר ואילך. לגבי פוליסות שתחילת תקופת הביטוח הקבועה בהן קודמת למועד האמור, ייצרף הגוף המוסדי להודעת תשלום ולהודעת תשלום חלקי את הכללים שקבע לעניין בדיקה מחודשת של זכאות כאמור בסעיף 8(ט)(6). </w:t>
      </w:r>
    </w:p>
    <w:p w:rsidR="0038338B" w:rsidRPr="0038338B" w:rsidRDefault="0038338B" w:rsidP="0038338B">
      <w:pPr>
        <w:numPr>
          <w:ilvl w:val="1"/>
          <w:numId w:val="20"/>
        </w:numPr>
        <w:overflowPunct/>
        <w:autoSpaceDE/>
        <w:autoSpaceDN/>
        <w:adjustRightInd/>
        <w:spacing w:line="360" w:lineRule="auto"/>
        <w:jc w:val="both"/>
        <w:textAlignment w:val="auto"/>
        <w:rPr>
          <w:sz w:val="24"/>
        </w:rPr>
      </w:pPr>
      <w:r w:rsidRPr="0038338B">
        <w:rPr>
          <w:rFonts w:hint="cs"/>
          <w:sz w:val="24"/>
          <w:rtl/>
        </w:rPr>
        <w:t>תביעה תתברר לפי מערכת הכללים אשר תהיה תקפה במועד שבו הוגשה התביעה.</w:t>
      </w:r>
    </w:p>
    <w:p w:rsidR="0038338B" w:rsidRPr="0038338B" w:rsidRDefault="0038338B" w:rsidP="0038338B">
      <w:pPr>
        <w:numPr>
          <w:ilvl w:val="1"/>
          <w:numId w:val="20"/>
        </w:numPr>
        <w:overflowPunct/>
        <w:autoSpaceDE/>
        <w:autoSpaceDN/>
        <w:adjustRightInd/>
        <w:spacing w:line="360" w:lineRule="auto"/>
        <w:jc w:val="both"/>
        <w:textAlignment w:val="auto"/>
        <w:rPr>
          <w:sz w:val="24"/>
        </w:rPr>
      </w:pPr>
      <w:r w:rsidRPr="0038338B">
        <w:rPr>
          <w:rFonts w:hint="cs"/>
          <w:sz w:val="24"/>
          <w:rtl/>
        </w:rPr>
        <w:t xml:space="preserve">הוראות החוזר לא יחולו על תביעה לתשלום בגין נזק עצמי בביטוח רכב מנועי - רכוש או בביטוח מקיף דירות, של תובע אשר בעת כריתת חוזה הביטוח ויתר על תחולת חוזר זה </w:t>
      </w:r>
      <w:r w:rsidRPr="0038338B">
        <w:rPr>
          <w:rFonts w:hint="cs"/>
          <w:sz w:val="24"/>
          <w:rtl/>
        </w:rPr>
        <w:lastRenderedPageBreak/>
        <w:t>באופן מפורש; לעניין סעיף קטן זה, "תובע" - מי שבבעלותו לפחות ארבעים כלי רכב או דירות.</w:t>
      </w:r>
    </w:p>
    <w:p w:rsidR="0038338B" w:rsidRPr="0038338B" w:rsidRDefault="0038338B" w:rsidP="0038338B">
      <w:pPr>
        <w:spacing w:line="360" w:lineRule="auto"/>
        <w:ind w:left="397"/>
        <w:jc w:val="both"/>
        <w:rPr>
          <w:sz w:val="24"/>
          <w:rtl/>
        </w:rPr>
      </w:pPr>
    </w:p>
    <w:p w:rsidR="0038338B" w:rsidRPr="0038338B" w:rsidRDefault="0038338B" w:rsidP="0038338B">
      <w:pPr>
        <w:numPr>
          <w:ilvl w:val="0"/>
          <w:numId w:val="22"/>
        </w:numPr>
        <w:overflowPunct/>
        <w:autoSpaceDE/>
        <w:autoSpaceDN/>
        <w:adjustRightInd/>
        <w:spacing w:line="360" w:lineRule="auto"/>
        <w:jc w:val="both"/>
        <w:textAlignment w:val="auto"/>
        <w:rPr>
          <w:b/>
          <w:bCs/>
          <w:sz w:val="24"/>
          <w:rtl/>
        </w:rPr>
      </w:pPr>
      <w:r w:rsidRPr="0038338B">
        <w:rPr>
          <w:rFonts w:hint="cs"/>
          <w:b/>
          <w:bCs/>
          <w:sz w:val="24"/>
          <w:rtl/>
        </w:rPr>
        <w:t>תחילה</w:t>
      </w:r>
      <w:r w:rsidR="0074600A">
        <w:rPr>
          <w:rStyle w:val="af7"/>
          <w:b/>
          <w:bCs/>
          <w:sz w:val="24"/>
          <w:rtl/>
        </w:rPr>
        <w:footnoteReference w:id="1"/>
      </w:r>
      <w:r w:rsidRPr="0038338B">
        <w:rPr>
          <w:rFonts w:hint="cs"/>
          <w:b/>
          <w:bCs/>
          <w:sz w:val="24"/>
          <w:rtl/>
        </w:rPr>
        <w:t xml:space="preserve"> </w:t>
      </w:r>
    </w:p>
    <w:p w:rsidR="0038338B" w:rsidRPr="0038338B" w:rsidRDefault="0038338B" w:rsidP="0038338B">
      <w:pPr>
        <w:numPr>
          <w:ilvl w:val="1"/>
          <w:numId w:val="21"/>
        </w:numPr>
        <w:overflowPunct/>
        <w:autoSpaceDE/>
        <w:autoSpaceDN/>
        <w:adjustRightInd/>
        <w:spacing w:line="360" w:lineRule="auto"/>
        <w:jc w:val="both"/>
        <w:textAlignment w:val="auto"/>
        <w:rPr>
          <w:sz w:val="24"/>
        </w:rPr>
      </w:pPr>
      <w:r w:rsidRPr="0038338B">
        <w:rPr>
          <w:rFonts w:hint="cs"/>
          <w:sz w:val="24"/>
          <w:rtl/>
        </w:rPr>
        <w:t xml:space="preserve">תחילתן של הוראות חוזר זה ביום פרסומו (להלן </w:t>
      </w:r>
      <w:r w:rsidRPr="0038338B">
        <w:rPr>
          <w:sz w:val="24"/>
          <w:rtl/>
        </w:rPr>
        <w:t>–</w:t>
      </w:r>
      <w:r w:rsidRPr="0038338B">
        <w:rPr>
          <w:rFonts w:hint="cs"/>
          <w:sz w:val="24"/>
          <w:rtl/>
        </w:rPr>
        <w:t xml:space="preserve"> יום התחילה).</w:t>
      </w:r>
    </w:p>
    <w:p w:rsidR="0038338B" w:rsidRPr="007765EA" w:rsidRDefault="0038338B" w:rsidP="00731737">
      <w:pPr>
        <w:numPr>
          <w:ilvl w:val="1"/>
          <w:numId w:val="21"/>
        </w:numPr>
        <w:overflowPunct/>
        <w:autoSpaceDE/>
        <w:autoSpaceDN/>
        <w:adjustRightInd/>
        <w:spacing w:line="360" w:lineRule="auto"/>
        <w:jc w:val="both"/>
        <w:textAlignment w:val="auto"/>
        <w:rPr>
          <w:sz w:val="24"/>
        </w:rPr>
      </w:pPr>
      <w:r w:rsidRPr="007765EA">
        <w:rPr>
          <w:rFonts w:hint="eastAsia"/>
          <w:sz w:val="24"/>
          <w:rtl/>
        </w:rPr>
        <w:t>על</w:t>
      </w:r>
      <w:r w:rsidRPr="007765EA">
        <w:rPr>
          <w:sz w:val="24"/>
          <w:rtl/>
        </w:rPr>
        <w:t xml:space="preserve"> אף האמור בסעיף קטן (א), </w:t>
      </w:r>
      <w:r w:rsidRPr="007765EA">
        <w:rPr>
          <w:rFonts w:hint="eastAsia"/>
          <w:sz w:val="24"/>
          <w:rtl/>
        </w:rPr>
        <w:t>תחילתו</w:t>
      </w:r>
      <w:r w:rsidRPr="007765EA">
        <w:rPr>
          <w:sz w:val="24"/>
          <w:rtl/>
        </w:rPr>
        <w:t xml:space="preserve"> של נספח ב' </w:t>
      </w:r>
      <w:r w:rsidRPr="007765EA">
        <w:rPr>
          <w:rFonts w:hint="eastAsia"/>
          <w:sz w:val="24"/>
          <w:rtl/>
        </w:rPr>
        <w:t>החל</w:t>
      </w:r>
      <w:r w:rsidRPr="007765EA">
        <w:rPr>
          <w:sz w:val="24"/>
          <w:rtl/>
        </w:rPr>
        <w:t xml:space="preserve"> </w:t>
      </w:r>
      <w:r w:rsidRPr="007765EA">
        <w:rPr>
          <w:rFonts w:hint="eastAsia"/>
          <w:sz w:val="24"/>
          <w:rtl/>
        </w:rPr>
        <w:t>ביום</w:t>
      </w:r>
      <w:r w:rsidRPr="007765EA">
        <w:rPr>
          <w:sz w:val="24"/>
          <w:rtl/>
        </w:rPr>
        <w:t xml:space="preserve"> 1 </w:t>
      </w:r>
      <w:r w:rsidRPr="007765EA">
        <w:rPr>
          <w:rFonts w:hint="eastAsia"/>
          <w:sz w:val="24"/>
          <w:rtl/>
        </w:rPr>
        <w:t>בספטמבר</w:t>
      </w:r>
      <w:r w:rsidRPr="007765EA">
        <w:rPr>
          <w:sz w:val="24"/>
          <w:rtl/>
        </w:rPr>
        <w:t xml:space="preserve"> 2016, </w:t>
      </w:r>
      <w:r w:rsidRPr="007765EA">
        <w:rPr>
          <w:rFonts w:hint="eastAsia"/>
          <w:sz w:val="24"/>
          <w:rtl/>
        </w:rPr>
        <w:t>למעט</w:t>
      </w:r>
      <w:r w:rsidRPr="007765EA">
        <w:rPr>
          <w:sz w:val="24"/>
          <w:rtl/>
        </w:rPr>
        <w:t xml:space="preserve"> </w:t>
      </w:r>
      <w:r w:rsidRPr="007765EA">
        <w:rPr>
          <w:rFonts w:hint="eastAsia"/>
          <w:sz w:val="24"/>
          <w:rtl/>
        </w:rPr>
        <w:t>סעיפים</w:t>
      </w:r>
      <w:r w:rsidRPr="007765EA">
        <w:rPr>
          <w:sz w:val="24"/>
          <w:rtl/>
        </w:rPr>
        <w:t xml:space="preserve"> 1 </w:t>
      </w:r>
      <w:r w:rsidRPr="007765EA">
        <w:rPr>
          <w:rFonts w:hint="eastAsia"/>
          <w:sz w:val="24"/>
          <w:rtl/>
        </w:rPr>
        <w:t>ו</w:t>
      </w:r>
      <w:r w:rsidRPr="007765EA">
        <w:rPr>
          <w:sz w:val="24"/>
          <w:rtl/>
        </w:rPr>
        <w:t xml:space="preserve">-6(ד) </w:t>
      </w:r>
      <w:r w:rsidRPr="007765EA">
        <w:rPr>
          <w:rFonts w:hint="eastAsia"/>
          <w:sz w:val="24"/>
          <w:rtl/>
        </w:rPr>
        <w:t>לנספח</w:t>
      </w:r>
      <w:r w:rsidRPr="007765EA">
        <w:rPr>
          <w:sz w:val="24"/>
          <w:rtl/>
        </w:rPr>
        <w:t xml:space="preserve"> </w:t>
      </w:r>
      <w:r w:rsidRPr="007765EA">
        <w:rPr>
          <w:rFonts w:hint="eastAsia"/>
          <w:sz w:val="24"/>
          <w:rtl/>
        </w:rPr>
        <w:t>האמור</w:t>
      </w:r>
      <w:r w:rsidRPr="007765EA">
        <w:rPr>
          <w:sz w:val="24"/>
          <w:rtl/>
        </w:rPr>
        <w:t xml:space="preserve"> </w:t>
      </w:r>
      <w:r w:rsidRPr="007765EA">
        <w:rPr>
          <w:rFonts w:hint="eastAsia"/>
          <w:sz w:val="24"/>
          <w:rtl/>
        </w:rPr>
        <w:t>שתחילתם</w:t>
      </w:r>
      <w:r w:rsidRPr="007765EA">
        <w:rPr>
          <w:sz w:val="24"/>
          <w:rtl/>
        </w:rPr>
        <w:t xml:space="preserve"> </w:t>
      </w:r>
      <w:r w:rsidRPr="007765EA">
        <w:rPr>
          <w:rFonts w:hint="eastAsia"/>
          <w:sz w:val="24"/>
          <w:rtl/>
        </w:rPr>
        <w:t>ביום</w:t>
      </w:r>
      <w:r w:rsidRPr="007765EA">
        <w:rPr>
          <w:sz w:val="24"/>
          <w:rtl/>
        </w:rPr>
        <w:t xml:space="preserve"> 1 </w:t>
      </w:r>
      <w:r w:rsidRPr="007765EA">
        <w:rPr>
          <w:rFonts w:hint="eastAsia"/>
          <w:sz w:val="24"/>
          <w:rtl/>
        </w:rPr>
        <w:t>בינואר</w:t>
      </w:r>
      <w:r w:rsidRPr="007765EA">
        <w:rPr>
          <w:sz w:val="24"/>
          <w:rtl/>
        </w:rPr>
        <w:t xml:space="preserve"> 2017.</w:t>
      </w:r>
    </w:p>
    <w:p w:rsidR="0038338B" w:rsidRPr="00352E10" w:rsidRDefault="0038338B" w:rsidP="0038338B">
      <w:pPr>
        <w:spacing w:line="360" w:lineRule="auto"/>
        <w:ind w:left="392"/>
        <w:jc w:val="both"/>
        <w:rPr>
          <w:sz w:val="24"/>
          <w:rtl/>
        </w:rPr>
      </w:pPr>
    </w:p>
    <w:p w:rsidR="0038338B" w:rsidRPr="00352E10" w:rsidRDefault="0038338B" w:rsidP="0038338B">
      <w:pPr>
        <w:numPr>
          <w:ilvl w:val="0"/>
          <w:numId w:val="22"/>
        </w:numPr>
        <w:overflowPunct/>
        <w:autoSpaceDE/>
        <w:autoSpaceDN/>
        <w:adjustRightInd/>
        <w:spacing w:line="360" w:lineRule="auto"/>
        <w:jc w:val="both"/>
        <w:textAlignment w:val="auto"/>
        <w:rPr>
          <w:b/>
          <w:bCs/>
          <w:sz w:val="24"/>
        </w:rPr>
      </w:pPr>
      <w:r w:rsidRPr="00352E10">
        <w:rPr>
          <w:rFonts w:hint="eastAsia"/>
          <w:b/>
          <w:bCs/>
          <w:sz w:val="24"/>
          <w:rtl/>
        </w:rPr>
        <w:t>ביטול</w:t>
      </w:r>
      <w:r w:rsidRPr="00352E10">
        <w:rPr>
          <w:b/>
          <w:bCs/>
          <w:sz w:val="24"/>
          <w:rtl/>
        </w:rPr>
        <w:t xml:space="preserve"> </w:t>
      </w:r>
      <w:r w:rsidRPr="00352E10">
        <w:rPr>
          <w:rFonts w:hint="eastAsia"/>
          <w:b/>
          <w:bCs/>
          <w:sz w:val="24"/>
          <w:rtl/>
        </w:rPr>
        <w:t>תוקף</w:t>
      </w:r>
    </w:p>
    <w:p w:rsidR="0038338B" w:rsidRPr="0038338B" w:rsidRDefault="0038338B" w:rsidP="0038338B">
      <w:pPr>
        <w:numPr>
          <w:ilvl w:val="12"/>
          <w:numId w:val="0"/>
        </w:numPr>
        <w:overflowPunct/>
        <w:autoSpaceDE/>
        <w:autoSpaceDN/>
        <w:adjustRightInd/>
        <w:spacing w:line="360" w:lineRule="auto"/>
        <w:ind w:left="397"/>
        <w:jc w:val="both"/>
        <w:textAlignment w:val="auto"/>
        <w:rPr>
          <w:sz w:val="24"/>
          <w:rtl/>
        </w:rPr>
      </w:pPr>
      <w:r w:rsidRPr="007765EA">
        <w:rPr>
          <w:rFonts w:hint="eastAsia"/>
          <w:sz w:val="24"/>
          <w:rtl/>
        </w:rPr>
        <w:t>החל</w:t>
      </w:r>
      <w:r w:rsidRPr="007765EA">
        <w:rPr>
          <w:sz w:val="24"/>
          <w:rtl/>
        </w:rPr>
        <w:t xml:space="preserve"> </w:t>
      </w:r>
      <w:r w:rsidRPr="007765EA">
        <w:rPr>
          <w:rFonts w:hint="eastAsia"/>
          <w:sz w:val="24"/>
          <w:rtl/>
        </w:rPr>
        <w:t>מיום</w:t>
      </w:r>
      <w:r w:rsidRPr="007765EA">
        <w:rPr>
          <w:sz w:val="24"/>
          <w:rtl/>
        </w:rPr>
        <w:t xml:space="preserve"> </w:t>
      </w:r>
      <w:r w:rsidRPr="007765EA">
        <w:rPr>
          <w:rFonts w:hint="eastAsia"/>
          <w:sz w:val="24"/>
          <w:rtl/>
        </w:rPr>
        <w:t>התחילה</w:t>
      </w:r>
      <w:r w:rsidRPr="007765EA">
        <w:rPr>
          <w:sz w:val="24"/>
          <w:rtl/>
        </w:rPr>
        <w:t xml:space="preserve"> </w:t>
      </w:r>
      <w:r w:rsidRPr="007765EA">
        <w:rPr>
          <w:rFonts w:hint="eastAsia"/>
          <w:sz w:val="24"/>
          <w:rtl/>
        </w:rPr>
        <w:t>חוזר</w:t>
      </w:r>
      <w:r w:rsidRPr="007765EA">
        <w:rPr>
          <w:sz w:val="24"/>
          <w:rtl/>
        </w:rPr>
        <w:t xml:space="preserve"> 2011-9-5 </w:t>
      </w:r>
      <w:r w:rsidRPr="007765EA">
        <w:rPr>
          <w:rFonts w:hint="eastAsia"/>
          <w:sz w:val="24"/>
          <w:rtl/>
        </w:rPr>
        <w:t>בעניין</w:t>
      </w:r>
      <w:r w:rsidRPr="007765EA">
        <w:rPr>
          <w:sz w:val="24"/>
          <w:rtl/>
        </w:rPr>
        <w:t xml:space="preserve"> "בירור </w:t>
      </w:r>
      <w:r w:rsidRPr="007765EA">
        <w:rPr>
          <w:rFonts w:hint="eastAsia"/>
          <w:sz w:val="24"/>
          <w:rtl/>
        </w:rPr>
        <w:t>ויישוב</w:t>
      </w:r>
      <w:r w:rsidRPr="007765EA">
        <w:rPr>
          <w:sz w:val="24"/>
          <w:rtl/>
        </w:rPr>
        <w:t xml:space="preserve"> </w:t>
      </w:r>
      <w:r w:rsidRPr="007765EA">
        <w:rPr>
          <w:rFonts w:hint="eastAsia"/>
          <w:sz w:val="24"/>
          <w:rtl/>
        </w:rPr>
        <w:t>תביעות</w:t>
      </w:r>
      <w:r w:rsidRPr="007765EA">
        <w:rPr>
          <w:sz w:val="24"/>
          <w:rtl/>
        </w:rPr>
        <w:t xml:space="preserve"> </w:t>
      </w:r>
      <w:r w:rsidRPr="007765EA">
        <w:rPr>
          <w:rFonts w:hint="eastAsia"/>
          <w:sz w:val="24"/>
          <w:rtl/>
        </w:rPr>
        <w:t>וטיפול</w:t>
      </w:r>
      <w:r w:rsidRPr="007765EA">
        <w:rPr>
          <w:sz w:val="24"/>
          <w:rtl/>
        </w:rPr>
        <w:t xml:space="preserve"> </w:t>
      </w:r>
      <w:r w:rsidRPr="007765EA">
        <w:rPr>
          <w:rFonts w:hint="eastAsia"/>
          <w:sz w:val="24"/>
          <w:rtl/>
        </w:rPr>
        <w:t>בפניות</w:t>
      </w:r>
      <w:r w:rsidRPr="007765EA">
        <w:rPr>
          <w:sz w:val="24"/>
          <w:rtl/>
        </w:rPr>
        <w:t xml:space="preserve"> </w:t>
      </w:r>
      <w:r w:rsidRPr="007765EA">
        <w:rPr>
          <w:rFonts w:hint="eastAsia"/>
          <w:sz w:val="24"/>
          <w:rtl/>
        </w:rPr>
        <w:t>ציבור</w:t>
      </w:r>
      <w:r w:rsidRPr="007765EA">
        <w:rPr>
          <w:sz w:val="24"/>
          <w:rtl/>
        </w:rPr>
        <w:t xml:space="preserve">" - </w:t>
      </w:r>
      <w:r w:rsidRPr="007765EA">
        <w:rPr>
          <w:rFonts w:hint="eastAsia"/>
          <w:sz w:val="24"/>
          <w:rtl/>
        </w:rPr>
        <w:t>בטל</w:t>
      </w:r>
      <w:r w:rsidRPr="007765EA">
        <w:rPr>
          <w:sz w:val="24"/>
          <w:rtl/>
        </w:rPr>
        <w:t>.</w:t>
      </w:r>
      <w:r w:rsidRPr="0038338B">
        <w:rPr>
          <w:rFonts w:hint="cs"/>
          <w:sz w:val="24"/>
          <w:rtl/>
        </w:rPr>
        <w:t xml:space="preserve"> </w:t>
      </w:r>
    </w:p>
    <w:p w:rsidR="0038338B" w:rsidRPr="0038338B" w:rsidRDefault="0038338B" w:rsidP="0038338B">
      <w:pPr>
        <w:numPr>
          <w:ilvl w:val="12"/>
          <w:numId w:val="0"/>
        </w:numPr>
        <w:overflowPunct/>
        <w:autoSpaceDE/>
        <w:autoSpaceDN/>
        <w:adjustRightInd/>
        <w:spacing w:line="360" w:lineRule="auto"/>
        <w:ind w:left="397"/>
        <w:jc w:val="both"/>
        <w:textAlignment w:val="auto"/>
        <w:rPr>
          <w:sz w:val="24"/>
          <w:rtl/>
        </w:rPr>
      </w:pPr>
    </w:p>
    <w:p w:rsidR="0038338B" w:rsidRPr="0038338B" w:rsidRDefault="0038338B" w:rsidP="0038338B">
      <w:pPr>
        <w:overflowPunct/>
        <w:autoSpaceDE/>
        <w:autoSpaceDN/>
        <w:adjustRightInd/>
        <w:spacing w:line="360" w:lineRule="auto"/>
        <w:jc w:val="both"/>
        <w:textAlignment w:val="auto"/>
        <w:rPr>
          <w:sz w:val="24"/>
          <w:rtl/>
        </w:rPr>
      </w:pPr>
      <w:r w:rsidRPr="0038338B">
        <w:rPr>
          <w:sz w:val="24"/>
          <w:rtl/>
        </w:rPr>
        <w:tab/>
      </w:r>
    </w:p>
    <w:p w:rsidR="0038338B" w:rsidRPr="0038338B" w:rsidRDefault="0038338B" w:rsidP="0038338B">
      <w:pPr>
        <w:overflowPunct/>
        <w:autoSpaceDE/>
        <w:autoSpaceDN/>
        <w:adjustRightInd/>
        <w:spacing w:line="360" w:lineRule="auto"/>
        <w:jc w:val="both"/>
        <w:textAlignment w:val="auto"/>
        <w:rPr>
          <w:sz w:val="24"/>
          <w:rtl/>
        </w:rPr>
      </w:pPr>
      <w:r w:rsidRPr="0038338B">
        <w:rPr>
          <w:rFonts w:hint="cs"/>
          <w:sz w:val="24"/>
          <w:rtl/>
        </w:rPr>
        <w:t xml:space="preserve"> </w:t>
      </w:r>
    </w:p>
    <w:p w:rsidR="0038338B" w:rsidRPr="0038338B" w:rsidRDefault="0038338B" w:rsidP="0038338B">
      <w:pPr>
        <w:overflowPunct/>
        <w:autoSpaceDE/>
        <w:autoSpaceDN/>
        <w:adjustRightInd/>
        <w:spacing w:line="360" w:lineRule="auto"/>
        <w:jc w:val="both"/>
        <w:textAlignment w:val="auto"/>
        <w:rPr>
          <w:sz w:val="24"/>
          <w:rtl/>
        </w:rPr>
      </w:pPr>
    </w:p>
    <w:p w:rsidR="0038338B" w:rsidRPr="0038338B" w:rsidRDefault="0038338B" w:rsidP="0038338B">
      <w:pPr>
        <w:overflowPunct/>
        <w:autoSpaceDE/>
        <w:autoSpaceDN/>
        <w:adjustRightInd/>
        <w:spacing w:line="360" w:lineRule="auto"/>
        <w:jc w:val="both"/>
        <w:textAlignment w:val="auto"/>
        <w:rPr>
          <w:sz w:val="24"/>
          <w:rtl/>
        </w:rPr>
      </w:pPr>
    </w:p>
    <w:p w:rsidR="0038338B" w:rsidRPr="0038338B" w:rsidRDefault="0038338B" w:rsidP="0038338B">
      <w:pPr>
        <w:tabs>
          <w:tab w:val="center" w:pos="2359"/>
          <w:tab w:val="center" w:pos="6186"/>
        </w:tabs>
        <w:overflowPunct/>
        <w:autoSpaceDE/>
        <w:autoSpaceDN/>
        <w:adjustRightInd/>
        <w:spacing w:line="276" w:lineRule="auto"/>
        <w:textAlignment w:val="auto"/>
        <w:rPr>
          <w:sz w:val="24"/>
          <w:rtl/>
        </w:rPr>
      </w:pPr>
      <w:r w:rsidRPr="0038338B">
        <w:rPr>
          <w:sz w:val="24"/>
          <w:rtl/>
        </w:rPr>
        <w:tab/>
      </w:r>
      <w:r w:rsidRPr="0038338B">
        <w:rPr>
          <w:sz w:val="24"/>
          <w:rtl/>
        </w:rPr>
        <w:tab/>
      </w:r>
      <w:r w:rsidRPr="0038338B">
        <w:rPr>
          <w:rFonts w:hint="cs"/>
          <w:sz w:val="24"/>
          <w:rtl/>
        </w:rPr>
        <w:t>דורית סלינגר</w:t>
      </w:r>
    </w:p>
    <w:p w:rsidR="0038338B" w:rsidRPr="0038338B" w:rsidRDefault="0038338B" w:rsidP="0038338B">
      <w:pPr>
        <w:tabs>
          <w:tab w:val="center" w:pos="2359"/>
          <w:tab w:val="center" w:pos="6186"/>
        </w:tabs>
        <w:overflowPunct/>
        <w:autoSpaceDE/>
        <w:autoSpaceDN/>
        <w:adjustRightInd/>
        <w:spacing w:line="276" w:lineRule="auto"/>
        <w:textAlignment w:val="auto"/>
        <w:rPr>
          <w:sz w:val="24"/>
          <w:rtl/>
        </w:rPr>
      </w:pPr>
      <w:r w:rsidRPr="0038338B">
        <w:rPr>
          <w:rFonts w:hint="cs"/>
          <w:sz w:val="24"/>
          <w:rtl/>
        </w:rPr>
        <w:tab/>
      </w:r>
      <w:r w:rsidRPr="0038338B">
        <w:rPr>
          <w:rFonts w:hint="cs"/>
          <w:sz w:val="24"/>
          <w:rtl/>
        </w:rPr>
        <w:tab/>
        <w:t>הממונה על שוק ההון ביטוח וחיסכון</w:t>
      </w:r>
    </w:p>
    <w:p w:rsidR="0038338B" w:rsidRPr="0038338B" w:rsidRDefault="0038338B" w:rsidP="0038338B">
      <w:pPr>
        <w:tabs>
          <w:tab w:val="center" w:pos="2359"/>
          <w:tab w:val="center" w:pos="5619"/>
        </w:tabs>
        <w:overflowPunct/>
        <w:autoSpaceDE/>
        <w:autoSpaceDN/>
        <w:adjustRightInd/>
        <w:spacing w:line="276" w:lineRule="auto"/>
        <w:textAlignment w:val="auto"/>
        <w:rPr>
          <w:sz w:val="24"/>
          <w:rtl/>
        </w:rPr>
      </w:pPr>
    </w:p>
    <w:p w:rsidR="0038338B" w:rsidRPr="0038338B" w:rsidRDefault="0038338B" w:rsidP="0038338B">
      <w:pPr>
        <w:overflowPunct/>
        <w:autoSpaceDE/>
        <w:autoSpaceDN/>
        <w:adjustRightInd/>
        <w:jc w:val="both"/>
        <w:textAlignment w:val="auto"/>
        <w:rPr>
          <w:rFonts w:cs="FrankRuehl"/>
          <w:sz w:val="26"/>
          <w:szCs w:val="26"/>
          <w:rtl/>
        </w:rPr>
      </w:pPr>
    </w:p>
    <w:p w:rsidR="0038338B" w:rsidRPr="0038338B" w:rsidRDefault="0038338B" w:rsidP="0038338B">
      <w:pPr>
        <w:overflowPunct/>
        <w:autoSpaceDE/>
        <w:autoSpaceDN/>
        <w:adjustRightInd/>
        <w:jc w:val="both"/>
        <w:textAlignment w:val="auto"/>
        <w:rPr>
          <w:rFonts w:cs="FrankRuehl"/>
          <w:sz w:val="26"/>
          <w:szCs w:val="26"/>
          <w:rtl/>
        </w:rPr>
        <w:sectPr w:rsidR="0038338B" w:rsidRPr="0038338B" w:rsidSect="00517B9D">
          <w:footerReference w:type="default" r:id="rId9"/>
          <w:headerReference w:type="first" r:id="rId10"/>
          <w:footerReference w:type="first" r:id="rId11"/>
          <w:pgSz w:w="11906" w:h="16838"/>
          <w:pgMar w:top="1440" w:right="1797" w:bottom="1440" w:left="1797" w:header="720" w:footer="720" w:gutter="0"/>
          <w:cols w:space="720"/>
          <w:titlePg/>
          <w:bidi/>
          <w:rtlGutter/>
          <w:docGrid w:linePitch="360"/>
        </w:sectPr>
      </w:pPr>
    </w:p>
    <w:p w:rsidR="0038338B" w:rsidRPr="0038338B" w:rsidRDefault="0038338B" w:rsidP="0038338B">
      <w:pPr>
        <w:overflowPunct/>
        <w:autoSpaceDE/>
        <w:autoSpaceDN/>
        <w:adjustRightInd/>
        <w:spacing w:line="360" w:lineRule="auto"/>
        <w:jc w:val="center"/>
        <w:textAlignment w:val="auto"/>
        <w:rPr>
          <w:b/>
          <w:bCs/>
          <w:sz w:val="24"/>
          <w:u w:val="single"/>
          <w:rtl/>
        </w:rPr>
      </w:pPr>
      <w:r w:rsidRPr="0038338B">
        <w:rPr>
          <w:rFonts w:hint="cs"/>
          <w:b/>
          <w:bCs/>
          <w:sz w:val="24"/>
          <w:u w:val="single"/>
          <w:rtl/>
        </w:rPr>
        <w:lastRenderedPageBreak/>
        <w:t>נספח</w:t>
      </w:r>
      <w:r w:rsidRPr="0038338B">
        <w:rPr>
          <w:rFonts w:cs="FrankRuehl" w:hint="cs"/>
          <w:b/>
          <w:bCs/>
          <w:sz w:val="26"/>
          <w:szCs w:val="26"/>
          <w:u w:val="single"/>
          <w:rtl/>
        </w:rPr>
        <w:t xml:space="preserve"> א- </w:t>
      </w:r>
      <w:r w:rsidRPr="0038338B">
        <w:rPr>
          <w:rFonts w:hint="cs"/>
          <w:b/>
          <w:bCs/>
          <w:sz w:val="24"/>
          <w:u w:val="single"/>
          <w:rtl/>
        </w:rPr>
        <w:t xml:space="preserve">טבלת </w:t>
      </w:r>
      <w:r w:rsidRPr="0038338B">
        <w:rPr>
          <w:b/>
          <w:bCs/>
          <w:sz w:val="24"/>
          <w:u w:val="single"/>
          <w:rtl/>
        </w:rPr>
        <w:t>השוואה בין המועדים והתקופות הקבועות בחוזר "יישוב תביעות וטיפול בפניות ציבור" לבין המועדים והתקופות שנקבעו על ידי הגוף המוסדי</w:t>
      </w:r>
    </w:p>
    <w:tbl>
      <w:tblPr>
        <w:bidiVisual/>
        <w:tblW w:w="14081" w:type="dxa"/>
        <w:tblInd w:w="-251" w:type="dxa"/>
        <w:tblLayout w:type="fixed"/>
        <w:tblLook w:val="0000" w:firstRow="0" w:lastRow="0" w:firstColumn="0" w:lastColumn="0" w:noHBand="0" w:noVBand="0"/>
      </w:tblPr>
      <w:tblGrid>
        <w:gridCol w:w="1365"/>
        <w:gridCol w:w="6292"/>
        <w:gridCol w:w="1648"/>
        <w:gridCol w:w="1592"/>
        <w:gridCol w:w="1592"/>
        <w:gridCol w:w="1592"/>
      </w:tblGrid>
      <w:tr w:rsidR="0038338B" w:rsidRPr="0038338B" w:rsidTr="009754FC">
        <w:trPr>
          <w:trHeight w:val="1305"/>
        </w:trPr>
        <w:tc>
          <w:tcPr>
            <w:tcW w:w="1365" w:type="dxa"/>
            <w:tcBorders>
              <w:top w:val="single" w:sz="8" w:space="0" w:color="auto"/>
              <w:left w:val="single" w:sz="8" w:space="0" w:color="auto"/>
              <w:bottom w:val="single" w:sz="8" w:space="0" w:color="auto"/>
              <w:right w:val="single" w:sz="4" w:space="0" w:color="auto"/>
            </w:tcBorders>
            <w:shd w:val="clear" w:color="auto" w:fill="auto"/>
            <w:noWrap/>
            <w:vAlign w:val="center"/>
          </w:tcPr>
          <w:p w:rsidR="0038338B" w:rsidRPr="0038338B" w:rsidRDefault="0038338B" w:rsidP="0038338B">
            <w:pPr>
              <w:overflowPunct/>
              <w:autoSpaceDE/>
              <w:autoSpaceDN/>
              <w:adjustRightInd/>
              <w:spacing w:line="360" w:lineRule="auto"/>
              <w:jc w:val="center"/>
              <w:textAlignment w:val="auto"/>
              <w:rPr>
                <w:rFonts w:ascii="Arial" w:hAnsi="Arial"/>
                <w:b/>
                <w:bCs/>
                <w:sz w:val="26"/>
                <w:szCs w:val="26"/>
              </w:rPr>
            </w:pPr>
            <w:r w:rsidRPr="0038338B">
              <w:rPr>
                <w:rFonts w:ascii="Arial" w:hAnsi="Arial" w:hint="cs"/>
                <w:b/>
                <w:bCs/>
                <w:sz w:val="26"/>
                <w:szCs w:val="26"/>
                <w:rtl/>
              </w:rPr>
              <w:t>סעיף בחוזר</w:t>
            </w:r>
          </w:p>
        </w:tc>
        <w:tc>
          <w:tcPr>
            <w:tcW w:w="6292" w:type="dxa"/>
            <w:tcBorders>
              <w:top w:val="single" w:sz="8" w:space="0" w:color="auto"/>
              <w:left w:val="single" w:sz="4" w:space="0" w:color="auto"/>
              <w:bottom w:val="single" w:sz="8" w:space="0" w:color="auto"/>
              <w:right w:val="single" w:sz="4" w:space="0" w:color="auto"/>
            </w:tcBorders>
            <w:shd w:val="clear" w:color="auto" w:fill="auto"/>
            <w:noWrap/>
            <w:vAlign w:val="center"/>
          </w:tcPr>
          <w:p w:rsidR="0038338B" w:rsidRPr="0038338B" w:rsidRDefault="0038338B" w:rsidP="0038338B">
            <w:pPr>
              <w:overflowPunct/>
              <w:autoSpaceDE/>
              <w:autoSpaceDN/>
              <w:adjustRightInd/>
              <w:spacing w:line="360" w:lineRule="auto"/>
              <w:jc w:val="center"/>
              <w:textAlignment w:val="auto"/>
              <w:rPr>
                <w:rFonts w:ascii="Arial" w:hAnsi="Arial"/>
                <w:b/>
                <w:bCs/>
                <w:sz w:val="26"/>
                <w:szCs w:val="26"/>
              </w:rPr>
            </w:pPr>
            <w:r w:rsidRPr="0038338B">
              <w:rPr>
                <w:rFonts w:ascii="Arial" w:hAnsi="Arial" w:hint="cs"/>
                <w:b/>
                <w:bCs/>
                <w:sz w:val="26"/>
                <w:szCs w:val="26"/>
                <w:rtl/>
              </w:rPr>
              <w:t>הפעולה</w:t>
            </w:r>
          </w:p>
        </w:tc>
        <w:tc>
          <w:tcPr>
            <w:tcW w:w="1648" w:type="dxa"/>
            <w:tcBorders>
              <w:top w:val="single" w:sz="8" w:space="0" w:color="auto"/>
              <w:left w:val="single" w:sz="4" w:space="0" w:color="auto"/>
              <w:bottom w:val="single" w:sz="8"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center"/>
              <w:textAlignment w:val="auto"/>
              <w:rPr>
                <w:rFonts w:ascii="Arial" w:hAnsi="Arial"/>
                <w:b/>
                <w:bCs/>
                <w:sz w:val="26"/>
                <w:szCs w:val="26"/>
              </w:rPr>
            </w:pPr>
            <w:r w:rsidRPr="0038338B">
              <w:rPr>
                <w:rFonts w:ascii="Arial" w:hAnsi="Arial" w:hint="cs"/>
                <w:b/>
                <w:bCs/>
                <w:sz w:val="26"/>
                <w:szCs w:val="26"/>
                <w:rtl/>
              </w:rPr>
              <w:t>המועד או התקופה הקבועים בחוזר</w:t>
            </w:r>
          </w:p>
        </w:tc>
        <w:tc>
          <w:tcPr>
            <w:tcW w:w="1592" w:type="dxa"/>
            <w:tcBorders>
              <w:top w:val="single" w:sz="8" w:space="0" w:color="auto"/>
              <w:left w:val="single" w:sz="4" w:space="0" w:color="auto"/>
              <w:bottom w:val="single" w:sz="8"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center"/>
              <w:textAlignment w:val="auto"/>
              <w:rPr>
                <w:rFonts w:ascii="Arial" w:hAnsi="Arial"/>
                <w:b/>
                <w:bCs/>
                <w:sz w:val="26"/>
                <w:szCs w:val="26"/>
              </w:rPr>
            </w:pPr>
            <w:r w:rsidRPr="0038338B">
              <w:rPr>
                <w:rFonts w:ascii="Arial" w:hAnsi="Arial" w:hint="cs"/>
                <w:b/>
                <w:bCs/>
                <w:sz w:val="26"/>
                <w:szCs w:val="26"/>
                <w:rtl/>
              </w:rPr>
              <w:t>המועד או התקופה לסוג תביעה: ______</w:t>
            </w:r>
          </w:p>
        </w:tc>
        <w:tc>
          <w:tcPr>
            <w:tcW w:w="1592" w:type="dxa"/>
            <w:tcBorders>
              <w:top w:val="single" w:sz="8" w:space="0" w:color="auto"/>
              <w:left w:val="single" w:sz="4" w:space="0" w:color="auto"/>
              <w:bottom w:val="single" w:sz="8"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center"/>
              <w:textAlignment w:val="auto"/>
              <w:rPr>
                <w:rFonts w:ascii="Arial" w:hAnsi="Arial"/>
                <w:b/>
                <w:bCs/>
                <w:sz w:val="26"/>
                <w:szCs w:val="26"/>
              </w:rPr>
            </w:pPr>
            <w:r w:rsidRPr="0038338B">
              <w:rPr>
                <w:rFonts w:ascii="Arial" w:hAnsi="Arial" w:hint="cs"/>
                <w:b/>
                <w:bCs/>
                <w:sz w:val="26"/>
                <w:szCs w:val="26"/>
                <w:rtl/>
              </w:rPr>
              <w:t>המועד או התקופה לסוג תביעה: ______</w:t>
            </w:r>
          </w:p>
        </w:tc>
        <w:tc>
          <w:tcPr>
            <w:tcW w:w="1592" w:type="dxa"/>
            <w:tcBorders>
              <w:top w:val="single" w:sz="8" w:space="0" w:color="auto"/>
              <w:left w:val="single" w:sz="4" w:space="0" w:color="auto"/>
              <w:bottom w:val="single" w:sz="8"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center"/>
              <w:textAlignment w:val="auto"/>
              <w:rPr>
                <w:rFonts w:ascii="Arial" w:hAnsi="Arial"/>
                <w:b/>
                <w:bCs/>
                <w:sz w:val="26"/>
                <w:szCs w:val="26"/>
              </w:rPr>
            </w:pPr>
            <w:r w:rsidRPr="0038338B">
              <w:rPr>
                <w:rFonts w:ascii="Arial" w:hAnsi="Arial" w:hint="cs"/>
                <w:b/>
                <w:bCs/>
                <w:sz w:val="26"/>
                <w:szCs w:val="26"/>
                <w:rtl/>
              </w:rPr>
              <w:t>המועד או התקופה לסוג תביעה: ______</w:t>
            </w:r>
          </w:p>
        </w:tc>
      </w:tr>
      <w:tr w:rsidR="0038338B" w:rsidRPr="0038338B" w:rsidTr="009754FC">
        <w:trPr>
          <w:trHeight w:val="288"/>
        </w:trPr>
        <w:tc>
          <w:tcPr>
            <w:tcW w:w="1365" w:type="dxa"/>
            <w:tcBorders>
              <w:top w:val="nil"/>
              <w:left w:val="single" w:sz="8"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8(א)(7)</w:t>
            </w:r>
          </w:p>
        </w:tc>
        <w:tc>
          <w:tcPr>
            <w:tcW w:w="62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דרישה מידע ומסמכים נוספים</w:t>
            </w:r>
          </w:p>
        </w:tc>
        <w:tc>
          <w:tcPr>
            <w:tcW w:w="1648"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14 ימי עסקים</w:t>
            </w: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r>
      <w:tr w:rsidR="0038338B" w:rsidRPr="0038338B" w:rsidTr="009754FC">
        <w:trPr>
          <w:trHeight w:val="288"/>
        </w:trPr>
        <w:tc>
          <w:tcPr>
            <w:tcW w:w="1365" w:type="dxa"/>
            <w:tcBorders>
              <w:top w:val="nil"/>
              <w:left w:val="single" w:sz="8"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tl/>
              </w:rPr>
            </w:pPr>
            <w:r w:rsidRPr="0038338B">
              <w:rPr>
                <w:rFonts w:ascii="Arial" w:hAnsi="Arial" w:hint="cs"/>
                <w:sz w:val="26"/>
                <w:szCs w:val="26"/>
                <w:rtl/>
              </w:rPr>
              <w:t>8(ב)</w:t>
            </w:r>
          </w:p>
        </w:tc>
        <w:tc>
          <w:tcPr>
            <w:tcW w:w="62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tl/>
              </w:rPr>
            </w:pPr>
            <w:r w:rsidRPr="0038338B">
              <w:rPr>
                <w:rFonts w:ascii="Arial" w:hAnsi="Arial" w:hint="cs"/>
                <w:sz w:val="26"/>
                <w:szCs w:val="26"/>
                <w:rtl/>
              </w:rPr>
              <w:t>מסירת הודעה בדבר מהלך בירור התביעה ותוצאותיו</w:t>
            </w:r>
          </w:p>
        </w:tc>
        <w:tc>
          <w:tcPr>
            <w:tcW w:w="1648"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tl/>
              </w:rPr>
            </w:pPr>
            <w:r w:rsidRPr="0038338B">
              <w:rPr>
                <w:rFonts w:ascii="Arial" w:hAnsi="Arial" w:hint="cs"/>
                <w:sz w:val="26"/>
                <w:szCs w:val="26"/>
                <w:rtl/>
              </w:rPr>
              <w:t>30 ימים</w:t>
            </w: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tl/>
              </w:rPr>
            </w:pP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tl/>
              </w:rPr>
            </w:pP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tl/>
              </w:rPr>
            </w:pPr>
          </w:p>
        </w:tc>
      </w:tr>
      <w:tr w:rsidR="0038338B" w:rsidRPr="0038338B" w:rsidTr="009754FC">
        <w:trPr>
          <w:trHeight w:val="288"/>
        </w:trPr>
        <w:tc>
          <w:tcPr>
            <w:tcW w:w="1365" w:type="dxa"/>
            <w:tcBorders>
              <w:top w:val="nil"/>
              <w:left w:val="single" w:sz="8"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8(ו)(3)</w:t>
            </w:r>
          </w:p>
        </w:tc>
        <w:tc>
          <w:tcPr>
            <w:tcW w:w="62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מסירת הודעת המשך בירור תביעה</w:t>
            </w:r>
          </w:p>
        </w:tc>
        <w:tc>
          <w:tcPr>
            <w:tcW w:w="1648"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כל 90 ימים</w:t>
            </w: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r>
      <w:tr w:rsidR="0038338B" w:rsidRPr="0038338B" w:rsidTr="009754FC">
        <w:trPr>
          <w:trHeight w:val="288"/>
        </w:trPr>
        <w:tc>
          <w:tcPr>
            <w:tcW w:w="1365" w:type="dxa"/>
            <w:tcBorders>
              <w:top w:val="nil"/>
              <w:left w:val="single" w:sz="8"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8(ט)(6)</w:t>
            </w:r>
          </w:p>
        </w:tc>
        <w:tc>
          <w:tcPr>
            <w:tcW w:w="62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מסירת הודעת שינוי לגבי הקטנת תשלומים עיתיים או הפסקתם</w:t>
            </w:r>
          </w:p>
        </w:tc>
        <w:tc>
          <w:tcPr>
            <w:tcW w:w="1648"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30-60 ימים</w:t>
            </w: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r>
      <w:tr w:rsidR="0038338B" w:rsidRPr="0038338B" w:rsidTr="009754FC">
        <w:trPr>
          <w:trHeight w:val="288"/>
        </w:trPr>
        <w:tc>
          <w:tcPr>
            <w:tcW w:w="1365" w:type="dxa"/>
            <w:tcBorders>
              <w:top w:val="nil"/>
              <w:left w:val="single" w:sz="8"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8(</w:t>
            </w:r>
            <w:proofErr w:type="spellStart"/>
            <w:r w:rsidRPr="0038338B">
              <w:rPr>
                <w:rFonts w:ascii="Arial" w:hAnsi="Arial" w:hint="cs"/>
                <w:sz w:val="26"/>
                <w:szCs w:val="26"/>
                <w:rtl/>
              </w:rPr>
              <w:t>יב</w:t>
            </w:r>
            <w:proofErr w:type="spellEnd"/>
            <w:r w:rsidRPr="0038338B">
              <w:rPr>
                <w:rFonts w:ascii="Arial" w:hAnsi="Arial" w:hint="cs"/>
                <w:sz w:val="26"/>
                <w:szCs w:val="26"/>
                <w:rtl/>
              </w:rPr>
              <w:t>)(2)</w:t>
            </w:r>
          </w:p>
        </w:tc>
        <w:tc>
          <w:tcPr>
            <w:tcW w:w="62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העברת העתק מפסק דין או הסכם</w:t>
            </w:r>
          </w:p>
        </w:tc>
        <w:tc>
          <w:tcPr>
            <w:tcW w:w="1648"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14 ימי עסקים</w:t>
            </w: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r>
      <w:tr w:rsidR="0038338B" w:rsidRPr="0038338B" w:rsidTr="009754FC">
        <w:trPr>
          <w:trHeight w:val="288"/>
        </w:trPr>
        <w:tc>
          <w:tcPr>
            <w:tcW w:w="1365" w:type="dxa"/>
            <w:tcBorders>
              <w:top w:val="nil"/>
              <w:left w:val="single" w:sz="8"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8(</w:t>
            </w:r>
            <w:proofErr w:type="spellStart"/>
            <w:r w:rsidRPr="0038338B">
              <w:rPr>
                <w:rFonts w:ascii="Arial" w:hAnsi="Arial" w:hint="cs"/>
                <w:sz w:val="26"/>
                <w:szCs w:val="26"/>
                <w:rtl/>
              </w:rPr>
              <w:t>יג</w:t>
            </w:r>
            <w:proofErr w:type="spellEnd"/>
            <w:r w:rsidRPr="0038338B">
              <w:rPr>
                <w:rFonts w:ascii="Arial" w:hAnsi="Arial" w:hint="cs"/>
                <w:sz w:val="26"/>
                <w:szCs w:val="26"/>
                <w:rtl/>
              </w:rPr>
              <w:t>)(1)</w:t>
            </w:r>
          </w:p>
        </w:tc>
        <w:tc>
          <w:tcPr>
            <w:tcW w:w="62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מסירת מידע בדבר קיומה של פוליסה</w:t>
            </w:r>
          </w:p>
        </w:tc>
        <w:tc>
          <w:tcPr>
            <w:tcW w:w="1648"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14 ימי עסקים</w:t>
            </w: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r>
      <w:tr w:rsidR="0038338B" w:rsidRPr="0038338B" w:rsidTr="009754FC">
        <w:trPr>
          <w:trHeight w:val="288"/>
        </w:trPr>
        <w:tc>
          <w:tcPr>
            <w:tcW w:w="1365" w:type="dxa"/>
            <w:tcBorders>
              <w:top w:val="nil"/>
              <w:left w:val="single" w:sz="8"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8(</w:t>
            </w:r>
            <w:proofErr w:type="spellStart"/>
            <w:r w:rsidRPr="0038338B">
              <w:rPr>
                <w:rFonts w:ascii="Arial" w:hAnsi="Arial" w:hint="cs"/>
                <w:sz w:val="26"/>
                <w:szCs w:val="26"/>
                <w:rtl/>
              </w:rPr>
              <w:t>יג</w:t>
            </w:r>
            <w:proofErr w:type="spellEnd"/>
            <w:r w:rsidRPr="0038338B">
              <w:rPr>
                <w:rFonts w:ascii="Arial" w:hAnsi="Arial" w:hint="cs"/>
                <w:sz w:val="26"/>
                <w:szCs w:val="26"/>
                <w:rtl/>
              </w:rPr>
              <w:t>)(2)</w:t>
            </w:r>
          </w:p>
        </w:tc>
        <w:tc>
          <w:tcPr>
            <w:tcW w:w="62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הודעה למבוטח על דרישת תגמולי ביטוח של צד שלישי</w:t>
            </w:r>
          </w:p>
        </w:tc>
        <w:tc>
          <w:tcPr>
            <w:tcW w:w="1648"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7 ימי</w:t>
            </w:r>
            <w:r w:rsidRPr="0038338B">
              <w:rPr>
                <w:rFonts w:ascii="Arial" w:hAnsi="Arial" w:hint="cs"/>
                <w:sz w:val="26"/>
                <w:szCs w:val="26"/>
              </w:rPr>
              <w:t xml:space="preserve"> </w:t>
            </w:r>
            <w:r w:rsidRPr="0038338B">
              <w:rPr>
                <w:rFonts w:ascii="Arial" w:hAnsi="Arial" w:hint="cs"/>
                <w:sz w:val="26"/>
                <w:szCs w:val="26"/>
                <w:rtl/>
              </w:rPr>
              <w:t>עסקים</w:t>
            </w: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r>
      <w:tr w:rsidR="0038338B" w:rsidRPr="0038338B" w:rsidTr="009754FC">
        <w:trPr>
          <w:trHeight w:val="288"/>
        </w:trPr>
        <w:tc>
          <w:tcPr>
            <w:tcW w:w="1365" w:type="dxa"/>
            <w:tcBorders>
              <w:top w:val="nil"/>
              <w:left w:val="single" w:sz="8"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8(יד)</w:t>
            </w:r>
          </w:p>
        </w:tc>
        <w:tc>
          <w:tcPr>
            <w:tcW w:w="62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מענה בכתב לפניית ציבור</w:t>
            </w:r>
          </w:p>
        </w:tc>
        <w:tc>
          <w:tcPr>
            <w:tcW w:w="1648"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30 ימים</w:t>
            </w: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r>
      <w:tr w:rsidR="0038338B" w:rsidRPr="0038338B" w:rsidTr="009754FC">
        <w:trPr>
          <w:trHeight w:val="288"/>
        </w:trPr>
        <w:tc>
          <w:tcPr>
            <w:tcW w:w="1365" w:type="dxa"/>
            <w:tcBorders>
              <w:top w:val="nil"/>
              <w:left w:val="single" w:sz="8"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8(טו)(1)</w:t>
            </w:r>
          </w:p>
        </w:tc>
        <w:tc>
          <w:tcPr>
            <w:tcW w:w="62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מסירת העתקים מפוליסה או תקנון</w:t>
            </w:r>
          </w:p>
        </w:tc>
        <w:tc>
          <w:tcPr>
            <w:tcW w:w="1648"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14 ימי עסקים</w:t>
            </w: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c>
          <w:tcPr>
            <w:tcW w:w="1592" w:type="dxa"/>
            <w:tcBorders>
              <w:top w:val="nil"/>
              <w:left w:val="single" w:sz="4" w:space="0" w:color="auto"/>
              <w:bottom w:val="single" w:sz="4"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r>
      <w:tr w:rsidR="0038338B" w:rsidRPr="0038338B" w:rsidTr="009754FC">
        <w:trPr>
          <w:trHeight w:val="288"/>
        </w:trPr>
        <w:tc>
          <w:tcPr>
            <w:tcW w:w="1365" w:type="dxa"/>
            <w:tcBorders>
              <w:top w:val="nil"/>
              <w:left w:val="single" w:sz="8" w:space="0" w:color="auto"/>
              <w:bottom w:val="single" w:sz="8"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8(טו)(3)</w:t>
            </w:r>
          </w:p>
        </w:tc>
        <w:tc>
          <w:tcPr>
            <w:tcW w:w="6292" w:type="dxa"/>
            <w:tcBorders>
              <w:top w:val="nil"/>
              <w:left w:val="single" w:sz="4" w:space="0" w:color="auto"/>
              <w:bottom w:val="single" w:sz="8"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מסירת העתקים מכל מסמך שעליו חתם התובע</w:t>
            </w:r>
          </w:p>
        </w:tc>
        <w:tc>
          <w:tcPr>
            <w:tcW w:w="1648" w:type="dxa"/>
            <w:tcBorders>
              <w:top w:val="nil"/>
              <w:left w:val="single" w:sz="4" w:space="0" w:color="auto"/>
              <w:bottom w:val="single" w:sz="8"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r w:rsidRPr="0038338B">
              <w:rPr>
                <w:rFonts w:ascii="Arial" w:hAnsi="Arial" w:hint="cs"/>
                <w:sz w:val="26"/>
                <w:szCs w:val="26"/>
                <w:rtl/>
              </w:rPr>
              <w:t>21 ימי עסקים</w:t>
            </w:r>
          </w:p>
        </w:tc>
        <w:tc>
          <w:tcPr>
            <w:tcW w:w="1592" w:type="dxa"/>
            <w:tcBorders>
              <w:top w:val="nil"/>
              <w:left w:val="single" w:sz="4" w:space="0" w:color="auto"/>
              <w:bottom w:val="single" w:sz="8"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c>
          <w:tcPr>
            <w:tcW w:w="1592" w:type="dxa"/>
            <w:tcBorders>
              <w:top w:val="nil"/>
              <w:left w:val="single" w:sz="4" w:space="0" w:color="auto"/>
              <w:bottom w:val="single" w:sz="8"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c>
          <w:tcPr>
            <w:tcW w:w="1592" w:type="dxa"/>
            <w:tcBorders>
              <w:top w:val="nil"/>
              <w:left w:val="single" w:sz="4" w:space="0" w:color="auto"/>
              <w:bottom w:val="single" w:sz="8" w:space="0" w:color="auto"/>
              <w:right w:val="single" w:sz="4" w:space="0" w:color="auto"/>
            </w:tcBorders>
            <w:shd w:val="clear" w:color="auto" w:fill="auto"/>
            <w:vAlign w:val="center"/>
          </w:tcPr>
          <w:p w:rsidR="0038338B" w:rsidRPr="0038338B" w:rsidRDefault="0038338B" w:rsidP="0038338B">
            <w:pPr>
              <w:overflowPunct/>
              <w:autoSpaceDE/>
              <w:autoSpaceDN/>
              <w:adjustRightInd/>
              <w:spacing w:line="360" w:lineRule="auto"/>
              <w:jc w:val="both"/>
              <w:textAlignment w:val="auto"/>
              <w:rPr>
                <w:rFonts w:ascii="Arial" w:hAnsi="Arial"/>
                <w:sz w:val="26"/>
                <w:szCs w:val="26"/>
              </w:rPr>
            </w:pPr>
          </w:p>
        </w:tc>
      </w:tr>
    </w:tbl>
    <w:p w:rsidR="0038338B" w:rsidRPr="0038338B" w:rsidRDefault="0038338B" w:rsidP="0038338B">
      <w:pPr>
        <w:overflowPunct/>
        <w:autoSpaceDE/>
        <w:autoSpaceDN/>
        <w:adjustRightInd/>
        <w:jc w:val="both"/>
        <w:textAlignment w:val="auto"/>
        <w:rPr>
          <w:rFonts w:cs="FrankRuehl"/>
          <w:sz w:val="26"/>
          <w:szCs w:val="26"/>
          <w:rtl/>
        </w:rPr>
      </w:pPr>
    </w:p>
    <w:p w:rsidR="0038338B" w:rsidRPr="0038338B" w:rsidRDefault="0038338B" w:rsidP="0038338B">
      <w:pPr>
        <w:overflowPunct/>
        <w:autoSpaceDE/>
        <w:autoSpaceDN/>
        <w:adjustRightInd/>
        <w:jc w:val="both"/>
        <w:textAlignment w:val="auto"/>
        <w:rPr>
          <w:rFonts w:cs="FrankRuehl"/>
          <w:sz w:val="26"/>
          <w:szCs w:val="26"/>
          <w:rtl/>
        </w:rPr>
      </w:pPr>
    </w:p>
    <w:p w:rsidR="0038338B" w:rsidRPr="0038338B" w:rsidRDefault="0038338B" w:rsidP="0038338B">
      <w:pPr>
        <w:overflowPunct/>
        <w:autoSpaceDE/>
        <w:autoSpaceDN/>
        <w:adjustRightInd/>
        <w:jc w:val="both"/>
        <w:textAlignment w:val="auto"/>
        <w:rPr>
          <w:rFonts w:cs="FrankRuehl"/>
          <w:sz w:val="26"/>
          <w:szCs w:val="26"/>
          <w:rtl/>
        </w:rPr>
      </w:pPr>
    </w:p>
    <w:p w:rsidR="0038338B" w:rsidRPr="0038338B" w:rsidRDefault="0038338B" w:rsidP="0038338B">
      <w:pPr>
        <w:overflowPunct/>
        <w:autoSpaceDE/>
        <w:autoSpaceDN/>
        <w:adjustRightInd/>
        <w:jc w:val="both"/>
        <w:textAlignment w:val="auto"/>
        <w:rPr>
          <w:rFonts w:cs="FrankRuehl"/>
          <w:sz w:val="26"/>
          <w:szCs w:val="26"/>
          <w:rtl/>
        </w:rPr>
        <w:sectPr w:rsidR="0038338B" w:rsidRPr="0038338B" w:rsidSect="0038778F">
          <w:pgSz w:w="16838" w:h="11906" w:orient="landscape"/>
          <w:pgMar w:top="1797" w:right="1440" w:bottom="1797" w:left="1440" w:header="720" w:footer="720" w:gutter="0"/>
          <w:cols w:space="720"/>
          <w:titlePg/>
          <w:bidi/>
          <w:rtlGutter/>
          <w:docGrid w:linePitch="360"/>
        </w:sectPr>
      </w:pPr>
    </w:p>
    <w:p w:rsidR="0038338B" w:rsidRPr="0038338B" w:rsidRDefault="0038338B" w:rsidP="0038338B">
      <w:pPr>
        <w:overflowPunct/>
        <w:autoSpaceDE/>
        <w:autoSpaceDN/>
        <w:adjustRightInd/>
        <w:jc w:val="both"/>
        <w:textAlignment w:val="auto"/>
        <w:rPr>
          <w:b/>
          <w:bCs/>
          <w:sz w:val="24"/>
          <w:u w:val="single"/>
          <w:rtl/>
        </w:rPr>
      </w:pPr>
    </w:p>
    <w:p w:rsidR="000834CB" w:rsidRDefault="000834CB" w:rsidP="0038338B">
      <w:pPr>
        <w:overflowPunct/>
        <w:autoSpaceDE/>
        <w:autoSpaceDN/>
        <w:adjustRightInd/>
        <w:jc w:val="center"/>
        <w:textAlignment w:val="auto"/>
        <w:rPr>
          <w:b/>
          <w:bCs/>
          <w:sz w:val="24"/>
          <w:u w:val="single"/>
          <w:rtl/>
        </w:rPr>
      </w:pPr>
    </w:p>
    <w:p w:rsidR="0038338B" w:rsidRPr="0038338B" w:rsidRDefault="0038338B" w:rsidP="0038338B">
      <w:pPr>
        <w:overflowPunct/>
        <w:autoSpaceDE/>
        <w:autoSpaceDN/>
        <w:adjustRightInd/>
        <w:jc w:val="center"/>
        <w:textAlignment w:val="auto"/>
        <w:rPr>
          <w:b/>
          <w:bCs/>
          <w:sz w:val="24"/>
          <w:u w:val="single"/>
          <w:rtl/>
        </w:rPr>
      </w:pPr>
      <w:r w:rsidRPr="0038338B">
        <w:rPr>
          <w:rFonts w:hint="eastAsia"/>
          <w:b/>
          <w:bCs/>
          <w:sz w:val="24"/>
          <w:u w:val="single"/>
          <w:rtl/>
        </w:rPr>
        <w:t>נספח</w:t>
      </w:r>
      <w:r w:rsidRPr="0038338B">
        <w:rPr>
          <w:b/>
          <w:bCs/>
          <w:sz w:val="24"/>
          <w:u w:val="single"/>
          <w:rtl/>
        </w:rPr>
        <w:t xml:space="preserve"> </w:t>
      </w:r>
      <w:r w:rsidRPr="0038338B">
        <w:rPr>
          <w:rFonts w:hint="cs"/>
          <w:b/>
          <w:bCs/>
          <w:sz w:val="24"/>
          <w:u w:val="single"/>
          <w:rtl/>
        </w:rPr>
        <w:t xml:space="preserve">ב' </w:t>
      </w:r>
      <w:r w:rsidRPr="0038338B">
        <w:rPr>
          <w:rFonts w:hint="eastAsia"/>
          <w:b/>
          <w:bCs/>
          <w:sz w:val="24"/>
          <w:u w:val="single"/>
          <w:rtl/>
        </w:rPr>
        <w:t>לחוזר</w:t>
      </w:r>
      <w:r w:rsidRPr="0038338B">
        <w:rPr>
          <w:b/>
          <w:bCs/>
          <w:sz w:val="24"/>
          <w:u w:val="single"/>
          <w:rtl/>
        </w:rPr>
        <w:t xml:space="preserve"> </w:t>
      </w:r>
      <w:r w:rsidRPr="0038338B">
        <w:rPr>
          <w:rFonts w:hint="eastAsia"/>
          <w:b/>
          <w:bCs/>
          <w:sz w:val="24"/>
          <w:u w:val="single"/>
          <w:rtl/>
        </w:rPr>
        <w:t>בירור</w:t>
      </w:r>
      <w:r w:rsidRPr="0038338B">
        <w:rPr>
          <w:b/>
          <w:bCs/>
          <w:sz w:val="24"/>
          <w:u w:val="single"/>
          <w:rtl/>
        </w:rPr>
        <w:t xml:space="preserve"> ויישוב תביעות וטיפול בפניות ציבור</w:t>
      </w:r>
    </w:p>
    <w:p w:rsidR="0038338B" w:rsidRPr="0038338B" w:rsidRDefault="0038338B" w:rsidP="0038338B">
      <w:pPr>
        <w:overflowPunct/>
        <w:autoSpaceDE/>
        <w:autoSpaceDN/>
        <w:adjustRightInd/>
        <w:spacing w:line="360" w:lineRule="auto"/>
        <w:jc w:val="both"/>
        <w:textAlignment w:val="auto"/>
        <w:rPr>
          <w:rFonts w:cs="FrankRuehl"/>
          <w:b/>
          <w:bCs/>
          <w:sz w:val="24"/>
          <w:szCs w:val="26"/>
          <w:u w:val="single"/>
          <w:rtl/>
        </w:rPr>
      </w:pPr>
    </w:p>
    <w:p w:rsidR="0038338B" w:rsidRPr="0038338B" w:rsidRDefault="0038338B" w:rsidP="0038338B">
      <w:pPr>
        <w:overflowPunct/>
        <w:autoSpaceDE/>
        <w:autoSpaceDN/>
        <w:adjustRightInd/>
        <w:spacing w:line="360" w:lineRule="auto"/>
        <w:jc w:val="both"/>
        <w:textAlignment w:val="auto"/>
        <w:rPr>
          <w:b/>
          <w:bCs/>
          <w:sz w:val="24"/>
          <w:u w:val="single"/>
          <w:rtl/>
        </w:rPr>
      </w:pPr>
      <w:r w:rsidRPr="0038338B">
        <w:rPr>
          <w:rFonts w:hint="eastAsia"/>
          <w:sz w:val="24"/>
          <w:rtl/>
        </w:rPr>
        <w:t>להלן</w:t>
      </w:r>
      <w:r w:rsidRPr="0038338B">
        <w:rPr>
          <w:sz w:val="24"/>
          <w:rtl/>
        </w:rPr>
        <w:t xml:space="preserve"> </w:t>
      </w:r>
      <w:r w:rsidRPr="0038338B">
        <w:rPr>
          <w:rFonts w:hint="eastAsia"/>
          <w:sz w:val="24"/>
          <w:rtl/>
          <w:lang w:eastAsia="en-US"/>
        </w:rPr>
        <w:t>הוראות</w:t>
      </w:r>
      <w:r w:rsidRPr="0038338B">
        <w:rPr>
          <w:sz w:val="24"/>
          <w:rtl/>
          <w:lang w:eastAsia="en-US"/>
        </w:rPr>
        <w:t xml:space="preserve"> </w:t>
      </w:r>
      <w:r w:rsidRPr="0038338B">
        <w:rPr>
          <w:rFonts w:hint="eastAsia"/>
          <w:sz w:val="24"/>
          <w:rtl/>
          <w:lang w:eastAsia="en-US"/>
        </w:rPr>
        <w:t>פרטניות</w:t>
      </w:r>
      <w:r w:rsidRPr="0038338B">
        <w:rPr>
          <w:sz w:val="24"/>
          <w:rtl/>
          <w:lang w:eastAsia="en-US"/>
        </w:rPr>
        <w:t xml:space="preserve"> </w:t>
      </w:r>
      <w:r w:rsidRPr="0038338B">
        <w:rPr>
          <w:rFonts w:hint="eastAsia"/>
          <w:sz w:val="24"/>
          <w:rtl/>
          <w:lang w:eastAsia="en-US"/>
        </w:rPr>
        <w:t>לעניין</w:t>
      </w:r>
      <w:r w:rsidRPr="0038338B">
        <w:rPr>
          <w:sz w:val="24"/>
          <w:rtl/>
          <w:lang w:eastAsia="en-US"/>
        </w:rPr>
        <w:t xml:space="preserve"> </w:t>
      </w:r>
      <w:r w:rsidRPr="0038338B">
        <w:rPr>
          <w:rFonts w:hint="eastAsia"/>
          <w:sz w:val="24"/>
          <w:rtl/>
          <w:lang w:eastAsia="en-US"/>
        </w:rPr>
        <w:t>יישוב</w:t>
      </w:r>
      <w:r w:rsidRPr="0038338B">
        <w:rPr>
          <w:sz w:val="24"/>
          <w:rtl/>
          <w:lang w:eastAsia="en-US"/>
        </w:rPr>
        <w:t xml:space="preserve"> </w:t>
      </w:r>
      <w:r w:rsidRPr="0038338B">
        <w:rPr>
          <w:rFonts w:hint="eastAsia"/>
          <w:sz w:val="24"/>
          <w:rtl/>
          <w:lang w:eastAsia="en-US"/>
        </w:rPr>
        <w:t>תביעות</w:t>
      </w:r>
      <w:r w:rsidRPr="0038338B">
        <w:rPr>
          <w:rFonts w:hint="cs"/>
          <w:sz w:val="24"/>
          <w:rtl/>
          <w:lang w:eastAsia="en-US"/>
        </w:rPr>
        <w:t xml:space="preserve">, </w:t>
      </w:r>
      <w:r w:rsidRPr="0038338B">
        <w:rPr>
          <w:rFonts w:hint="eastAsia"/>
          <w:sz w:val="24"/>
          <w:rtl/>
          <w:lang w:eastAsia="en-US"/>
        </w:rPr>
        <w:t>ש</w:t>
      </w:r>
      <w:r w:rsidRPr="0038338B">
        <w:rPr>
          <w:rFonts w:hint="cs"/>
          <w:sz w:val="24"/>
          <w:rtl/>
          <w:lang w:eastAsia="en-US"/>
        </w:rPr>
        <w:t xml:space="preserve">על גוף מוסדי </w:t>
      </w:r>
      <w:r w:rsidRPr="0038338B">
        <w:rPr>
          <w:sz w:val="24"/>
          <w:rtl/>
        </w:rPr>
        <w:t>לנהוג</w:t>
      </w:r>
      <w:r w:rsidRPr="0038338B">
        <w:rPr>
          <w:sz w:val="24"/>
          <w:rtl/>
          <w:lang w:eastAsia="en-US"/>
        </w:rPr>
        <w:t xml:space="preserve"> לפיה</w:t>
      </w:r>
      <w:r w:rsidRPr="0038338B">
        <w:rPr>
          <w:rFonts w:hint="cs"/>
          <w:sz w:val="24"/>
          <w:rtl/>
          <w:lang w:eastAsia="en-US"/>
        </w:rPr>
        <w:t>ן</w:t>
      </w:r>
      <w:r w:rsidRPr="0038338B">
        <w:rPr>
          <w:sz w:val="24"/>
          <w:rtl/>
          <w:lang w:eastAsia="en-US"/>
        </w:rPr>
        <w:t xml:space="preserve"> בעת יישוב תביעות</w:t>
      </w:r>
      <w:r w:rsidRPr="0038338B">
        <w:rPr>
          <w:rFonts w:hint="cs"/>
          <w:b/>
          <w:bCs/>
          <w:sz w:val="24"/>
          <w:rtl/>
        </w:rPr>
        <w:t>:</w:t>
      </w:r>
    </w:p>
    <w:p w:rsidR="0038338B" w:rsidRPr="0038338B" w:rsidRDefault="0038338B" w:rsidP="0038338B">
      <w:pPr>
        <w:overflowPunct/>
        <w:autoSpaceDE/>
        <w:autoSpaceDN/>
        <w:adjustRightInd/>
        <w:spacing w:line="360" w:lineRule="auto"/>
        <w:jc w:val="both"/>
        <w:textAlignment w:val="auto"/>
        <w:rPr>
          <w:b/>
          <w:bCs/>
          <w:sz w:val="24"/>
          <w:highlight w:val="yellow"/>
          <w:u w:val="single"/>
          <w:rtl/>
        </w:rPr>
      </w:pPr>
    </w:p>
    <w:p w:rsidR="0038338B" w:rsidRPr="0038338B" w:rsidRDefault="0038338B" w:rsidP="0038338B">
      <w:pPr>
        <w:overflowPunct/>
        <w:autoSpaceDE/>
        <w:autoSpaceDN/>
        <w:adjustRightInd/>
        <w:spacing w:line="360" w:lineRule="auto"/>
        <w:jc w:val="both"/>
        <w:textAlignment w:val="auto"/>
        <w:rPr>
          <w:b/>
          <w:bCs/>
          <w:sz w:val="24"/>
          <w:u w:val="single"/>
          <w:rtl/>
        </w:rPr>
      </w:pPr>
      <w:r w:rsidRPr="0038338B">
        <w:rPr>
          <w:rFonts w:hint="cs"/>
          <w:b/>
          <w:bCs/>
          <w:sz w:val="24"/>
          <w:u w:val="single"/>
          <w:rtl/>
        </w:rPr>
        <w:t>סוגיות כלליות</w:t>
      </w:r>
    </w:p>
    <w:p w:rsidR="0038338B" w:rsidRPr="0038338B" w:rsidRDefault="0038338B" w:rsidP="0038338B">
      <w:pPr>
        <w:numPr>
          <w:ilvl w:val="0"/>
          <w:numId w:val="25"/>
        </w:numPr>
        <w:overflowPunct/>
        <w:autoSpaceDE/>
        <w:autoSpaceDN/>
        <w:adjustRightInd/>
        <w:spacing w:line="360" w:lineRule="auto"/>
        <w:contextualSpacing/>
        <w:jc w:val="both"/>
        <w:textAlignment w:val="auto"/>
        <w:rPr>
          <w:rFonts w:eastAsia="Calibri"/>
          <w:sz w:val="24"/>
          <w:lang w:eastAsia="en-US"/>
        </w:rPr>
      </w:pPr>
      <w:r w:rsidRPr="0038338B">
        <w:rPr>
          <w:rFonts w:eastAsia="Calibri" w:hint="cs"/>
          <w:sz w:val="24"/>
          <w:u w:val="single"/>
          <w:rtl/>
          <w:lang w:eastAsia="en-US"/>
        </w:rPr>
        <w:t>הודעות</w:t>
      </w:r>
      <w:r w:rsidRPr="0038338B">
        <w:rPr>
          <w:rFonts w:eastAsia="Calibri"/>
          <w:sz w:val="24"/>
          <w:u w:val="single"/>
          <w:rtl/>
          <w:lang w:eastAsia="en-US"/>
        </w:rPr>
        <w:t xml:space="preserve"> </w:t>
      </w:r>
      <w:r w:rsidRPr="0038338B">
        <w:rPr>
          <w:rFonts w:eastAsia="Calibri" w:hint="cs"/>
          <w:sz w:val="24"/>
          <w:u w:val="single"/>
          <w:rtl/>
          <w:lang w:eastAsia="en-US"/>
        </w:rPr>
        <w:t xml:space="preserve">בעת בירור תביעה </w:t>
      </w:r>
    </w:p>
    <w:p w:rsidR="0038338B" w:rsidRPr="0038338B" w:rsidRDefault="0038338B" w:rsidP="0038338B">
      <w:pPr>
        <w:numPr>
          <w:ilvl w:val="0"/>
          <w:numId w:val="32"/>
        </w:numPr>
        <w:overflowPunct/>
        <w:autoSpaceDE/>
        <w:autoSpaceDN/>
        <w:adjustRightInd/>
        <w:spacing w:line="360" w:lineRule="auto"/>
        <w:contextualSpacing/>
        <w:jc w:val="both"/>
        <w:textAlignment w:val="auto"/>
        <w:rPr>
          <w:rFonts w:eastAsiaTheme="minorHAnsi"/>
          <w:sz w:val="22"/>
          <w:lang w:eastAsia="en-US"/>
        </w:rPr>
      </w:pPr>
      <w:r w:rsidRPr="0038338B">
        <w:rPr>
          <w:rFonts w:eastAsiaTheme="minorHAnsi" w:hint="cs"/>
          <w:sz w:val="22"/>
          <w:rtl/>
          <w:lang w:eastAsia="en-US"/>
        </w:rPr>
        <w:t>בהודעת תשלום, הודעת תשלום חלקי, הודעת פשרה והודעת המשך בירור, יצוין</w:t>
      </w:r>
      <w:r w:rsidRPr="0038338B">
        <w:rPr>
          <w:rFonts w:eastAsiaTheme="minorHAnsi"/>
          <w:sz w:val="22"/>
          <w:rtl/>
          <w:lang w:eastAsia="en-US"/>
        </w:rPr>
        <w:t xml:space="preserve"> </w:t>
      </w:r>
      <w:r w:rsidRPr="0038338B">
        <w:rPr>
          <w:rFonts w:eastAsiaTheme="minorHAnsi" w:hint="cs"/>
          <w:sz w:val="22"/>
          <w:rtl/>
          <w:lang w:eastAsia="en-US"/>
        </w:rPr>
        <w:t>שם המבוטח, סוג</w:t>
      </w:r>
      <w:r w:rsidRPr="0038338B">
        <w:rPr>
          <w:rFonts w:eastAsiaTheme="minorHAnsi"/>
          <w:sz w:val="22"/>
          <w:rtl/>
          <w:lang w:eastAsia="en-US"/>
        </w:rPr>
        <w:t xml:space="preserve"> </w:t>
      </w:r>
      <w:r w:rsidRPr="0038338B">
        <w:rPr>
          <w:rFonts w:eastAsiaTheme="minorHAnsi" w:hint="cs"/>
          <w:sz w:val="22"/>
          <w:rtl/>
          <w:lang w:eastAsia="en-US"/>
        </w:rPr>
        <w:t>הכיסוי</w:t>
      </w:r>
      <w:r w:rsidRPr="0038338B">
        <w:rPr>
          <w:rFonts w:eastAsiaTheme="minorHAnsi"/>
          <w:sz w:val="22"/>
          <w:rtl/>
          <w:lang w:eastAsia="en-US"/>
        </w:rPr>
        <w:t xml:space="preserve"> </w:t>
      </w:r>
      <w:r w:rsidRPr="0038338B">
        <w:rPr>
          <w:rFonts w:eastAsiaTheme="minorHAnsi" w:hint="cs"/>
          <w:sz w:val="22"/>
          <w:rtl/>
          <w:lang w:eastAsia="en-US"/>
        </w:rPr>
        <w:t xml:space="preserve">הביטוחי </w:t>
      </w:r>
      <w:r w:rsidRPr="0038338B">
        <w:rPr>
          <w:rFonts w:eastAsiaTheme="minorHAnsi"/>
          <w:sz w:val="22"/>
          <w:rtl/>
          <w:lang w:eastAsia="en-US"/>
        </w:rPr>
        <w:t>שמכוח</w:t>
      </w:r>
      <w:r w:rsidRPr="0038338B">
        <w:rPr>
          <w:rFonts w:eastAsiaTheme="minorHAnsi" w:hint="cs"/>
          <w:sz w:val="22"/>
          <w:rtl/>
          <w:lang w:eastAsia="en-US"/>
        </w:rPr>
        <w:t>ו</w:t>
      </w:r>
      <w:r w:rsidRPr="0038338B">
        <w:rPr>
          <w:rFonts w:eastAsiaTheme="minorHAnsi"/>
          <w:sz w:val="22"/>
          <w:rtl/>
          <w:lang w:eastAsia="en-US"/>
        </w:rPr>
        <w:t xml:space="preserve"> </w:t>
      </w:r>
      <w:r w:rsidRPr="0038338B">
        <w:rPr>
          <w:rFonts w:eastAsiaTheme="minorHAnsi" w:hint="cs"/>
          <w:sz w:val="22"/>
          <w:rtl/>
          <w:lang w:eastAsia="en-US"/>
        </w:rPr>
        <w:t>מיושבת</w:t>
      </w:r>
      <w:r w:rsidRPr="0038338B">
        <w:rPr>
          <w:rFonts w:eastAsiaTheme="minorHAnsi"/>
          <w:sz w:val="22"/>
          <w:rtl/>
          <w:lang w:eastAsia="en-US"/>
        </w:rPr>
        <w:t xml:space="preserve"> התביעה, </w:t>
      </w:r>
      <w:r w:rsidRPr="0038338B">
        <w:rPr>
          <w:rFonts w:eastAsiaTheme="minorHAnsi" w:hint="cs"/>
          <w:sz w:val="22"/>
          <w:rtl/>
          <w:lang w:eastAsia="en-US"/>
        </w:rPr>
        <w:t>שם הפוליסה</w:t>
      </w:r>
      <w:r w:rsidRPr="0038338B">
        <w:rPr>
          <w:rFonts w:eastAsiaTheme="minorHAnsi"/>
          <w:sz w:val="22"/>
          <w:rtl/>
          <w:lang w:eastAsia="en-US"/>
        </w:rPr>
        <w:t xml:space="preserve"> </w:t>
      </w:r>
      <w:r w:rsidRPr="0038338B">
        <w:rPr>
          <w:rFonts w:eastAsiaTheme="minorHAnsi" w:hint="cs"/>
          <w:sz w:val="22"/>
          <w:rtl/>
          <w:lang w:eastAsia="en-US"/>
        </w:rPr>
        <w:t>ומספרה או מספר החשבון, לפי העניין</w:t>
      </w:r>
      <w:r w:rsidRPr="0038338B">
        <w:rPr>
          <w:rFonts w:eastAsiaTheme="minorHAnsi"/>
          <w:sz w:val="22"/>
          <w:rtl/>
          <w:lang w:eastAsia="en-US"/>
        </w:rPr>
        <w:t>.</w:t>
      </w:r>
    </w:p>
    <w:p w:rsidR="0038338B" w:rsidRPr="0038338B" w:rsidRDefault="0038338B" w:rsidP="000168BA">
      <w:pPr>
        <w:numPr>
          <w:ilvl w:val="0"/>
          <w:numId w:val="32"/>
        </w:numPr>
        <w:overflowPunct/>
        <w:autoSpaceDE/>
        <w:autoSpaceDN/>
        <w:adjustRightInd/>
        <w:spacing w:line="360" w:lineRule="auto"/>
        <w:contextualSpacing/>
        <w:jc w:val="both"/>
        <w:textAlignment w:val="auto"/>
        <w:rPr>
          <w:rFonts w:eastAsiaTheme="minorHAnsi"/>
          <w:sz w:val="22"/>
          <w:lang w:eastAsia="en-US"/>
        </w:rPr>
      </w:pPr>
      <w:r w:rsidRPr="0038338B">
        <w:rPr>
          <w:rFonts w:eastAsiaTheme="minorHAnsi" w:hint="cs"/>
          <w:sz w:val="22"/>
          <w:rtl/>
          <w:lang w:eastAsia="en-US"/>
        </w:rPr>
        <w:t>גוף מוסדי</w:t>
      </w:r>
      <w:r w:rsidRPr="0038338B">
        <w:rPr>
          <w:rFonts w:eastAsiaTheme="minorHAnsi"/>
          <w:sz w:val="22"/>
          <w:rtl/>
          <w:lang w:eastAsia="en-US"/>
        </w:rPr>
        <w:t xml:space="preserve"> </w:t>
      </w:r>
      <w:r w:rsidRPr="0038338B">
        <w:rPr>
          <w:rFonts w:eastAsiaTheme="minorHAnsi" w:hint="cs"/>
          <w:sz w:val="22"/>
          <w:rtl/>
          <w:lang w:eastAsia="en-US"/>
        </w:rPr>
        <w:t>יאפשר לתובע בעת הגשת תביעה לבחור את אופן משלוח ההודעות בדבר מהלך בירור התביעה ותוצאותיה. גוף מוסדי יאפשר לתובע לבחור האם לקבל או לשלוח הודעות כאמור בדרך</w:t>
      </w:r>
      <w:r w:rsidRPr="0038338B">
        <w:rPr>
          <w:rFonts w:eastAsiaTheme="minorHAnsi"/>
          <w:sz w:val="22"/>
          <w:rtl/>
          <w:lang w:eastAsia="en-US"/>
        </w:rPr>
        <w:t xml:space="preserve"> </w:t>
      </w:r>
      <w:r w:rsidRPr="0038338B">
        <w:rPr>
          <w:rFonts w:eastAsiaTheme="minorHAnsi" w:hint="cs"/>
          <w:sz w:val="22"/>
          <w:rtl/>
          <w:lang w:eastAsia="en-US"/>
        </w:rPr>
        <w:t>של</w:t>
      </w:r>
      <w:r w:rsidRPr="0038338B">
        <w:rPr>
          <w:rFonts w:eastAsiaTheme="minorHAnsi"/>
          <w:sz w:val="22"/>
          <w:rtl/>
          <w:lang w:eastAsia="en-US"/>
        </w:rPr>
        <w:t xml:space="preserve"> </w:t>
      </w:r>
      <w:r w:rsidRPr="0038338B">
        <w:rPr>
          <w:rFonts w:eastAsiaTheme="minorHAnsi" w:hint="cs"/>
          <w:sz w:val="22"/>
          <w:rtl/>
          <w:lang w:eastAsia="en-US"/>
        </w:rPr>
        <w:t>דואר, דואר אלקטרוני, או בכל אמצעי תקשורת מאובטח אחר המקובל באותו מועד באותו ענף</w:t>
      </w:r>
      <w:r w:rsidRPr="008408C4">
        <w:rPr>
          <w:rFonts w:eastAsiaTheme="minorHAnsi"/>
          <w:sz w:val="22"/>
          <w:rtl/>
          <w:lang w:eastAsia="en-US"/>
        </w:rPr>
        <w:t>.</w:t>
      </w:r>
      <w:r w:rsidRPr="0038338B">
        <w:rPr>
          <w:rFonts w:eastAsiaTheme="minorHAnsi" w:hint="cs"/>
          <w:sz w:val="22"/>
          <w:rtl/>
          <w:lang w:eastAsia="en-US"/>
        </w:rPr>
        <w:t xml:space="preserve"> במועד בירור כאמור יברר הגוף מוסדי האם חלו שינויים בפרטי המבוטח ובמידת הצורך יעדכן הגוף המוסדי את פרטיו העדכניים של התובע לצורך משלוח ההודעות. </w:t>
      </w:r>
    </w:p>
    <w:p w:rsidR="0038338B" w:rsidRPr="0038338B" w:rsidRDefault="0038338B" w:rsidP="0038338B">
      <w:pPr>
        <w:numPr>
          <w:ilvl w:val="0"/>
          <w:numId w:val="32"/>
        </w:numPr>
        <w:overflowPunct/>
        <w:autoSpaceDE/>
        <w:autoSpaceDN/>
        <w:adjustRightInd/>
        <w:spacing w:line="360" w:lineRule="auto"/>
        <w:contextualSpacing/>
        <w:jc w:val="both"/>
        <w:textAlignment w:val="auto"/>
        <w:rPr>
          <w:rFonts w:eastAsiaTheme="minorHAnsi"/>
          <w:sz w:val="22"/>
          <w:lang w:eastAsia="en-US"/>
        </w:rPr>
      </w:pPr>
      <w:r w:rsidRPr="0038338B">
        <w:rPr>
          <w:rFonts w:eastAsiaTheme="minorHAnsi" w:hint="cs"/>
          <w:sz w:val="22"/>
          <w:rtl/>
          <w:lang w:eastAsia="en-US"/>
        </w:rPr>
        <w:t>גוף מוסדי לא</w:t>
      </w:r>
      <w:r w:rsidRPr="0038338B">
        <w:rPr>
          <w:rFonts w:eastAsiaTheme="minorHAnsi"/>
          <w:sz w:val="22"/>
          <w:rtl/>
          <w:lang w:eastAsia="en-US"/>
        </w:rPr>
        <w:t xml:space="preserve"> </w:t>
      </w:r>
      <w:r w:rsidRPr="0038338B">
        <w:rPr>
          <w:rFonts w:eastAsiaTheme="minorHAnsi" w:hint="cs"/>
          <w:sz w:val="22"/>
          <w:rtl/>
          <w:lang w:eastAsia="en-US"/>
        </w:rPr>
        <w:t>י</w:t>
      </w:r>
      <w:r w:rsidRPr="0038338B">
        <w:rPr>
          <w:rFonts w:eastAsiaTheme="minorHAnsi"/>
          <w:sz w:val="22"/>
          <w:rtl/>
          <w:lang w:eastAsia="en-US"/>
        </w:rPr>
        <w:t>עביר</w:t>
      </w:r>
      <w:r w:rsidRPr="0038338B">
        <w:rPr>
          <w:rFonts w:eastAsiaTheme="minorHAnsi" w:hint="cs"/>
          <w:sz w:val="22"/>
          <w:rtl/>
          <w:lang w:eastAsia="en-US"/>
        </w:rPr>
        <w:t>, במסגרת הליך יישוב תביעה,</w:t>
      </w:r>
      <w:r w:rsidRPr="0038338B">
        <w:rPr>
          <w:rFonts w:eastAsiaTheme="minorHAnsi"/>
          <w:sz w:val="22"/>
          <w:rtl/>
          <w:lang w:eastAsia="en-US"/>
        </w:rPr>
        <w:t xml:space="preserve"> </w:t>
      </w:r>
      <w:r w:rsidRPr="0038338B">
        <w:rPr>
          <w:rFonts w:eastAsiaTheme="minorHAnsi" w:hint="cs"/>
          <w:sz w:val="22"/>
          <w:rtl/>
          <w:lang w:eastAsia="en-US"/>
        </w:rPr>
        <w:t>כל</w:t>
      </w:r>
      <w:r w:rsidRPr="0038338B">
        <w:rPr>
          <w:rFonts w:eastAsiaTheme="minorHAnsi"/>
          <w:sz w:val="22"/>
          <w:rtl/>
          <w:lang w:eastAsia="en-US"/>
        </w:rPr>
        <w:t xml:space="preserve"> </w:t>
      </w:r>
      <w:r w:rsidRPr="0038338B">
        <w:rPr>
          <w:rFonts w:eastAsiaTheme="minorHAnsi" w:hint="cs"/>
          <w:sz w:val="22"/>
          <w:rtl/>
          <w:lang w:eastAsia="en-US"/>
        </w:rPr>
        <w:t>הודעה</w:t>
      </w:r>
      <w:r w:rsidRPr="0038338B">
        <w:rPr>
          <w:rFonts w:eastAsiaTheme="minorHAnsi"/>
          <w:sz w:val="22"/>
          <w:rtl/>
          <w:lang w:eastAsia="en-US"/>
        </w:rPr>
        <w:t xml:space="preserve"> לתובע </w:t>
      </w:r>
      <w:r w:rsidRPr="0038338B">
        <w:rPr>
          <w:rFonts w:eastAsiaTheme="minorHAnsi" w:hint="cs"/>
          <w:sz w:val="22"/>
          <w:rtl/>
          <w:lang w:eastAsia="en-US"/>
        </w:rPr>
        <w:t>בכתב</w:t>
      </w:r>
      <w:r w:rsidRPr="0038338B">
        <w:rPr>
          <w:rFonts w:eastAsiaTheme="minorHAnsi"/>
          <w:sz w:val="22"/>
          <w:rtl/>
          <w:lang w:eastAsia="en-US"/>
        </w:rPr>
        <w:t xml:space="preserve"> </w:t>
      </w:r>
      <w:r w:rsidRPr="0038338B">
        <w:rPr>
          <w:rFonts w:eastAsiaTheme="minorHAnsi" w:hint="cs"/>
          <w:sz w:val="22"/>
          <w:rtl/>
          <w:lang w:eastAsia="en-US"/>
        </w:rPr>
        <w:t>יד.</w:t>
      </w:r>
      <w:r w:rsidRPr="0038338B">
        <w:rPr>
          <w:rFonts w:eastAsiaTheme="minorHAnsi"/>
          <w:sz w:val="22"/>
          <w:rtl/>
          <w:lang w:eastAsia="en-US"/>
        </w:rPr>
        <w:t xml:space="preserve"> </w:t>
      </w:r>
    </w:p>
    <w:p w:rsidR="0038338B" w:rsidRPr="0038338B" w:rsidRDefault="0038338B" w:rsidP="0038338B">
      <w:pPr>
        <w:overflowPunct/>
        <w:autoSpaceDE/>
        <w:autoSpaceDN/>
        <w:adjustRightInd/>
        <w:spacing w:line="360" w:lineRule="auto"/>
        <w:ind w:left="849"/>
        <w:contextualSpacing/>
        <w:jc w:val="both"/>
        <w:textAlignment w:val="auto"/>
        <w:rPr>
          <w:rFonts w:eastAsia="Calibri"/>
          <w:sz w:val="24"/>
          <w:lang w:eastAsia="en-US"/>
        </w:rPr>
      </w:pPr>
    </w:p>
    <w:p w:rsidR="0038338B" w:rsidRPr="0038338B" w:rsidRDefault="0038338B" w:rsidP="0038338B">
      <w:pPr>
        <w:numPr>
          <w:ilvl w:val="0"/>
          <w:numId w:val="25"/>
        </w:numPr>
        <w:overflowPunct/>
        <w:autoSpaceDE/>
        <w:autoSpaceDN/>
        <w:adjustRightInd/>
        <w:spacing w:line="360" w:lineRule="auto"/>
        <w:contextualSpacing/>
        <w:jc w:val="both"/>
        <w:textAlignment w:val="auto"/>
        <w:rPr>
          <w:rFonts w:eastAsia="Calibri"/>
          <w:sz w:val="24"/>
          <w:u w:val="single"/>
          <w:lang w:eastAsia="en-US"/>
        </w:rPr>
      </w:pPr>
      <w:r w:rsidRPr="0038338B">
        <w:rPr>
          <w:rFonts w:eastAsia="Calibri" w:hint="cs"/>
          <w:sz w:val="24"/>
          <w:u w:val="single"/>
          <w:rtl/>
          <w:lang w:eastAsia="en-US"/>
        </w:rPr>
        <w:t>מידע שעל בסיסו תיושב תביעה</w:t>
      </w:r>
    </w:p>
    <w:p w:rsidR="0038338B" w:rsidRPr="0038338B" w:rsidRDefault="0038338B" w:rsidP="0038338B">
      <w:pPr>
        <w:numPr>
          <w:ilvl w:val="0"/>
          <w:numId w:val="28"/>
        </w:numPr>
        <w:overflowPunct/>
        <w:autoSpaceDE/>
        <w:autoSpaceDN/>
        <w:adjustRightInd/>
        <w:spacing w:before="120" w:after="120" w:line="360" w:lineRule="auto"/>
        <w:ind w:hanging="334"/>
        <w:contextualSpacing/>
        <w:jc w:val="both"/>
        <w:textAlignment w:val="auto"/>
        <w:rPr>
          <w:rFonts w:eastAsia="Calibri"/>
          <w:sz w:val="24"/>
          <w:lang w:eastAsia="en-US"/>
        </w:rPr>
      </w:pPr>
      <w:r w:rsidRPr="0038338B">
        <w:rPr>
          <w:rFonts w:eastAsia="Calibri" w:hint="cs"/>
          <w:sz w:val="24"/>
          <w:rtl/>
          <w:lang w:eastAsia="en-US"/>
        </w:rPr>
        <w:t xml:space="preserve">גוף מוסדי יישב תביעה על בסיס המידע המעודכן או הרלבנטי ביותר שיש ברשותו. </w:t>
      </w:r>
    </w:p>
    <w:p w:rsidR="0038338B" w:rsidRPr="0038338B" w:rsidRDefault="0038338B" w:rsidP="0038338B">
      <w:pPr>
        <w:numPr>
          <w:ilvl w:val="0"/>
          <w:numId w:val="28"/>
        </w:numPr>
        <w:overflowPunct/>
        <w:autoSpaceDE/>
        <w:autoSpaceDN/>
        <w:adjustRightInd/>
        <w:spacing w:before="120" w:after="120" w:line="360" w:lineRule="auto"/>
        <w:contextualSpacing/>
        <w:jc w:val="both"/>
        <w:textAlignment w:val="auto"/>
        <w:rPr>
          <w:rFonts w:eastAsia="Calibri"/>
          <w:sz w:val="24"/>
          <w:lang w:eastAsia="en-US"/>
        </w:rPr>
      </w:pPr>
      <w:r w:rsidRPr="0038338B">
        <w:rPr>
          <w:rFonts w:eastAsia="Calibri" w:hint="cs"/>
          <w:sz w:val="24"/>
          <w:rtl/>
          <w:lang w:eastAsia="en-US"/>
        </w:rPr>
        <w:t>גוף</w:t>
      </w:r>
      <w:r w:rsidRPr="0038338B">
        <w:rPr>
          <w:rFonts w:eastAsia="Calibri"/>
          <w:sz w:val="24"/>
          <w:rtl/>
          <w:lang w:eastAsia="en-US"/>
        </w:rPr>
        <w:t xml:space="preserve"> </w:t>
      </w:r>
      <w:r w:rsidRPr="0038338B">
        <w:rPr>
          <w:rFonts w:eastAsia="Calibri" w:hint="cs"/>
          <w:sz w:val="24"/>
          <w:rtl/>
          <w:lang w:eastAsia="en-US"/>
        </w:rPr>
        <w:t>מוסדי</w:t>
      </w:r>
      <w:r w:rsidRPr="0038338B">
        <w:rPr>
          <w:rFonts w:eastAsia="Calibri"/>
          <w:sz w:val="24"/>
          <w:rtl/>
          <w:lang w:eastAsia="en-US"/>
        </w:rPr>
        <w:t xml:space="preserve"> </w:t>
      </w:r>
      <w:r w:rsidRPr="0038338B">
        <w:rPr>
          <w:rFonts w:eastAsia="Calibri" w:hint="cs"/>
          <w:sz w:val="24"/>
          <w:rtl/>
          <w:lang w:eastAsia="en-US"/>
        </w:rPr>
        <w:t>יפעל</w:t>
      </w:r>
      <w:r w:rsidRPr="0038338B">
        <w:rPr>
          <w:rFonts w:eastAsia="Calibri"/>
          <w:sz w:val="24"/>
          <w:rtl/>
          <w:lang w:eastAsia="en-US"/>
        </w:rPr>
        <w:t xml:space="preserve"> </w:t>
      </w:r>
      <w:r w:rsidRPr="0038338B">
        <w:rPr>
          <w:rFonts w:eastAsia="Calibri" w:hint="cs"/>
          <w:sz w:val="24"/>
          <w:rtl/>
          <w:lang w:eastAsia="en-US"/>
        </w:rPr>
        <w:t>להשגת</w:t>
      </w:r>
      <w:r w:rsidRPr="0038338B">
        <w:rPr>
          <w:rFonts w:eastAsia="Calibri"/>
          <w:sz w:val="24"/>
          <w:rtl/>
          <w:lang w:eastAsia="en-US"/>
        </w:rPr>
        <w:t xml:space="preserve"> מידע </w:t>
      </w:r>
      <w:r w:rsidRPr="0038338B">
        <w:rPr>
          <w:rFonts w:eastAsia="Calibri" w:hint="cs"/>
          <w:sz w:val="24"/>
          <w:rtl/>
          <w:lang w:eastAsia="en-US"/>
        </w:rPr>
        <w:t>רלבנטי</w:t>
      </w:r>
      <w:r w:rsidRPr="0038338B">
        <w:rPr>
          <w:rFonts w:eastAsia="Calibri"/>
          <w:sz w:val="24"/>
          <w:rtl/>
          <w:lang w:eastAsia="en-US"/>
        </w:rPr>
        <w:t xml:space="preserve"> </w:t>
      </w:r>
      <w:r w:rsidRPr="0038338B">
        <w:rPr>
          <w:rFonts w:eastAsia="Calibri" w:hint="cs"/>
          <w:sz w:val="24"/>
          <w:rtl/>
          <w:lang w:eastAsia="en-US"/>
        </w:rPr>
        <w:t>ליישוב</w:t>
      </w:r>
      <w:r w:rsidRPr="0038338B">
        <w:rPr>
          <w:rFonts w:eastAsia="Calibri"/>
          <w:sz w:val="24"/>
          <w:rtl/>
          <w:lang w:eastAsia="en-US"/>
        </w:rPr>
        <w:t xml:space="preserve"> </w:t>
      </w:r>
      <w:r w:rsidRPr="0038338B">
        <w:rPr>
          <w:rFonts w:eastAsia="Calibri" w:hint="cs"/>
          <w:sz w:val="24"/>
          <w:rtl/>
          <w:lang w:eastAsia="en-US"/>
        </w:rPr>
        <w:t>התביעה</w:t>
      </w:r>
      <w:r w:rsidRPr="0038338B">
        <w:rPr>
          <w:rFonts w:eastAsia="Calibri"/>
          <w:sz w:val="24"/>
          <w:rtl/>
          <w:lang w:eastAsia="en-US"/>
        </w:rPr>
        <w:t xml:space="preserve"> </w:t>
      </w:r>
      <w:r w:rsidRPr="0038338B">
        <w:rPr>
          <w:rFonts w:eastAsia="Calibri" w:hint="cs"/>
          <w:sz w:val="24"/>
          <w:rtl/>
          <w:lang w:eastAsia="en-US"/>
        </w:rPr>
        <w:t>אם מהנתונים שברשותו עולה כי קיים מידע נוסף שנדרש לצורך יישוב התביעה</w:t>
      </w:r>
      <w:r w:rsidRPr="0038338B">
        <w:rPr>
          <w:rFonts w:eastAsia="Calibri"/>
          <w:sz w:val="24"/>
          <w:rtl/>
          <w:lang w:eastAsia="en-US"/>
        </w:rPr>
        <w:t>.</w:t>
      </w:r>
      <w:r w:rsidRPr="0038338B" w:rsidDel="00454F0E">
        <w:rPr>
          <w:rFonts w:eastAsia="Calibri"/>
          <w:sz w:val="24"/>
          <w:rtl/>
          <w:lang w:eastAsia="en-US"/>
        </w:rPr>
        <w:t xml:space="preserve"> </w:t>
      </w:r>
      <w:r w:rsidRPr="0038338B">
        <w:rPr>
          <w:rFonts w:eastAsia="Calibri" w:hint="cs"/>
          <w:sz w:val="24"/>
          <w:rtl/>
          <w:lang w:eastAsia="en-US"/>
        </w:rPr>
        <w:t>במידת</w:t>
      </w:r>
      <w:r w:rsidRPr="0038338B">
        <w:rPr>
          <w:rFonts w:eastAsia="Calibri"/>
          <w:sz w:val="24"/>
          <w:rtl/>
          <w:lang w:eastAsia="en-US"/>
        </w:rPr>
        <w:t xml:space="preserve"> הצורך, </w:t>
      </w:r>
      <w:r w:rsidRPr="0038338B">
        <w:rPr>
          <w:rFonts w:eastAsia="Calibri" w:hint="cs"/>
          <w:sz w:val="24"/>
          <w:rtl/>
          <w:lang w:eastAsia="en-US"/>
        </w:rPr>
        <w:t>גוף</w:t>
      </w:r>
      <w:r w:rsidRPr="0038338B">
        <w:rPr>
          <w:rFonts w:eastAsia="Calibri"/>
          <w:sz w:val="24"/>
          <w:rtl/>
          <w:lang w:eastAsia="en-US"/>
        </w:rPr>
        <w:t xml:space="preserve"> מוסדי </w:t>
      </w:r>
      <w:r w:rsidRPr="0038338B">
        <w:rPr>
          <w:rFonts w:eastAsia="Calibri" w:hint="cs"/>
          <w:sz w:val="24"/>
          <w:rtl/>
          <w:lang w:eastAsia="en-US"/>
        </w:rPr>
        <w:t>יפנה</w:t>
      </w:r>
      <w:r w:rsidRPr="0038338B">
        <w:rPr>
          <w:rFonts w:eastAsia="Calibri"/>
          <w:sz w:val="24"/>
          <w:rtl/>
          <w:lang w:eastAsia="en-US"/>
        </w:rPr>
        <w:t xml:space="preserve"> </w:t>
      </w:r>
      <w:r w:rsidRPr="0038338B">
        <w:rPr>
          <w:rFonts w:eastAsia="Calibri" w:hint="cs"/>
          <w:sz w:val="24"/>
          <w:rtl/>
          <w:lang w:eastAsia="en-US"/>
        </w:rPr>
        <w:t>לתובע</w:t>
      </w:r>
      <w:r w:rsidRPr="0038338B">
        <w:rPr>
          <w:rFonts w:eastAsia="Calibri"/>
          <w:sz w:val="24"/>
          <w:rtl/>
          <w:lang w:eastAsia="en-US"/>
        </w:rPr>
        <w:t xml:space="preserve">, </w:t>
      </w:r>
      <w:r w:rsidRPr="0038338B">
        <w:rPr>
          <w:rFonts w:eastAsia="Calibri" w:hint="cs"/>
          <w:sz w:val="24"/>
          <w:rtl/>
          <w:lang w:eastAsia="en-US"/>
        </w:rPr>
        <w:t>בבקשה</w:t>
      </w:r>
      <w:r w:rsidRPr="0038338B">
        <w:rPr>
          <w:rFonts w:eastAsia="Calibri"/>
          <w:sz w:val="24"/>
          <w:rtl/>
          <w:lang w:eastAsia="en-US"/>
        </w:rPr>
        <w:t xml:space="preserve"> </w:t>
      </w:r>
      <w:r w:rsidRPr="0038338B">
        <w:rPr>
          <w:rFonts w:eastAsia="Calibri" w:hint="cs"/>
          <w:sz w:val="24"/>
          <w:rtl/>
          <w:lang w:eastAsia="en-US"/>
        </w:rPr>
        <w:t>להשלמת</w:t>
      </w:r>
      <w:r w:rsidRPr="0038338B">
        <w:rPr>
          <w:rFonts w:eastAsia="Calibri"/>
          <w:sz w:val="24"/>
          <w:rtl/>
          <w:lang w:eastAsia="en-US"/>
        </w:rPr>
        <w:t xml:space="preserve"> </w:t>
      </w:r>
      <w:r w:rsidRPr="0038338B">
        <w:rPr>
          <w:rFonts w:eastAsia="Calibri" w:hint="cs"/>
          <w:sz w:val="24"/>
          <w:rtl/>
          <w:lang w:eastAsia="en-US"/>
        </w:rPr>
        <w:t>מידע</w:t>
      </w:r>
      <w:r w:rsidRPr="0038338B">
        <w:rPr>
          <w:rFonts w:eastAsia="Calibri"/>
          <w:sz w:val="24"/>
          <w:rtl/>
          <w:lang w:eastAsia="en-US"/>
        </w:rPr>
        <w:t xml:space="preserve"> </w:t>
      </w:r>
      <w:r w:rsidRPr="0038338B">
        <w:rPr>
          <w:rFonts w:eastAsia="Calibri" w:hint="cs"/>
          <w:sz w:val="24"/>
          <w:rtl/>
          <w:lang w:eastAsia="en-US"/>
        </w:rPr>
        <w:t>בעת</w:t>
      </w:r>
      <w:r w:rsidRPr="0038338B">
        <w:rPr>
          <w:rFonts w:eastAsia="Calibri"/>
          <w:sz w:val="24"/>
          <w:rtl/>
          <w:lang w:eastAsia="en-US"/>
        </w:rPr>
        <w:t xml:space="preserve"> </w:t>
      </w:r>
      <w:r w:rsidRPr="0038338B">
        <w:rPr>
          <w:rFonts w:eastAsia="Calibri" w:hint="cs"/>
          <w:sz w:val="24"/>
          <w:rtl/>
          <w:lang w:eastAsia="en-US"/>
        </w:rPr>
        <w:t>הליך</w:t>
      </w:r>
      <w:r w:rsidRPr="0038338B">
        <w:rPr>
          <w:rFonts w:eastAsia="Calibri"/>
          <w:sz w:val="24"/>
          <w:rtl/>
          <w:lang w:eastAsia="en-US"/>
        </w:rPr>
        <w:t xml:space="preserve"> </w:t>
      </w:r>
      <w:r w:rsidRPr="0038338B">
        <w:rPr>
          <w:rFonts w:eastAsia="Calibri" w:hint="cs"/>
          <w:sz w:val="24"/>
          <w:rtl/>
          <w:lang w:eastAsia="en-US"/>
        </w:rPr>
        <w:t>בירור תביעה ויישובה</w:t>
      </w:r>
      <w:r w:rsidRPr="0038338B">
        <w:rPr>
          <w:rFonts w:eastAsia="Calibri"/>
          <w:sz w:val="24"/>
          <w:rtl/>
          <w:lang w:eastAsia="en-US"/>
        </w:rPr>
        <w:t xml:space="preserve">, </w:t>
      </w:r>
      <w:r w:rsidRPr="0038338B">
        <w:rPr>
          <w:rFonts w:eastAsia="Calibri" w:hint="cs"/>
          <w:sz w:val="24"/>
          <w:rtl/>
          <w:lang w:eastAsia="en-US"/>
        </w:rPr>
        <w:t>גם</w:t>
      </w:r>
      <w:r w:rsidRPr="0038338B">
        <w:rPr>
          <w:rFonts w:eastAsia="Calibri"/>
          <w:sz w:val="24"/>
          <w:rtl/>
          <w:lang w:eastAsia="en-US"/>
        </w:rPr>
        <w:t xml:space="preserve"> </w:t>
      </w:r>
      <w:r w:rsidRPr="0038338B">
        <w:rPr>
          <w:rFonts w:eastAsia="Calibri" w:hint="cs"/>
          <w:sz w:val="24"/>
          <w:rtl/>
          <w:lang w:eastAsia="en-US"/>
        </w:rPr>
        <w:t>אם</w:t>
      </w:r>
      <w:r w:rsidRPr="0038338B">
        <w:rPr>
          <w:rFonts w:eastAsia="Calibri"/>
          <w:sz w:val="24"/>
          <w:rtl/>
          <w:lang w:eastAsia="en-US"/>
        </w:rPr>
        <w:t xml:space="preserve"> </w:t>
      </w:r>
      <w:r w:rsidRPr="0038338B">
        <w:rPr>
          <w:rFonts w:eastAsia="Calibri" w:hint="cs"/>
          <w:sz w:val="24"/>
          <w:rtl/>
          <w:lang w:eastAsia="en-US"/>
        </w:rPr>
        <w:t>מסר</w:t>
      </w:r>
      <w:r w:rsidRPr="0038338B">
        <w:rPr>
          <w:rFonts w:eastAsia="Calibri"/>
          <w:sz w:val="24"/>
          <w:rtl/>
          <w:lang w:eastAsia="en-US"/>
        </w:rPr>
        <w:t xml:space="preserve"> </w:t>
      </w:r>
      <w:r w:rsidRPr="0038338B">
        <w:rPr>
          <w:rFonts w:eastAsia="Calibri" w:hint="cs"/>
          <w:sz w:val="24"/>
          <w:rtl/>
          <w:lang w:eastAsia="en-US"/>
        </w:rPr>
        <w:t>לו</w:t>
      </w:r>
      <w:r w:rsidRPr="0038338B">
        <w:rPr>
          <w:rFonts w:eastAsia="Calibri"/>
          <w:sz w:val="24"/>
          <w:rtl/>
          <w:lang w:eastAsia="en-US"/>
        </w:rPr>
        <w:t xml:space="preserve"> את פירוט המידע והמסמכים הנדרשים מתובע לשם בירור ויישוב תביעה לאחר הגשת התביעה בהתאם לסעיף 8(א)(ד) </w:t>
      </w:r>
      <w:r w:rsidRPr="0038338B">
        <w:rPr>
          <w:rFonts w:eastAsia="Calibri" w:hint="cs"/>
          <w:sz w:val="24"/>
          <w:rtl/>
          <w:lang w:eastAsia="en-US"/>
        </w:rPr>
        <w:t>לחוזר</w:t>
      </w:r>
      <w:r w:rsidRPr="0038338B">
        <w:rPr>
          <w:rFonts w:eastAsia="Calibri"/>
          <w:sz w:val="24"/>
          <w:rtl/>
          <w:lang w:eastAsia="en-US"/>
        </w:rPr>
        <w:t xml:space="preserve">. </w:t>
      </w:r>
    </w:p>
    <w:p w:rsidR="0038338B" w:rsidRPr="0038338B" w:rsidRDefault="0038338B" w:rsidP="0038338B">
      <w:pPr>
        <w:overflowPunct/>
        <w:autoSpaceDE/>
        <w:autoSpaceDN/>
        <w:adjustRightInd/>
        <w:spacing w:before="120" w:after="120" w:line="360" w:lineRule="auto"/>
        <w:ind w:left="849"/>
        <w:contextualSpacing/>
        <w:jc w:val="both"/>
        <w:textAlignment w:val="auto"/>
        <w:rPr>
          <w:rFonts w:eastAsia="Calibri"/>
          <w:sz w:val="24"/>
          <w:lang w:eastAsia="en-US"/>
        </w:rPr>
      </w:pPr>
    </w:p>
    <w:p w:rsidR="0038338B" w:rsidRPr="0038338B" w:rsidRDefault="0038338B" w:rsidP="0038338B">
      <w:pPr>
        <w:numPr>
          <w:ilvl w:val="0"/>
          <w:numId w:val="25"/>
        </w:numPr>
        <w:overflowPunct/>
        <w:autoSpaceDE/>
        <w:autoSpaceDN/>
        <w:adjustRightInd/>
        <w:spacing w:line="360" w:lineRule="auto"/>
        <w:contextualSpacing/>
        <w:jc w:val="both"/>
        <w:textAlignment w:val="auto"/>
        <w:rPr>
          <w:rFonts w:eastAsia="Calibri"/>
          <w:sz w:val="24"/>
          <w:u w:val="single"/>
          <w:lang w:eastAsia="en-US"/>
        </w:rPr>
      </w:pPr>
      <w:r w:rsidRPr="0038338B">
        <w:rPr>
          <w:rFonts w:eastAsia="Calibri" w:hint="eastAsia"/>
          <w:sz w:val="24"/>
          <w:u w:val="single"/>
          <w:rtl/>
          <w:lang w:eastAsia="en-US"/>
        </w:rPr>
        <w:t>דחיית</w:t>
      </w:r>
      <w:r w:rsidRPr="0038338B">
        <w:rPr>
          <w:rFonts w:eastAsia="Calibri"/>
          <w:sz w:val="24"/>
          <w:u w:val="single"/>
          <w:rtl/>
          <w:lang w:eastAsia="en-US"/>
        </w:rPr>
        <w:t xml:space="preserve"> </w:t>
      </w:r>
      <w:r w:rsidRPr="0038338B">
        <w:rPr>
          <w:rFonts w:eastAsia="Calibri" w:hint="eastAsia"/>
          <w:sz w:val="24"/>
          <w:u w:val="single"/>
          <w:rtl/>
          <w:lang w:eastAsia="en-US"/>
        </w:rPr>
        <w:t>תביע</w:t>
      </w:r>
      <w:r w:rsidRPr="0038338B">
        <w:rPr>
          <w:rFonts w:eastAsia="Calibri" w:hint="cs"/>
          <w:sz w:val="24"/>
          <w:u w:val="single"/>
          <w:rtl/>
          <w:lang w:eastAsia="en-US"/>
        </w:rPr>
        <w:t>ה</w:t>
      </w:r>
    </w:p>
    <w:p w:rsidR="0038338B" w:rsidRPr="0038338B" w:rsidRDefault="0038338B" w:rsidP="0038338B">
      <w:pPr>
        <w:numPr>
          <w:ilvl w:val="0"/>
          <w:numId w:val="26"/>
        </w:numPr>
        <w:overflowPunct/>
        <w:autoSpaceDE/>
        <w:autoSpaceDN/>
        <w:adjustRightInd/>
        <w:spacing w:line="360" w:lineRule="auto"/>
        <w:ind w:left="849"/>
        <w:contextualSpacing/>
        <w:jc w:val="both"/>
        <w:textAlignment w:val="auto"/>
        <w:rPr>
          <w:rFonts w:eastAsia="Calibri"/>
          <w:sz w:val="24"/>
          <w:lang w:eastAsia="en-US"/>
        </w:rPr>
      </w:pPr>
      <w:r w:rsidRPr="0038338B">
        <w:rPr>
          <w:rFonts w:eastAsia="Calibri" w:hint="cs"/>
          <w:sz w:val="24"/>
          <w:rtl/>
          <w:lang w:eastAsia="en-US"/>
        </w:rPr>
        <w:t>הודעת</w:t>
      </w:r>
      <w:r w:rsidRPr="0038338B">
        <w:rPr>
          <w:rFonts w:eastAsia="Calibri"/>
          <w:sz w:val="24"/>
          <w:rtl/>
          <w:lang w:eastAsia="en-US"/>
        </w:rPr>
        <w:t xml:space="preserve"> </w:t>
      </w:r>
      <w:r w:rsidRPr="0038338B">
        <w:rPr>
          <w:rFonts w:eastAsia="Calibri" w:hint="cs"/>
          <w:sz w:val="24"/>
          <w:rtl/>
          <w:lang w:eastAsia="en-US"/>
        </w:rPr>
        <w:t>דחיה</w:t>
      </w:r>
      <w:r w:rsidRPr="0038338B">
        <w:rPr>
          <w:rFonts w:eastAsia="Calibri"/>
          <w:sz w:val="24"/>
          <w:rtl/>
          <w:lang w:eastAsia="en-US"/>
        </w:rPr>
        <w:t xml:space="preserve"> </w:t>
      </w:r>
      <w:r w:rsidRPr="0038338B">
        <w:rPr>
          <w:rFonts w:eastAsia="Calibri" w:hint="cs"/>
          <w:sz w:val="24"/>
          <w:rtl/>
          <w:lang w:eastAsia="en-US"/>
        </w:rPr>
        <w:t>תכלול</w:t>
      </w:r>
      <w:r w:rsidRPr="0038338B">
        <w:rPr>
          <w:rFonts w:eastAsia="Calibri"/>
          <w:sz w:val="24"/>
          <w:rtl/>
          <w:lang w:eastAsia="en-US"/>
        </w:rPr>
        <w:t xml:space="preserve"> </w:t>
      </w:r>
      <w:r w:rsidRPr="0038338B">
        <w:rPr>
          <w:rFonts w:eastAsia="Calibri" w:hint="cs"/>
          <w:sz w:val="24"/>
          <w:rtl/>
          <w:lang w:eastAsia="en-US"/>
        </w:rPr>
        <w:t>התייחסות</w:t>
      </w:r>
      <w:r w:rsidRPr="0038338B">
        <w:rPr>
          <w:rFonts w:eastAsia="Calibri"/>
          <w:sz w:val="24"/>
          <w:rtl/>
          <w:lang w:eastAsia="en-US"/>
        </w:rPr>
        <w:t xml:space="preserve"> </w:t>
      </w:r>
      <w:r w:rsidRPr="0038338B">
        <w:rPr>
          <w:rFonts w:eastAsia="Calibri" w:hint="cs"/>
          <w:sz w:val="24"/>
          <w:rtl/>
          <w:lang w:eastAsia="en-US"/>
        </w:rPr>
        <w:t>לחוות</w:t>
      </w:r>
      <w:r w:rsidRPr="0038338B">
        <w:rPr>
          <w:rFonts w:eastAsia="Calibri"/>
          <w:sz w:val="24"/>
          <w:rtl/>
          <w:lang w:eastAsia="en-US"/>
        </w:rPr>
        <w:t xml:space="preserve"> </w:t>
      </w:r>
      <w:r w:rsidRPr="0038338B">
        <w:rPr>
          <w:rFonts w:eastAsia="Calibri" w:hint="cs"/>
          <w:sz w:val="24"/>
          <w:rtl/>
          <w:lang w:eastAsia="en-US"/>
        </w:rPr>
        <w:t>דעת</w:t>
      </w:r>
      <w:r w:rsidRPr="0038338B">
        <w:rPr>
          <w:rFonts w:eastAsia="Calibri"/>
          <w:sz w:val="24"/>
          <w:rtl/>
          <w:lang w:eastAsia="en-US"/>
        </w:rPr>
        <w:t xml:space="preserve"> </w:t>
      </w:r>
      <w:r w:rsidRPr="0038338B">
        <w:rPr>
          <w:rFonts w:eastAsia="Calibri" w:hint="cs"/>
          <w:sz w:val="24"/>
          <w:rtl/>
          <w:lang w:eastAsia="en-US"/>
        </w:rPr>
        <w:t>מומחה</w:t>
      </w:r>
      <w:r w:rsidRPr="0038338B">
        <w:rPr>
          <w:rFonts w:eastAsia="Calibri"/>
          <w:sz w:val="24"/>
          <w:rtl/>
          <w:lang w:eastAsia="en-US"/>
        </w:rPr>
        <w:t xml:space="preserve"> </w:t>
      </w:r>
      <w:r w:rsidRPr="0038338B">
        <w:rPr>
          <w:rFonts w:eastAsia="Calibri" w:hint="cs"/>
          <w:sz w:val="24"/>
          <w:rtl/>
          <w:lang w:eastAsia="en-US"/>
        </w:rPr>
        <w:t>שהוגשה</w:t>
      </w:r>
      <w:r w:rsidRPr="0038338B">
        <w:rPr>
          <w:rFonts w:eastAsia="Calibri"/>
          <w:sz w:val="24"/>
          <w:rtl/>
          <w:lang w:eastAsia="en-US"/>
        </w:rPr>
        <w:t xml:space="preserve"> </w:t>
      </w:r>
      <w:r w:rsidRPr="0038338B">
        <w:rPr>
          <w:rFonts w:eastAsia="Calibri" w:hint="cs"/>
          <w:sz w:val="24"/>
          <w:rtl/>
          <w:lang w:eastAsia="en-US"/>
        </w:rPr>
        <w:t>מטעם</w:t>
      </w:r>
      <w:r w:rsidRPr="0038338B">
        <w:rPr>
          <w:rFonts w:eastAsia="Calibri"/>
          <w:sz w:val="24"/>
          <w:rtl/>
          <w:lang w:eastAsia="en-US"/>
        </w:rPr>
        <w:t xml:space="preserve"> </w:t>
      </w:r>
      <w:r w:rsidRPr="0038338B">
        <w:rPr>
          <w:rFonts w:eastAsia="Calibri" w:hint="cs"/>
          <w:sz w:val="24"/>
          <w:rtl/>
          <w:lang w:eastAsia="en-US"/>
        </w:rPr>
        <w:t>התובע</w:t>
      </w:r>
      <w:r w:rsidRPr="0038338B">
        <w:rPr>
          <w:rFonts w:eastAsia="Calibri"/>
          <w:sz w:val="24"/>
          <w:rtl/>
          <w:lang w:eastAsia="en-US"/>
        </w:rPr>
        <w:t xml:space="preserve">, </w:t>
      </w:r>
      <w:r w:rsidRPr="0038338B">
        <w:rPr>
          <w:rFonts w:eastAsia="Calibri" w:hint="cs"/>
          <w:sz w:val="24"/>
          <w:rtl/>
          <w:lang w:eastAsia="en-US"/>
        </w:rPr>
        <w:t>ככל שהוגשה וככל שהיא רלוונטית לנימוקי הדחיה, תוך</w:t>
      </w:r>
      <w:r w:rsidRPr="0038338B">
        <w:rPr>
          <w:rFonts w:eastAsia="Calibri"/>
          <w:sz w:val="24"/>
          <w:rtl/>
          <w:lang w:eastAsia="en-US"/>
        </w:rPr>
        <w:t xml:space="preserve"> </w:t>
      </w:r>
      <w:r w:rsidRPr="0038338B">
        <w:rPr>
          <w:rFonts w:eastAsia="Calibri" w:hint="cs"/>
          <w:sz w:val="24"/>
          <w:rtl/>
          <w:lang w:eastAsia="en-US"/>
        </w:rPr>
        <w:t>מתן הסבר מפורט מדוע הוחלט שלא לקבל את האמור בה</w:t>
      </w:r>
      <w:r w:rsidRPr="0038338B">
        <w:rPr>
          <w:rFonts w:eastAsia="Calibri"/>
          <w:sz w:val="24"/>
          <w:rtl/>
          <w:lang w:eastAsia="en-US"/>
        </w:rPr>
        <w:t xml:space="preserve">.    </w:t>
      </w:r>
    </w:p>
    <w:p w:rsidR="0038338B" w:rsidRPr="0038338B" w:rsidRDefault="0038338B" w:rsidP="0038338B">
      <w:pPr>
        <w:numPr>
          <w:ilvl w:val="0"/>
          <w:numId w:val="26"/>
        </w:numPr>
        <w:overflowPunct/>
        <w:autoSpaceDE/>
        <w:autoSpaceDN/>
        <w:adjustRightInd/>
        <w:spacing w:line="360" w:lineRule="auto"/>
        <w:ind w:left="849"/>
        <w:contextualSpacing/>
        <w:jc w:val="both"/>
        <w:textAlignment w:val="auto"/>
        <w:rPr>
          <w:rFonts w:eastAsia="Calibri"/>
          <w:sz w:val="24"/>
          <w:lang w:eastAsia="en-US"/>
        </w:rPr>
      </w:pPr>
      <w:r w:rsidRPr="0038338B">
        <w:rPr>
          <w:rFonts w:eastAsia="Calibri" w:hint="cs"/>
          <w:sz w:val="24"/>
          <w:rtl/>
          <w:lang w:eastAsia="en-US"/>
        </w:rPr>
        <w:t>נימוקי</w:t>
      </w:r>
      <w:r w:rsidRPr="0038338B">
        <w:rPr>
          <w:rFonts w:eastAsia="Calibri"/>
          <w:sz w:val="24"/>
          <w:rtl/>
          <w:lang w:eastAsia="en-US"/>
        </w:rPr>
        <w:t xml:space="preserve"> דחיה </w:t>
      </w:r>
      <w:r w:rsidRPr="0038338B">
        <w:rPr>
          <w:rFonts w:eastAsia="Calibri" w:hint="cs"/>
          <w:sz w:val="24"/>
          <w:rtl/>
          <w:lang w:eastAsia="en-US"/>
        </w:rPr>
        <w:t>יכללו</w:t>
      </w:r>
      <w:r w:rsidRPr="0038338B">
        <w:rPr>
          <w:rFonts w:eastAsia="Calibri"/>
          <w:sz w:val="24"/>
          <w:rtl/>
          <w:lang w:eastAsia="en-US"/>
        </w:rPr>
        <w:t xml:space="preserve"> פירוט </w:t>
      </w:r>
      <w:r w:rsidRPr="0038338B">
        <w:rPr>
          <w:rFonts w:eastAsia="Calibri" w:hint="cs"/>
          <w:sz w:val="24"/>
          <w:rtl/>
          <w:lang w:eastAsia="en-US"/>
        </w:rPr>
        <w:t xml:space="preserve">בדבר </w:t>
      </w:r>
      <w:r w:rsidRPr="0038338B">
        <w:rPr>
          <w:rFonts w:eastAsia="Calibri"/>
          <w:sz w:val="24"/>
          <w:rtl/>
          <w:lang w:eastAsia="en-US"/>
        </w:rPr>
        <w:t>ה</w:t>
      </w:r>
      <w:r w:rsidRPr="0038338B">
        <w:rPr>
          <w:rFonts w:eastAsia="Calibri" w:hint="cs"/>
          <w:sz w:val="24"/>
          <w:rtl/>
          <w:lang w:eastAsia="en-US"/>
        </w:rPr>
        <w:t xml:space="preserve">עובדות </w:t>
      </w:r>
      <w:r w:rsidRPr="0038338B">
        <w:rPr>
          <w:rFonts w:eastAsia="Calibri"/>
          <w:sz w:val="24"/>
          <w:rtl/>
          <w:lang w:eastAsia="en-US"/>
        </w:rPr>
        <w:t xml:space="preserve">שנלקחו בחשבון במסגרת ההחלטה לדחות את התביעה; </w:t>
      </w:r>
      <w:r w:rsidRPr="0038338B">
        <w:rPr>
          <w:rFonts w:eastAsia="Calibri" w:hint="cs"/>
          <w:sz w:val="24"/>
          <w:rtl/>
          <w:lang w:eastAsia="en-US"/>
        </w:rPr>
        <w:t>ככל</w:t>
      </w:r>
      <w:r w:rsidRPr="0038338B">
        <w:rPr>
          <w:rFonts w:eastAsia="Calibri"/>
          <w:sz w:val="24"/>
          <w:rtl/>
          <w:lang w:eastAsia="en-US"/>
        </w:rPr>
        <w:t xml:space="preserve"> </w:t>
      </w:r>
      <w:r w:rsidRPr="0038338B">
        <w:rPr>
          <w:rFonts w:eastAsia="Calibri" w:hint="cs"/>
          <w:sz w:val="24"/>
          <w:rtl/>
          <w:lang w:eastAsia="en-US"/>
        </w:rPr>
        <w:t>שההחלטה</w:t>
      </w:r>
      <w:r w:rsidRPr="0038338B">
        <w:rPr>
          <w:rFonts w:eastAsia="Calibri"/>
          <w:sz w:val="24"/>
          <w:rtl/>
          <w:lang w:eastAsia="en-US"/>
        </w:rPr>
        <w:t xml:space="preserve"> </w:t>
      </w:r>
      <w:r w:rsidRPr="0038338B">
        <w:rPr>
          <w:rFonts w:eastAsia="Calibri" w:hint="cs"/>
          <w:sz w:val="24"/>
          <w:rtl/>
          <w:lang w:eastAsia="en-US"/>
        </w:rPr>
        <w:t>לדחות</w:t>
      </w:r>
      <w:r w:rsidRPr="0038338B">
        <w:rPr>
          <w:rFonts w:eastAsia="Calibri"/>
          <w:sz w:val="24"/>
          <w:rtl/>
          <w:lang w:eastAsia="en-US"/>
        </w:rPr>
        <w:t xml:space="preserve"> </w:t>
      </w:r>
      <w:r w:rsidRPr="0038338B">
        <w:rPr>
          <w:rFonts w:eastAsia="Calibri" w:hint="cs"/>
          <w:sz w:val="24"/>
          <w:rtl/>
          <w:lang w:eastAsia="en-US"/>
        </w:rPr>
        <w:t>את התביעה התבססה</w:t>
      </w:r>
      <w:r w:rsidRPr="0038338B">
        <w:rPr>
          <w:rFonts w:eastAsia="Calibri"/>
          <w:sz w:val="24"/>
          <w:rtl/>
          <w:lang w:eastAsia="en-US"/>
        </w:rPr>
        <w:t xml:space="preserve"> </w:t>
      </w:r>
      <w:r w:rsidRPr="0038338B">
        <w:rPr>
          <w:rFonts w:eastAsia="Calibri" w:hint="cs"/>
          <w:sz w:val="24"/>
          <w:rtl/>
          <w:lang w:eastAsia="en-US"/>
        </w:rPr>
        <w:t>על</w:t>
      </w:r>
      <w:r w:rsidRPr="0038338B">
        <w:rPr>
          <w:rFonts w:eastAsia="Calibri"/>
          <w:sz w:val="24"/>
          <w:rtl/>
          <w:lang w:eastAsia="en-US"/>
        </w:rPr>
        <w:t xml:space="preserve"> </w:t>
      </w:r>
      <w:r w:rsidRPr="0038338B">
        <w:rPr>
          <w:rFonts w:eastAsia="Calibri" w:hint="cs"/>
          <w:sz w:val="24"/>
          <w:rtl/>
          <w:lang w:eastAsia="en-US"/>
        </w:rPr>
        <w:t>מסמכים</w:t>
      </w:r>
      <w:r w:rsidRPr="0038338B">
        <w:rPr>
          <w:rFonts w:eastAsia="Calibri"/>
          <w:sz w:val="24"/>
          <w:rtl/>
          <w:lang w:eastAsia="en-US"/>
        </w:rPr>
        <w:t xml:space="preserve"> </w:t>
      </w:r>
      <w:r w:rsidRPr="0038338B">
        <w:rPr>
          <w:rFonts w:eastAsia="Calibri" w:hint="cs"/>
          <w:sz w:val="24"/>
          <w:rtl/>
          <w:lang w:eastAsia="en-US"/>
        </w:rPr>
        <w:t>כלשהם</w:t>
      </w:r>
      <w:r w:rsidRPr="0038338B">
        <w:rPr>
          <w:rFonts w:eastAsia="Calibri"/>
          <w:sz w:val="24"/>
          <w:rtl/>
          <w:lang w:eastAsia="en-US"/>
        </w:rPr>
        <w:t xml:space="preserve">, </w:t>
      </w:r>
      <w:r w:rsidRPr="0038338B">
        <w:rPr>
          <w:rFonts w:eastAsia="Calibri" w:hint="cs"/>
          <w:sz w:val="24"/>
          <w:rtl/>
          <w:lang w:eastAsia="en-US"/>
        </w:rPr>
        <w:t>יש</w:t>
      </w:r>
      <w:r w:rsidRPr="0038338B">
        <w:rPr>
          <w:rFonts w:eastAsia="Calibri"/>
          <w:sz w:val="24"/>
          <w:rtl/>
          <w:lang w:eastAsia="en-US"/>
        </w:rPr>
        <w:t xml:space="preserve"> </w:t>
      </w:r>
      <w:r w:rsidRPr="0038338B">
        <w:rPr>
          <w:rFonts w:eastAsia="Calibri" w:hint="cs"/>
          <w:sz w:val="24"/>
          <w:rtl/>
          <w:lang w:eastAsia="en-US"/>
        </w:rPr>
        <w:t>להפנות</w:t>
      </w:r>
      <w:r w:rsidRPr="0038338B">
        <w:rPr>
          <w:rFonts w:eastAsia="Calibri"/>
          <w:sz w:val="24"/>
          <w:rtl/>
          <w:lang w:eastAsia="en-US"/>
        </w:rPr>
        <w:t xml:space="preserve"> אל</w:t>
      </w:r>
      <w:r w:rsidRPr="0038338B">
        <w:rPr>
          <w:rFonts w:eastAsia="Calibri" w:hint="cs"/>
          <w:sz w:val="24"/>
          <w:rtl/>
          <w:lang w:eastAsia="en-US"/>
        </w:rPr>
        <w:t>יהם</w:t>
      </w:r>
      <w:r w:rsidRPr="0038338B">
        <w:rPr>
          <w:rFonts w:eastAsia="Calibri"/>
          <w:sz w:val="24"/>
          <w:rtl/>
          <w:lang w:eastAsia="en-US"/>
        </w:rPr>
        <w:t xml:space="preserve"> </w:t>
      </w:r>
      <w:r w:rsidRPr="0038338B">
        <w:rPr>
          <w:rFonts w:eastAsia="Calibri" w:hint="cs"/>
          <w:sz w:val="24"/>
          <w:rtl/>
          <w:lang w:eastAsia="en-US"/>
        </w:rPr>
        <w:t>ולאפשר</w:t>
      </w:r>
      <w:r w:rsidRPr="0038338B">
        <w:rPr>
          <w:rFonts w:eastAsia="Calibri"/>
          <w:sz w:val="24"/>
          <w:rtl/>
          <w:lang w:eastAsia="en-US"/>
        </w:rPr>
        <w:t xml:space="preserve"> </w:t>
      </w:r>
      <w:r w:rsidRPr="0038338B">
        <w:rPr>
          <w:rFonts w:eastAsia="Calibri" w:hint="cs"/>
          <w:sz w:val="24"/>
          <w:rtl/>
          <w:lang w:eastAsia="en-US"/>
        </w:rPr>
        <w:t>לתובע</w:t>
      </w:r>
      <w:r w:rsidRPr="0038338B">
        <w:rPr>
          <w:rFonts w:eastAsia="Calibri"/>
          <w:sz w:val="24"/>
          <w:rtl/>
          <w:lang w:eastAsia="en-US"/>
        </w:rPr>
        <w:t xml:space="preserve"> </w:t>
      </w:r>
      <w:r w:rsidRPr="0038338B">
        <w:rPr>
          <w:rFonts w:eastAsia="Calibri" w:hint="cs"/>
          <w:sz w:val="24"/>
          <w:rtl/>
          <w:lang w:eastAsia="en-US"/>
        </w:rPr>
        <w:t>לקבלם</w:t>
      </w:r>
      <w:r w:rsidRPr="0038338B">
        <w:rPr>
          <w:rFonts w:eastAsia="Calibri"/>
          <w:sz w:val="24"/>
          <w:rtl/>
          <w:lang w:eastAsia="en-US"/>
        </w:rPr>
        <w:t xml:space="preserve"> </w:t>
      </w:r>
      <w:r w:rsidRPr="0038338B">
        <w:rPr>
          <w:rFonts w:eastAsia="Calibri" w:hint="cs"/>
          <w:sz w:val="24"/>
          <w:rtl/>
          <w:lang w:eastAsia="en-US"/>
        </w:rPr>
        <w:t>לפי</w:t>
      </w:r>
      <w:r w:rsidRPr="0038338B">
        <w:rPr>
          <w:rFonts w:eastAsia="Calibri"/>
          <w:sz w:val="24"/>
          <w:rtl/>
          <w:lang w:eastAsia="en-US"/>
        </w:rPr>
        <w:t xml:space="preserve"> </w:t>
      </w:r>
      <w:r w:rsidRPr="0038338B">
        <w:rPr>
          <w:rFonts w:eastAsia="Calibri" w:hint="cs"/>
          <w:sz w:val="24"/>
          <w:rtl/>
          <w:lang w:eastAsia="en-US"/>
        </w:rPr>
        <w:t>דרישה. גוף</w:t>
      </w:r>
      <w:r w:rsidRPr="0038338B">
        <w:rPr>
          <w:rFonts w:eastAsia="Calibri"/>
          <w:sz w:val="24"/>
          <w:rtl/>
          <w:lang w:eastAsia="en-US"/>
        </w:rPr>
        <w:t xml:space="preserve"> מוסדי </w:t>
      </w:r>
      <w:r w:rsidRPr="0038338B">
        <w:rPr>
          <w:rFonts w:eastAsia="Calibri" w:hint="cs"/>
          <w:sz w:val="24"/>
          <w:rtl/>
          <w:lang w:eastAsia="en-US"/>
        </w:rPr>
        <w:t>יהיה</w:t>
      </w:r>
      <w:r w:rsidRPr="0038338B">
        <w:rPr>
          <w:rFonts w:eastAsia="Calibri"/>
          <w:sz w:val="24"/>
          <w:rtl/>
          <w:lang w:eastAsia="en-US"/>
        </w:rPr>
        <w:t xml:space="preserve"> </w:t>
      </w:r>
      <w:r w:rsidRPr="0038338B">
        <w:rPr>
          <w:rFonts w:eastAsia="Calibri" w:hint="cs"/>
          <w:sz w:val="24"/>
          <w:rtl/>
          <w:lang w:eastAsia="en-US"/>
        </w:rPr>
        <w:t>רשאי</w:t>
      </w:r>
      <w:r w:rsidRPr="0038338B">
        <w:rPr>
          <w:rFonts w:eastAsia="Calibri"/>
          <w:sz w:val="24"/>
          <w:rtl/>
          <w:lang w:eastAsia="en-US"/>
        </w:rPr>
        <w:t xml:space="preserve"> </w:t>
      </w:r>
      <w:r w:rsidRPr="0038338B">
        <w:rPr>
          <w:rFonts w:eastAsia="Calibri" w:hint="cs"/>
          <w:sz w:val="24"/>
          <w:rtl/>
          <w:lang w:eastAsia="en-US"/>
        </w:rPr>
        <w:t>שלא</w:t>
      </w:r>
      <w:r w:rsidRPr="0038338B">
        <w:rPr>
          <w:rFonts w:eastAsia="Calibri"/>
          <w:sz w:val="24"/>
          <w:rtl/>
          <w:lang w:eastAsia="en-US"/>
        </w:rPr>
        <w:t xml:space="preserve"> למסור </w:t>
      </w:r>
      <w:r w:rsidRPr="0038338B">
        <w:rPr>
          <w:rFonts w:eastAsia="Calibri" w:hint="cs"/>
          <w:sz w:val="24"/>
          <w:rtl/>
          <w:lang w:eastAsia="en-US"/>
        </w:rPr>
        <w:t>מסמכים</w:t>
      </w:r>
      <w:r w:rsidRPr="0038338B">
        <w:rPr>
          <w:rFonts w:eastAsia="Calibri"/>
          <w:sz w:val="24"/>
          <w:rtl/>
          <w:lang w:eastAsia="en-US"/>
        </w:rPr>
        <w:t xml:space="preserve"> ש</w:t>
      </w:r>
      <w:r w:rsidRPr="0038338B">
        <w:rPr>
          <w:rFonts w:eastAsia="Calibri" w:hint="cs"/>
          <w:sz w:val="24"/>
          <w:rtl/>
          <w:lang w:eastAsia="en-US"/>
        </w:rPr>
        <w:t>הם</w:t>
      </w:r>
      <w:r w:rsidRPr="0038338B">
        <w:rPr>
          <w:rFonts w:eastAsia="Calibri"/>
          <w:sz w:val="24"/>
          <w:rtl/>
          <w:lang w:eastAsia="en-US"/>
        </w:rPr>
        <w:t xml:space="preserve"> </w:t>
      </w:r>
      <w:r w:rsidRPr="0038338B">
        <w:rPr>
          <w:rFonts w:eastAsia="Calibri" w:hint="cs"/>
          <w:sz w:val="24"/>
          <w:rtl/>
          <w:lang w:eastAsia="en-US"/>
        </w:rPr>
        <w:t>חסויים על</w:t>
      </w:r>
      <w:r w:rsidRPr="0038338B">
        <w:rPr>
          <w:rFonts w:eastAsia="Calibri"/>
          <w:sz w:val="24"/>
          <w:rtl/>
          <w:lang w:eastAsia="en-US"/>
        </w:rPr>
        <w:t xml:space="preserve"> </w:t>
      </w:r>
      <w:r w:rsidRPr="0038338B">
        <w:rPr>
          <w:rFonts w:eastAsia="Calibri" w:hint="cs"/>
          <w:sz w:val="24"/>
          <w:rtl/>
          <w:lang w:eastAsia="en-US"/>
        </w:rPr>
        <w:t>פי</w:t>
      </w:r>
      <w:r w:rsidRPr="0038338B">
        <w:rPr>
          <w:rFonts w:eastAsia="Calibri"/>
          <w:sz w:val="24"/>
          <w:rtl/>
          <w:lang w:eastAsia="en-US"/>
        </w:rPr>
        <w:t xml:space="preserve"> </w:t>
      </w:r>
      <w:r w:rsidRPr="0038338B">
        <w:rPr>
          <w:rFonts w:eastAsia="Calibri" w:hint="cs"/>
          <w:sz w:val="24"/>
          <w:rtl/>
          <w:lang w:eastAsia="en-US"/>
        </w:rPr>
        <w:t>דין</w:t>
      </w:r>
      <w:r w:rsidRPr="0038338B">
        <w:rPr>
          <w:rFonts w:eastAsia="Calibri"/>
          <w:sz w:val="24"/>
          <w:rtl/>
          <w:lang w:eastAsia="en-US"/>
        </w:rPr>
        <w:t>, ובלבד שי</w:t>
      </w:r>
      <w:r w:rsidRPr="0038338B">
        <w:rPr>
          <w:rFonts w:eastAsia="Calibri" w:hint="cs"/>
          <w:sz w:val="24"/>
          <w:rtl/>
          <w:lang w:eastAsia="en-US"/>
        </w:rPr>
        <w:t>ידע</w:t>
      </w:r>
      <w:r w:rsidRPr="0038338B">
        <w:rPr>
          <w:rFonts w:eastAsia="Calibri"/>
          <w:sz w:val="24"/>
          <w:rtl/>
          <w:lang w:eastAsia="en-US"/>
        </w:rPr>
        <w:t xml:space="preserve"> את התובע </w:t>
      </w:r>
      <w:r w:rsidRPr="0038338B">
        <w:rPr>
          <w:rFonts w:eastAsia="Calibri" w:hint="cs"/>
          <w:sz w:val="24"/>
          <w:rtl/>
          <w:lang w:eastAsia="en-US"/>
        </w:rPr>
        <w:t xml:space="preserve">על כך </w:t>
      </w:r>
      <w:r w:rsidRPr="0038338B">
        <w:rPr>
          <w:rFonts w:eastAsia="Calibri"/>
          <w:sz w:val="24"/>
          <w:rtl/>
          <w:lang w:eastAsia="en-US"/>
        </w:rPr>
        <w:t xml:space="preserve">שיש בידיו מסמכים שהוא נמנע </w:t>
      </w:r>
      <w:proofErr w:type="spellStart"/>
      <w:r w:rsidRPr="0038338B">
        <w:rPr>
          <w:rFonts w:eastAsia="Calibri" w:hint="cs"/>
          <w:sz w:val="24"/>
          <w:rtl/>
          <w:lang w:eastAsia="en-US"/>
        </w:rPr>
        <w:t>מלצרפם</w:t>
      </w:r>
      <w:proofErr w:type="spellEnd"/>
      <w:r w:rsidRPr="0038338B">
        <w:rPr>
          <w:rFonts w:eastAsia="Calibri"/>
          <w:sz w:val="24"/>
          <w:rtl/>
          <w:lang w:eastAsia="en-US"/>
        </w:rPr>
        <w:t xml:space="preserve"> בשל חיסיון</w:t>
      </w:r>
      <w:r w:rsidRPr="0038338B">
        <w:rPr>
          <w:rFonts w:eastAsia="Calibri" w:hint="cs"/>
          <w:sz w:val="24"/>
          <w:rtl/>
          <w:lang w:eastAsia="en-US"/>
        </w:rPr>
        <w:t>, ויצרף להודעה הסבר מדוע הוא סבור שהמסמכים חסויים.</w:t>
      </w:r>
    </w:p>
    <w:p w:rsidR="0038338B" w:rsidRPr="0038338B" w:rsidRDefault="0038338B" w:rsidP="0038338B">
      <w:pPr>
        <w:numPr>
          <w:ilvl w:val="0"/>
          <w:numId w:val="26"/>
        </w:numPr>
        <w:overflowPunct/>
        <w:autoSpaceDE/>
        <w:autoSpaceDN/>
        <w:adjustRightInd/>
        <w:spacing w:line="360" w:lineRule="auto"/>
        <w:ind w:left="849"/>
        <w:contextualSpacing/>
        <w:jc w:val="both"/>
        <w:textAlignment w:val="auto"/>
        <w:rPr>
          <w:rFonts w:eastAsia="Calibri"/>
          <w:sz w:val="24"/>
          <w:lang w:eastAsia="en-US"/>
        </w:rPr>
      </w:pPr>
      <w:r w:rsidRPr="0038338B">
        <w:rPr>
          <w:rFonts w:eastAsia="Calibri" w:hint="cs"/>
          <w:sz w:val="24"/>
          <w:rtl/>
          <w:lang w:eastAsia="en-US"/>
        </w:rPr>
        <w:t>פרוטוקול</w:t>
      </w:r>
      <w:r w:rsidRPr="0038338B">
        <w:rPr>
          <w:rFonts w:eastAsia="Calibri"/>
          <w:sz w:val="24"/>
          <w:rtl/>
          <w:lang w:eastAsia="en-US"/>
        </w:rPr>
        <w:t xml:space="preserve"> </w:t>
      </w:r>
      <w:r w:rsidRPr="0038338B">
        <w:rPr>
          <w:rFonts w:eastAsia="Calibri" w:hint="cs"/>
          <w:sz w:val="24"/>
          <w:rtl/>
          <w:lang w:eastAsia="en-US"/>
        </w:rPr>
        <w:t>ועדת ערר ישקף</w:t>
      </w:r>
      <w:r w:rsidRPr="0038338B">
        <w:rPr>
          <w:rFonts w:eastAsia="Calibri"/>
          <w:sz w:val="24"/>
          <w:rtl/>
          <w:lang w:eastAsia="en-US"/>
        </w:rPr>
        <w:t xml:space="preserve"> </w:t>
      </w:r>
      <w:r w:rsidRPr="0038338B">
        <w:rPr>
          <w:rFonts w:eastAsia="Calibri" w:hint="cs"/>
          <w:sz w:val="24"/>
          <w:rtl/>
          <w:lang w:eastAsia="en-US"/>
        </w:rPr>
        <w:t>את</w:t>
      </w:r>
      <w:r w:rsidRPr="0038338B">
        <w:rPr>
          <w:rFonts w:eastAsia="Calibri"/>
          <w:sz w:val="24"/>
          <w:rtl/>
          <w:lang w:eastAsia="en-US"/>
        </w:rPr>
        <w:t xml:space="preserve"> </w:t>
      </w:r>
      <w:r w:rsidRPr="0038338B">
        <w:rPr>
          <w:rFonts w:eastAsia="Calibri" w:hint="cs"/>
          <w:sz w:val="24"/>
          <w:rtl/>
          <w:lang w:eastAsia="en-US"/>
        </w:rPr>
        <w:t>עיקרי</w:t>
      </w:r>
      <w:r w:rsidRPr="0038338B">
        <w:rPr>
          <w:rFonts w:eastAsia="Calibri"/>
          <w:sz w:val="24"/>
          <w:rtl/>
          <w:lang w:eastAsia="en-US"/>
        </w:rPr>
        <w:t xml:space="preserve"> </w:t>
      </w:r>
      <w:r w:rsidRPr="0038338B">
        <w:rPr>
          <w:rFonts w:eastAsia="Calibri" w:hint="cs"/>
          <w:sz w:val="24"/>
          <w:rtl/>
          <w:lang w:eastAsia="en-US"/>
        </w:rPr>
        <w:t>הדיון</w:t>
      </w:r>
      <w:r w:rsidRPr="0038338B">
        <w:rPr>
          <w:rFonts w:eastAsia="Calibri"/>
          <w:sz w:val="24"/>
          <w:rtl/>
          <w:lang w:eastAsia="en-US"/>
        </w:rPr>
        <w:t xml:space="preserve"> </w:t>
      </w:r>
      <w:r w:rsidRPr="0038338B">
        <w:rPr>
          <w:rFonts w:eastAsia="Calibri" w:hint="cs"/>
          <w:sz w:val="24"/>
          <w:rtl/>
          <w:lang w:eastAsia="en-US"/>
        </w:rPr>
        <w:t>שנערך</w:t>
      </w:r>
      <w:r w:rsidRPr="0038338B">
        <w:rPr>
          <w:rFonts w:eastAsia="Calibri"/>
          <w:sz w:val="24"/>
          <w:rtl/>
          <w:lang w:eastAsia="en-US"/>
        </w:rPr>
        <w:t xml:space="preserve"> </w:t>
      </w:r>
      <w:r w:rsidRPr="0038338B">
        <w:rPr>
          <w:rFonts w:eastAsia="Calibri" w:hint="cs"/>
          <w:sz w:val="24"/>
          <w:rtl/>
          <w:lang w:eastAsia="en-US"/>
        </w:rPr>
        <w:t>בוועדה</w:t>
      </w:r>
      <w:r w:rsidRPr="0038338B">
        <w:rPr>
          <w:rFonts w:eastAsia="Calibri"/>
          <w:sz w:val="24"/>
          <w:rtl/>
          <w:lang w:eastAsia="en-US"/>
        </w:rPr>
        <w:t>,</w:t>
      </w:r>
      <w:r w:rsidRPr="0038338B">
        <w:rPr>
          <w:rFonts w:eastAsia="Calibri" w:hint="cs"/>
          <w:sz w:val="24"/>
          <w:rtl/>
          <w:lang w:eastAsia="en-US"/>
        </w:rPr>
        <w:t xml:space="preserve"> ככל שנערך דיון כאמור,</w:t>
      </w:r>
      <w:r w:rsidRPr="0038338B">
        <w:rPr>
          <w:rFonts w:eastAsia="Calibri"/>
          <w:sz w:val="24"/>
          <w:rtl/>
          <w:lang w:eastAsia="en-US"/>
        </w:rPr>
        <w:t xml:space="preserve"> </w:t>
      </w:r>
      <w:r w:rsidRPr="0038338B">
        <w:rPr>
          <w:rFonts w:eastAsia="Calibri" w:hint="cs"/>
          <w:sz w:val="24"/>
          <w:rtl/>
          <w:lang w:eastAsia="en-US"/>
        </w:rPr>
        <w:t>לרבות</w:t>
      </w:r>
      <w:r w:rsidRPr="0038338B">
        <w:rPr>
          <w:rFonts w:eastAsia="Calibri"/>
          <w:sz w:val="24"/>
          <w:rtl/>
          <w:lang w:eastAsia="en-US"/>
        </w:rPr>
        <w:t xml:space="preserve"> </w:t>
      </w:r>
      <w:r w:rsidRPr="0038338B">
        <w:rPr>
          <w:rFonts w:eastAsia="Calibri" w:hint="cs"/>
          <w:sz w:val="24"/>
          <w:rtl/>
          <w:lang w:eastAsia="en-US"/>
        </w:rPr>
        <w:t>עובדות שנלקחו</w:t>
      </w:r>
      <w:r w:rsidRPr="0038338B">
        <w:rPr>
          <w:rFonts w:eastAsia="Calibri"/>
          <w:sz w:val="24"/>
          <w:rtl/>
          <w:lang w:eastAsia="en-US"/>
        </w:rPr>
        <w:t xml:space="preserve"> </w:t>
      </w:r>
      <w:r w:rsidRPr="0038338B">
        <w:rPr>
          <w:rFonts w:eastAsia="Calibri" w:hint="cs"/>
          <w:sz w:val="24"/>
          <w:rtl/>
          <w:lang w:eastAsia="en-US"/>
        </w:rPr>
        <w:t>בחשבון</w:t>
      </w:r>
      <w:r w:rsidRPr="0038338B">
        <w:rPr>
          <w:rFonts w:eastAsia="Calibri"/>
          <w:sz w:val="24"/>
          <w:rtl/>
          <w:lang w:eastAsia="en-US"/>
        </w:rPr>
        <w:t xml:space="preserve"> </w:t>
      </w:r>
      <w:r w:rsidRPr="0038338B">
        <w:rPr>
          <w:rFonts w:eastAsia="Calibri" w:hint="cs"/>
          <w:sz w:val="24"/>
          <w:rtl/>
          <w:lang w:eastAsia="en-US"/>
        </w:rPr>
        <w:t>במסגרת</w:t>
      </w:r>
      <w:r w:rsidRPr="0038338B">
        <w:rPr>
          <w:rFonts w:eastAsia="Calibri"/>
          <w:sz w:val="24"/>
          <w:rtl/>
          <w:lang w:eastAsia="en-US"/>
        </w:rPr>
        <w:t xml:space="preserve"> </w:t>
      </w:r>
      <w:r w:rsidRPr="0038338B">
        <w:rPr>
          <w:rFonts w:eastAsia="Calibri" w:hint="cs"/>
          <w:sz w:val="24"/>
          <w:rtl/>
          <w:lang w:eastAsia="en-US"/>
        </w:rPr>
        <w:t>קבלת</w:t>
      </w:r>
      <w:r w:rsidRPr="0038338B">
        <w:rPr>
          <w:rFonts w:eastAsia="Calibri"/>
          <w:sz w:val="24"/>
          <w:rtl/>
          <w:lang w:eastAsia="en-US"/>
        </w:rPr>
        <w:t xml:space="preserve"> </w:t>
      </w:r>
      <w:r w:rsidRPr="0038338B">
        <w:rPr>
          <w:rFonts w:eastAsia="Calibri" w:hint="cs"/>
          <w:sz w:val="24"/>
          <w:rtl/>
          <w:lang w:eastAsia="en-US"/>
        </w:rPr>
        <w:t>ההחלטה</w:t>
      </w:r>
      <w:r w:rsidRPr="0038338B">
        <w:rPr>
          <w:rFonts w:eastAsia="Calibri"/>
          <w:sz w:val="24"/>
          <w:rtl/>
          <w:lang w:eastAsia="en-US"/>
        </w:rPr>
        <w:t xml:space="preserve">, </w:t>
      </w:r>
      <w:r w:rsidRPr="0038338B">
        <w:rPr>
          <w:rFonts w:eastAsia="Calibri" w:hint="cs"/>
          <w:sz w:val="24"/>
          <w:rtl/>
          <w:lang w:eastAsia="en-US"/>
        </w:rPr>
        <w:t>ופירוט העמדות</w:t>
      </w:r>
      <w:r w:rsidRPr="0038338B">
        <w:rPr>
          <w:rFonts w:eastAsia="Calibri"/>
          <w:sz w:val="24"/>
          <w:rtl/>
          <w:lang w:eastAsia="en-US"/>
        </w:rPr>
        <w:t xml:space="preserve"> </w:t>
      </w:r>
      <w:r w:rsidRPr="0038338B">
        <w:rPr>
          <w:rFonts w:eastAsia="Calibri" w:hint="cs"/>
          <w:sz w:val="24"/>
          <w:rtl/>
          <w:lang w:eastAsia="en-US"/>
        </w:rPr>
        <w:t>השונות</w:t>
      </w:r>
      <w:r w:rsidRPr="0038338B">
        <w:rPr>
          <w:rFonts w:eastAsia="Calibri"/>
          <w:sz w:val="24"/>
          <w:rtl/>
          <w:lang w:eastAsia="en-US"/>
        </w:rPr>
        <w:t xml:space="preserve"> </w:t>
      </w:r>
      <w:r w:rsidRPr="0038338B">
        <w:rPr>
          <w:rFonts w:eastAsia="Calibri" w:hint="cs"/>
          <w:sz w:val="24"/>
          <w:rtl/>
          <w:lang w:eastAsia="en-US"/>
        </w:rPr>
        <w:t>שהוצגו</w:t>
      </w:r>
      <w:r w:rsidRPr="0038338B">
        <w:rPr>
          <w:rFonts w:eastAsia="Calibri"/>
          <w:sz w:val="24"/>
          <w:rtl/>
          <w:lang w:eastAsia="en-US"/>
        </w:rPr>
        <w:t xml:space="preserve"> </w:t>
      </w:r>
      <w:r w:rsidRPr="0038338B">
        <w:rPr>
          <w:rFonts w:eastAsia="Calibri" w:hint="cs"/>
          <w:sz w:val="24"/>
          <w:rtl/>
          <w:lang w:eastAsia="en-US"/>
        </w:rPr>
        <w:t xml:space="preserve">בוועדה. לפרוטוקול תצורף </w:t>
      </w:r>
      <w:r w:rsidRPr="0038338B">
        <w:rPr>
          <w:rFonts w:eastAsia="Calibri"/>
          <w:sz w:val="24"/>
          <w:rtl/>
          <w:lang w:eastAsia="en-US"/>
        </w:rPr>
        <w:t>רשימת המסמכים ש</w:t>
      </w:r>
      <w:r w:rsidRPr="0038338B">
        <w:rPr>
          <w:rFonts w:eastAsia="Calibri" w:hint="cs"/>
          <w:sz w:val="24"/>
          <w:rtl/>
          <w:lang w:eastAsia="en-US"/>
        </w:rPr>
        <w:t>הוצגו ל</w:t>
      </w:r>
      <w:r w:rsidRPr="0038338B">
        <w:rPr>
          <w:rFonts w:eastAsia="Calibri"/>
          <w:sz w:val="24"/>
          <w:rtl/>
          <w:lang w:eastAsia="en-US"/>
        </w:rPr>
        <w:t xml:space="preserve">וועדה. </w:t>
      </w:r>
    </w:p>
    <w:p w:rsidR="0038338B" w:rsidRPr="0038338B" w:rsidRDefault="0038338B" w:rsidP="0038338B">
      <w:pPr>
        <w:numPr>
          <w:ilvl w:val="0"/>
          <w:numId w:val="26"/>
        </w:numPr>
        <w:overflowPunct/>
        <w:autoSpaceDE/>
        <w:autoSpaceDN/>
        <w:adjustRightInd/>
        <w:spacing w:line="360" w:lineRule="auto"/>
        <w:ind w:left="849"/>
        <w:contextualSpacing/>
        <w:jc w:val="both"/>
        <w:textAlignment w:val="auto"/>
        <w:rPr>
          <w:rFonts w:eastAsia="Calibri"/>
          <w:sz w:val="24"/>
          <w:lang w:eastAsia="en-US"/>
        </w:rPr>
      </w:pPr>
      <w:r w:rsidRPr="0038338B">
        <w:rPr>
          <w:rFonts w:eastAsia="Calibri" w:hint="cs"/>
          <w:sz w:val="24"/>
          <w:rtl/>
          <w:lang w:eastAsia="en-US"/>
        </w:rPr>
        <w:t>גוף מוסדי לא ידחה תביעה רק מהטעם שגוף מוסדי אחר דחה תביעה הנובעת מאותן נסיבות מבלי ש</w:t>
      </w:r>
      <w:r w:rsidRPr="0038338B">
        <w:rPr>
          <w:rFonts w:eastAsia="Calibri"/>
          <w:sz w:val="24"/>
          <w:rtl/>
          <w:lang w:eastAsia="en-US"/>
        </w:rPr>
        <w:t>בח</w:t>
      </w:r>
      <w:r w:rsidRPr="0038338B">
        <w:rPr>
          <w:rFonts w:eastAsia="Calibri" w:hint="cs"/>
          <w:sz w:val="24"/>
          <w:rtl/>
          <w:lang w:eastAsia="en-US"/>
        </w:rPr>
        <w:t>ן</w:t>
      </w:r>
      <w:r w:rsidRPr="0038338B">
        <w:rPr>
          <w:rFonts w:eastAsia="Calibri"/>
          <w:sz w:val="24"/>
          <w:rtl/>
          <w:lang w:eastAsia="en-US"/>
        </w:rPr>
        <w:t xml:space="preserve"> </w:t>
      </w:r>
      <w:r w:rsidRPr="0038338B">
        <w:rPr>
          <w:rFonts w:eastAsia="Calibri" w:hint="cs"/>
          <w:sz w:val="24"/>
          <w:rtl/>
          <w:lang w:eastAsia="en-US"/>
        </w:rPr>
        <w:t xml:space="preserve">בעצמו, </w:t>
      </w:r>
      <w:r w:rsidRPr="0038338B">
        <w:rPr>
          <w:rFonts w:eastAsia="Calibri"/>
          <w:sz w:val="24"/>
          <w:rtl/>
          <w:lang w:eastAsia="en-US"/>
        </w:rPr>
        <w:t xml:space="preserve">את הממצאים </w:t>
      </w:r>
      <w:r w:rsidRPr="0038338B">
        <w:rPr>
          <w:rFonts w:eastAsia="Calibri" w:hint="cs"/>
          <w:sz w:val="24"/>
          <w:rtl/>
          <w:lang w:eastAsia="en-US"/>
        </w:rPr>
        <w:t>ש</w:t>
      </w:r>
      <w:r w:rsidRPr="0038338B">
        <w:rPr>
          <w:rFonts w:eastAsia="Calibri"/>
          <w:sz w:val="24"/>
          <w:rtl/>
          <w:lang w:eastAsia="en-US"/>
        </w:rPr>
        <w:t xml:space="preserve">עליהם </w:t>
      </w:r>
      <w:r w:rsidRPr="0038338B">
        <w:rPr>
          <w:rFonts w:eastAsia="Calibri" w:hint="cs"/>
          <w:sz w:val="24"/>
          <w:rtl/>
          <w:lang w:eastAsia="en-US"/>
        </w:rPr>
        <w:t>מבוססת התביעה</w:t>
      </w:r>
      <w:r w:rsidRPr="0038338B">
        <w:rPr>
          <w:rFonts w:eastAsia="Calibri"/>
          <w:sz w:val="24"/>
          <w:rtl/>
          <w:lang w:eastAsia="en-US"/>
        </w:rPr>
        <w:t>.</w:t>
      </w:r>
      <w:r w:rsidRPr="0038338B">
        <w:rPr>
          <w:rFonts w:eastAsia="Calibri" w:hint="cs"/>
          <w:sz w:val="24"/>
          <w:rtl/>
          <w:lang w:eastAsia="en-US"/>
        </w:rPr>
        <w:t xml:space="preserve">  </w:t>
      </w:r>
    </w:p>
    <w:p w:rsidR="0038338B" w:rsidRPr="0038338B" w:rsidRDefault="0038338B" w:rsidP="0038338B">
      <w:pPr>
        <w:numPr>
          <w:ilvl w:val="0"/>
          <w:numId w:val="26"/>
        </w:numPr>
        <w:overflowPunct/>
        <w:autoSpaceDE/>
        <w:autoSpaceDN/>
        <w:adjustRightInd/>
        <w:spacing w:line="360" w:lineRule="auto"/>
        <w:ind w:left="849"/>
        <w:contextualSpacing/>
        <w:jc w:val="both"/>
        <w:textAlignment w:val="auto"/>
        <w:rPr>
          <w:rFonts w:eastAsia="Calibri"/>
          <w:sz w:val="24"/>
          <w:lang w:eastAsia="en-US"/>
        </w:rPr>
      </w:pPr>
      <w:r w:rsidRPr="0038338B">
        <w:rPr>
          <w:rFonts w:eastAsia="Calibri" w:hint="cs"/>
          <w:sz w:val="24"/>
          <w:rtl/>
          <w:lang w:eastAsia="en-US"/>
        </w:rPr>
        <w:lastRenderedPageBreak/>
        <w:t>גוף מוסדי, למעט חברה מנהלת של קרן פנסיה, לא</w:t>
      </w:r>
      <w:r w:rsidRPr="0038338B">
        <w:rPr>
          <w:rFonts w:eastAsia="Calibri"/>
          <w:sz w:val="24"/>
          <w:rtl/>
          <w:lang w:eastAsia="en-US"/>
        </w:rPr>
        <w:t xml:space="preserve"> </w:t>
      </w:r>
      <w:r w:rsidRPr="0038338B">
        <w:rPr>
          <w:rFonts w:eastAsia="Calibri" w:hint="cs"/>
          <w:sz w:val="24"/>
          <w:rtl/>
          <w:lang w:eastAsia="en-US"/>
        </w:rPr>
        <w:t>ידחה תביעה</w:t>
      </w:r>
      <w:r w:rsidRPr="0038338B">
        <w:rPr>
          <w:rFonts w:eastAsia="Calibri"/>
          <w:sz w:val="24"/>
          <w:rtl/>
          <w:lang w:eastAsia="en-US"/>
        </w:rPr>
        <w:t xml:space="preserve"> בטענת </w:t>
      </w:r>
      <w:r w:rsidRPr="0038338B">
        <w:rPr>
          <w:rFonts w:eastAsia="Calibri" w:hint="cs"/>
          <w:sz w:val="24"/>
          <w:rtl/>
          <w:lang w:eastAsia="en-US"/>
        </w:rPr>
        <w:t>אי</w:t>
      </w:r>
      <w:r w:rsidRPr="0038338B">
        <w:rPr>
          <w:rFonts w:eastAsia="Calibri"/>
          <w:sz w:val="24"/>
          <w:rtl/>
          <w:lang w:eastAsia="en-US"/>
        </w:rPr>
        <w:t xml:space="preserve"> </w:t>
      </w:r>
      <w:r w:rsidRPr="0038338B">
        <w:rPr>
          <w:rFonts w:eastAsia="Calibri" w:hint="cs"/>
          <w:sz w:val="24"/>
          <w:rtl/>
          <w:lang w:eastAsia="en-US"/>
        </w:rPr>
        <w:t>גילוי:</w:t>
      </w:r>
      <w:r w:rsidRPr="0038338B">
        <w:rPr>
          <w:rFonts w:eastAsia="Calibri"/>
          <w:sz w:val="24"/>
          <w:rtl/>
          <w:lang w:eastAsia="en-US"/>
        </w:rPr>
        <w:t xml:space="preserve"> </w:t>
      </w:r>
    </w:p>
    <w:p w:rsidR="0038338B" w:rsidRPr="0038338B" w:rsidRDefault="0038338B" w:rsidP="0038338B">
      <w:pPr>
        <w:numPr>
          <w:ilvl w:val="3"/>
          <w:numId w:val="27"/>
        </w:numPr>
        <w:overflowPunct/>
        <w:autoSpaceDE/>
        <w:autoSpaceDN/>
        <w:adjustRightInd/>
        <w:spacing w:line="360" w:lineRule="auto"/>
        <w:ind w:left="1274" w:hanging="425"/>
        <w:contextualSpacing/>
        <w:jc w:val="both"/>
        <w:textAlignment w:val="auto"/>
        <w:rPr>
          <w:rFonts w:eastAsia="Calibri"/>
          <w:sz w:val="24"/>
          <w:lang w:eastAsia="en-US"/>
        </w:rPr>
      </w:pPr>
      <w:r w:rsidRPr="0038338B">
        <w:rPr>
          <w:rFonts w:eastAsia="Calibri" w:hint="cs"/>
          <w:sz w:val="24"/>
          <w:rtl/>
          <w:lang w:eastAsia="en-US"/>
        </w:rPr>
        <w:t>אודות</w:t>
      </w:r>
      <w:r w:rsidRPr="0038338B">
        <w:rPr>
          <w:rFonts w:eastAsia="Calibri"/>
          <w:sz w:val="24"/>
          <w:rtl/>
          <w:lang w:eastAsia="en-US"/>
        </w:rPr>
        <w:t xml:space="preserve"> מצב רפואי מסוים, </w:t>
      </w:r>
      <w:r w:rsidRPr="0038338B">
        <w:rPr>
          <w:rFonts w:eastAsia="Calibri" w:hint="cs"/>
          <w:sz w:val="24"/>
          <w:rtl/>
          <w:lang w:eastAsia="en-US"/>
        </w:rPr>
        <w:t>אשר</w:t>
      </w:r>
      <w:r w:rsidRPr="0038338B">
        <w:rPr>
          <w:rFonts w:eastAsia="Calibri"/>
          <w:sz w:val="24"/>
          <w:rtl/>
          <w:lang w:eastAsia="en-US"/>
        </w:rPr>
        <w:t xml:space="preserve"> לא הוצגה שאלה מפורשת בעניינו, </w:t>
      </w:r>
      <w:r w:rsidRPr="0038338B">
        <w:rPr>
          <w:rFonts w:eastAsia="Calibri" w:hint="cs"/>
          <w:sz w:val="24"/>
          <w:rtl/>
          <w:lang w:eastAsia="en-US"/>
        </w:rPr>
        <w:t>אך</w:t>
      </w:r>
      <w:r w:rsidRPr="0038338B">
        <w:rPr>
          <w:rFonts w:eastAsia="Calibri"/>
          <w:sz w:val="24"/>
          <w:rtl/>
          <w:lang w:eastAsia="en-US"/>
        </w:rPr>
        <w:t xml:space="preserve"> </w:t>
      </w:r>
      <w:r w:rsidRPr="0038338B">
        <w:rPr>
          <w:rFonts w:eastAsia="Calibri" w:hint="cs"/>
          <w:sz w:val="24"/>
          <w:rtl/>
          <w:lang w:eastAsia="en-US"/>
        </w:rPr>
        <w:t>המבוטח</w:t>
      </w:r>
      <w:r w:rsidRPr="0038338B">
        <w:rPr>
          <w:rFonts w:eastAsia="Calibri"/>
          <w:sz w:val="24"/>
          <w:rtl/>
          <w:lang w:eastAsia="en-US"/>
        </w:rPr>
        <w:t xml:space="preserve"> </w:t>
      </w:r>
      <w:r w:rsidRPr="0038338B">
        <w:rPr>
          <w:rFonts w:eastAsia="Calibri" w:hint="cs"/>
          <w:sz w:val="24"/>
          <w:rtl/>
          <w:lang w:eastAsia="en-US"/>
        </w:rPr>
        <w:t>נשאל</w:t>
      </w:r>
      <w:r w:rsidRPr="0038338B">
        <w:rPr>
          <w:rFonts w:eastAsia="Calibri"/>
          <w:sz w:val="24"/>
          <w:rtl/>
          <w:lang w:eastAsia="en-US"/>
        </w:rPr>
        <w:t xml:space="preserve"> </w:t>
      </w:r>
      <w:r w:rsidRPr="0038338B">
        <w:rPr>
          <w:rFonts w:eastAsia="Calibri" w:hint="cs"/>
          <w:sz w:val="24"/>
          <w:rtl/>
          <w:lang w:eastAsia="en-US"/>
        </w:rPr>
        <w:t>אודות</w:t>
      </w:r>
      <w:r w:rsidRPr="0038338B">
        <w:rPr>
          <w:rFonts w:eastAsia="Calibri"/>
          <w:sz w:val="24"/>
          <w:rtl/>
          <w:lang w:eastAsia="en-US"/>
        </w:rPr>
        <w:t xml:space="preserve"> </w:t>
      </w:r>
      <w:r w:rsidRPr="0038338B">
        <w:rPr>
          <w:rFonts w:eastAsia="Calibri" w:hint="cs"/>
          <w:sz w:val="24"/>
          <w:rtl/>
          <w:lang w:eastAsia="en-US"/>
        </w:rPr>
        <w:t>סוג</w:t>
      </w:r>
      <w:r w:rsidRPr="0038338B">
        <w:rPr>
          <w:rFonts w:eastAsia="Calibri"/>
          <w:sz w:val="24"/>
          <w:rtl/>
          <w:lang w:eastAsia="en-US"/>
        </w:rPr>
        <w:t xml:space="preserve"> </w:t>
      </w:r>
      <w:r w:rsidRPr="0038338B">
        <w:rPr>
          <w:rFonts w:eastAsia="Calibri" w:hint="cs"/>
          <w:sz w:val="24"/>
          <w:rtl/>
          <w:lang w:eastAsia="en-US"/>
        </w:rPr>
        <w:t>מחלות</w:t>
      </w:r>
      <w:r w:rsidRPr="0038338B">
        <w:rPr>
          <w:rFonts w:eastAsia="Calibri"/>
          <w:sz w:val="24"/>
          <w:rtl/>
          <w:lang w:eastAsia="en-US"/>
        </w:rPr>
        <w:t xml:space="preserve"> </w:t>
      </w:r>
      <w:r w:rsidRPr="0038338B">
        <w:rPr>
          <w:rFonts w:eastAsia="Calibri" w:hint="cs"/>
          <w:sz w:val="24"/>
          <w:rtl/>
          <w:lang w:eastAsia="en-US"/>
        </w:rPr>
        <w:t>מסוים</w:t>
      </w:r>
      <w:r w:rsidRPr="0038338B">
        <w:rPr>
          <w:rFonts w:eastAsia="Calibri"/>
          <w:sz w:val="24"/>
          <w:rtl/>
          <w:lang w:eastAsia="en-US"/>
        </w:rPr>
        <w:t xml:space="preserve"> או </w:t>
      </w:r>
      <w:r w:rsidRPr="0038338B">
        <w:rPr>
          <w:rFonts w:eastAsia="Calibri" w:hint="cs"/>
          <w:sz w:val="24"/>
          <w:rtl/>
          <w:lang w:eastAsia="en-US"/>
        </w:rPr>
        <w:t>מצבים</w:t>
      </w:r>
      <w:r w:rsidRPr="0038338B">
        <w:rPr>
          <w:rFonts w:eastAsia="Calibri"/>
          <w:sz w:val="24"/>
          <w:rtl/>
          <w:lang w:eastAsia="en-US"/>
        </w:rPr>
        <w:t xml:space="preserve"> </w:t>
      </w:r>
      <w:r w:rsidRPr="0038338B">
        <w:rPr>
          <w:rFonts w:eastAsia="Calibri" w:hint="cs"/>
          <w:sz w:val="24"/>
          <w:rtl/>
          <w:lang w:eastAsia="en-US"/>
        </w:rPr>
        <w:t>רפואיים</w:t>
      </w:r>
      <w:r w:rsidRPr="0038338B">
        <w:rPr>
          <w:rFonts w:eastAsia="Calibri"/>
          <w:sz w:val="24"/>
          <w:rtl/>
          <w:lang w:eastAsia="en-US"/>
        </w:rPr>
        <w:t xml:space="preserve"> </w:t>
      </w:r>
      <w:r w:rsidRPr="0038338B">
        <w:rPr>
          <w:rFonts w:eastAsia="Calibri" w:hint="cs"/>
          <w:sz w:val="24"/>
          <w:rtl/>
          <w:lang w:eastAsia="en-US"/>
        </w:rPr>
        <w:t>מסוימים</w:t>
      </w:r>
      <w:r w:rsidRPr="0038338B">
        <w:rPr>
          <w:rFonts w:eastAsia="Calibri"/>
          <w:sz w:val="24"/>
          <w:rtl/>
          <w:lang w:eastAsia="en-US"/>
        </w:rPr>
        <w:t>, ש</w:t>
      </w:r>
      <w:r w:rsidRPr="0038338B">
        <w:rPr>
          <w:rFonts w:eastAsia="Calibri" w:hint="cs"/>
          <w:sz w:val="24"/>
          <w:rtl/>
          <w:lang w:eastAsia="en-US"/>
        </w:rPr>
        <w:t>המצב</w:t>
      </w:r>
      <w:r w:rsidRPr="0038338B">
        <w:rPr>
          <w:rFonts w:eastAsia="Calibri"/>
          <w:sz w:val="24"/>
          <w:rtl/>
          <w:lang w:eastAsia="en-US"/>
        </w:rPr>
        <w:t xml:space="preserve"> הרפואי </w:t>
      </w:r>
      <w:r w:rsidRPr="0038338B">
        <w:rPr>
          <w:rFonts w:eastAsia="Calibri" w:hint="cs"/>
          <w:sz w:val="24"/>
          <w:rtl/>
          <w:lang w:eastAsia="en-US"/>
        </w:rPr>
        <w:t>לגביו</w:t>
      </w:r>
      <w:r w:rsidRPr="0038338B">
        <w:rPr>
          <w:rFonts w:eastAsia="Calibri"/>
          <w:sz w:val="24"/>
          <w:rtl/>
          <w:lang w:eastAsia="en-US"/>
        </w:rPr>
        <w:t xml:space="preserve"> נטען אי גילוי </w:t>
      </w:r>
      <w:r w:rsidRPr="0038338B">
        <w:rPr>
          <w:rFonts w:eastAsia="Calibri" w:hint="cs"/>
          <w:sz w:val="24"/>
          <w:rtl/>
          <w:lang w:eastAsia="en-US"/>
        </w:rPr>
        <w:t>קשור אליהם, והוא השיב</w:t>
      </w:r>
      <w:r w:rsidRPr="0038338B">
        <w:rPr>
          <w:rFonts w:eastAsia="Calibri"/>
          <w:sz w:val="24"/>
          <w:rtl/>
          <w:lang w:eastAsia="en-US"/>
        </w:rPr>
        <w:t xml:space="preserve"> בחיוב </w:t>
      </w:r>
      <w:r w:rsidRPr="0038338B">
        <w:rPr>
          <w:rFonts w:eastAsia="Calibri" w:hint="cs"/>
          <w:sz w:val="24"/>
          <w:rtl/>
          <w:lang w:eastAsia="en-US"/>
        </w:rPr>
        <w:t>לשאלה או סיפק מידע שנוגע למחלות או למצבים רפואיים שקשורים לאותם מחלות או מצבים רפואיים.</w:t>
      </w:r>
      <w:r w:rsidRPr="0038338B">
        <w:rPr>
          <w:rFonts w:eastAsia="Calibri"/>
          <w:sz w:val="24"/>
          <w:rtl/>
          <w:lang w:eastAsia="en-US"/>
        </w:rPr>
        <w:t xml:space="preserve"> </w:t>
      </w:r>
    </w:p>
    <w:p w:rsidR="0038338B" w:rsidRPr="0038338B" w:rsidRDefault="0038338B" w:rsidP="0038338B">
      <w:pPr>
        <w:numPr>
          <w:ilvl w:val="3"/>
          <w:numId w:val="27"/>
        </w:numPr>
        <w:overflowPunct/>
        <w:autoSpaceDE/>
        <w:autoSpaceDN/>
        <w:adjustRightInd/>
        <w:spacing w:line="360" w:lineRule="auto"/>
        <w:ind w:left="1274" w:hanging="425"/>
        <w:contextualSpacing/>
        <w:jc w:val="both"/>
        <w:textAlignment w:val="auto"/>
        <w:rPr>
          <w:rFonts w:eastAsia="Calibri"/>
          <w:sz w:val="24"/>
          <w:lang w:eastAsia="en-US"/>
        </w:rPr>
      </w:pPr>
      <w:r w:rsidRPr="0038338B">
        <w:rPr>
          <w:rFonts w:eastAsia="Calibri" w:hint="cs"/>
          <w:sz w:val="24"/>
          <w:rtl/>
          <w:lang w:eastAsia="en-US"/>
        </w:rPr>
        <w:t xml:space="preserve">אודות מצב רפואי מסוים, אם מבוטח לא השיב לשאלה שנשאל ביחס לאותו מצב רפואי באופן מלא או חלקי, לרבות אי מילוי תשובה בשאלון.  </w:t>
      </w:r>
    </w:p>
    <w:p w:rsidR="0038338B" w:rsidRPr="0038338B" w:rsidRDefault="0038338B" w:rsidP="0038338B">
      <w:pPr>
        <w:numPr>
          <w:ilvl w:val="3"/>
          <w:numId w:val="27"/>
        </w:numPr>
        <w:overflowPunct/>
        <w:autoSpaceDE/>
        <w:autoSpaceDN/>
        <w:adjustRightInd/>
        <w:spacing w:line="360" w:lineRule="auto"/>
        <w:ind w:left="1274" w:hanging="425"/>
        <w:contextualSpacing/>
        <w:jc w:val="both"/>
        <w:textAlignment w:val="auto"/>
        <w:rPr>
          <w:rFonts w:eastAsia="Calibri"/>
          <w:sz w:val="24"/>
          <w:lang w:eastAsia="en-US"/>
        </w:rPr>
      </w:pPr>
      <w:r w:rsidRPr="0038338B">
        <w:rPr>
          <w:rFonts w:eastAsia="Calibri" w:hint="cs"/>
          <w:sz w:val="24"/>
          <w:rtl/>
          <w:lang w:eastAsia="en-US"/>
        </w:rPr>
        <w:t xml:space="preserve">אודות מצבו הקוגניטיבי של מבוטח, בעת יישוב תביעת סיעוד, אם במועד צירופו לביטוח היו בידי המבטח אינדיקציות למצב קוגניטיבי לקוי שעל בסיסן היה על המבטח לבצע בחינה של מצבו הקוגניטיבי של המבוטח לפני צירופו לביטוח. </w:t>
      </w:r>
    </w:p>
    <w:p w:rsidR="0038338B" w:rsidRPr="0038338B" w:rsidRDefault="0038338B" w:rsidP="0038338B">
      <w:pPr>
        <w:numPr>
          <w:ilvl w:val="3"/>
          <w:numId w:val="27"/>
        </w:numPr>
        <w:overflowPunct/>
        <w:autoSpaceDE/>
        <w:autoSpaceDN/>
        <w:adjustRightInd/>
        <w:spacing w:line="360" w:lineRule="auto"/>
        <w:ind w:left="1274" w:hanging="425"/>
        <w:contextualSpacing/>
        <w:jc w:val="both"/>
        <w:textAlignment w:val="auto"/>
        <w:rPr>
          <w:rFonts w:eastAsia="Calibri"/>
          <w:sz w:val="24"/>
          <w:lang w:eastAsia="en-US"/>
        </w:rPr>
      </w:pPr>
      <w:r w:rsidRPr="0038338B">
        <w:rPr>
          <w:rFonts w:eastAsia="Calibri" w:hint="cs"/>
          <w:sz w:val="24"/>
          <w:rtl/>
          <w:lang w:eastAsia="en-US"/>
        </w:rPr>
        <w:t>אם המידע ה</w:t>
      </w:r>
      <w:r w:rsidRPr="0038338B">
        <w:rPr>
          <w:rFonts w:eastAsia="Calibri"/>
          <w:sz w:val="24"/>
          <w:rtl/>
          <w:lang w:eastAsia="en-US"/>
        </w:rPr>
        <w:t>רפואי</w:t>
      </w:r>
      <w:r w:rsidRPr="0038338B">
        <w:rPr>
          <w:rFonts w:eastAsia="Calibri" w:hint="cs"/>
          <w:sz w:val="24"/>
          <w:rtl/>
          <w:lang w:eastAsia="en-US"/>
        </w:rPr>
        <w:t xml:space="preserve">, בעת הצירוף לביטוח, </w:t>
      </w:r>
      <w:r w:rsidRPr="0038338B">
        <w:rPr>
          <w:rFonts w:eastAsia="Calibri"/>
          <w:sz w:val="24"/>
          <w:rtl/>
          <w:lang w:eastAsia="en-US"/>
        </w:rPr>
        <w:t xml:space="preserve">לא נמסר על ידי המבוטח </w:t>
      </w:r>
      <w:r w:rsidRPr="0038338B">
        <w:rPr>
          <w:rFonts w:eastAsia="Calibri" w:hint="cs"/>
          <w:sz w:val="24"/>
          <w:rtl/>
          <w:lang w:eastAsia="en-US"/>
        </w:rPr>
        <w:t>עצמו</w:t>
      </w:r>
      <w:r w:rsidRPr="0038338B">
        <w:rPr>
          <w:rFonts w:eastAsia="Calibri"/>
          <w:sz w:val="24"/>
          <w:rtl/>
          <w:lang w:eastAsia="en-US"/>
        </w:rPr>
        <w:t xml:space="preserve">, למעט מידע שנמסר על ידי </w:t>
      </w:r>
      <w:r w:rsidRPr="0038338B">
        <w:rPr>
          <w:rFonts w:eastAsia="Calibri" w:hint="cs"/>
          <w:sz w:val="24"/>
          <w:rtl/>
          <w:lang w:eastAsia="en-US"/>
        </w:rPr>
        <w:t>מומחה</w:t>
      </w:r>
      <w:r w:rsidRPr="0038338B">
        <w:rPr>
          <w:rFonts w:eastAsia="Calibri"/>
          <w:sz w:val="24"/>
          <w:rtl/>
          <w:lang w:eastAsia="en-US"/>
        </w:rPr>
        <w:t xml:space="preserve"> מטעם המבוטח, או על ידי הורה או אפוטרופוס של מבוטח שצורף לביטוח כשהיה קטין או פסול דין. </w:t>
      </w:r>
    </w:p>
    <w:p w:rsidR="0038338B" w:rsidRPr="0038338B" w:rsidRDefault="0038338B" w:rsidP="0038338B">
      <w:pPr>
        <w:overflowPunct/>
        <w:autoSpaceDE/>
        <w:autoSpaceDN/>
        <w:adjustRightInd/>
        <w:spacing w:line="360" w:lineRule="auto"/>
        <w:ind w:left="849"/>
        <w:contextualSpacing/>
        <w:jc w:val="both"/>
        <w:textAlignment w:val="auto"/>
        <w:rPr>
          <w:rFonts w:eastAsia="Calibri"/>
          <w:sz w:val="24"/>
          <w:lang w:eastAsia="en-US"/>
        </w:rPr>
      </w:pPr>
      <w:r w:rsidRPr="0038338B">
        <w:rPr>
          <w:rFonts w:eastAsia="Calibri" w:hint="cs"/>
          <w:sz w:val="24"/>
          <w:rtl/>
          <w:lang w:eastAsia="en-US"/>
        </w:rPr>
        <w:t>יובהר</w:t>
      </w:r>
      <w:r w:rsidRPr="0038338B">
        <w:rPr>
          <w:rFonts w:eastAsia="Calibri"/>
          <w:sz w:val="24"/>
          <w:rtl/>
          <w:lang w:eastAsia="en-US"/>
        </w:rPr>
        <w:t xml:space="preserve"> כי אין באמור בסעי</w:t>
      </w:r>
      <w:r w:rsidRPr="0038338B">
        <w:rPr>
          <w:rFonts w:eastAsia="Calibri" w:hint="cs"/>
          <w:sz w:val="24"/>
          <w:rtl/>
          <w:lang w:eastAsia="en-US"/>
        </w:rPr>
        <w:t>פים (1)-(4) כדי</w:t>
      </w:r>
      <w:r w:rsidRPr="0038338B">
        <w:rPr>
          <w:rFonts w:eastAsia="Calibri"/>
          <w:sz w:val="24"/>
          <w:rtl/>
          <w:lang w:eastAsia="en-US"/>
        </w:rPr>
        <w:t xml:space="preserve"> </w:t>
      </w:r>
      <w:r w:rsidRPr="0038338B">
        <w:rPr>
          <w:rFonts w:eastAsia="Calibri" w:hint="cs"/>
          <w:sz w:val="24"/>
          <w:rtl/>
          <w:lang w:eastAsia="en-US"/>
        </w:rPr>
        <w:t>למנוע</w:t>
      </w:r>
      <w:r w:rsidRPr="0038338B">
        <w:rPr>
          <w:rFonts w:eastAsia="Calibri"/>
          <w:sz w:val="24"/>
          <w:rtl/>
          <w:lang w:eastAsia="en-US"/>
        </w:rPr>
        <w:t xml:space="preserve"> </w:t>
      </w:r>
      <w:r w:rsidRPr="0038338B">
        <w:rPr>
          <w:rFonts w:eastAsia="Calibri" w:hint="cs"/>
          <w:sz w:val="24"/>
          <w:rtl/>
          <w:lang w:eastAsia="en-US"/>
        </w:rPr>
        <w:t>מגוף</w:t>
      </w:r>
      <w:r w:rsidRPr="0038338B">
        <w:rPr>
          <w:rFonts w:eastAsia="Calibri"/>
          <w:sz w:val="24"/>
          <w:rtl/>
          <w:lang w:eastAsia="en-US"/>
        </w:rPr>
        <w:t xml:space="preserve"> </w:t>
      </w:r>
      <w:r w:rsidRPr="0038338B">
        <w:rPr>
          <w:rFonts w:eastAsia="Calibri" w:hint="cs"/>
          <w:sz w:val="24"/>
          <w:rtl/>
          <w:lang w:eastAsia="en-US"/>
        </w:rPr>
        <w:t>מוסדי</w:t>
      </w:r>
      <w:r w:rsidRPr="0038338B">
        <w:rPr>
          <w:rFonts w:eastAsia="Calibri"/>
          <w:sz w:val="24"/>
          <w:rtl/>
          <w:lang w:eastAsia="en-US"/>
        </w:rPr>
        <w:t xml:space="preserve"> </w:t>
      </w:r>
      <w:r w:rsidRPr="0038338B">
        <w:rPr>
          <w:rFonts w:eastAsia="Calibri" w:hint="cs"/>
          <w:sz w:val="24"/>
          <w:rtl/>
          <w:lang w:eastAsia="en-US"/>
        </w:rPr>
        <w:t>לטעון</w:t>
      </w:r>
      <w:r w:rsidRPr="0038338B">
        <w:rPr>
          <w:rFonts w:eastAsia="Calibri"/>
          <w:sz w:val="24"/>
          <w:rtl/>
          <w:lang w:eastAsia="en-US"/>
        </w:rPr>
        <w:t xml:space="preserve"> </w:t>
      </w:r>
      <w:r w:rsidRPr="0038338B">
        <w:rPr>
          <w:rFonts w:eastAsia="Calibri" w:hint="cs"/>
          <w:sz w:val="24"/>
          <w:rtl/>
          <w:lang w:eastAsia="en-US"/>
        </w:rPr>
        <w:t>אי</w:t>
      </w:r>
      <w:r w:rsidRPr="0038338B">
        <w:rPr>
          <w:rFonts w:eastAsia="Calibri"/>
          <w:sz w:val="24"/>
          <w:rtl/>
          <w:lang w:eastAsia="en-US"/>
        </w:rPr>
        <w:t xml:space="preserve"> </w:t>
      </w:r>
      <w:r w:rsidRPr="0038338B">
        <w:rPr>
          <w:rFonts w:eastAsia="Calibri" w:hint="cs"/>
          <w:sz w:val="24"/>
          <w:rtl/>
          <w:lang w:eastAsia="en-US"/>
        </w:rPr>
        <w:t>גילוי</w:t>
      </w:r>
      <w:r w:rsidRPr="0038338B">
        <w:rPr>
          <w:rFonts w:eastAsia="Calibri"/>
          <w:sz w:val="24"/>
          <w:rtl/>
          <w:lang w:eastAsia="en-US"/>
        </w:rPr>
        <w:t xml:space="preserve"> </w:t>
      </w:r>
      <w:r w:rsidRPr="0038338B">
        <w:rPr>
          <w:rFonts w:eastAsia="Calibri" w:hint="cs"/>
          <w:sz w:val="24"/>
          <w:rtl/>
          <w:lang w:eastAsia="en-US"/>
        </w:rPr>
        <w:t>בכוונת</w:t>
      </w:r>
      <w:r w:rsidRPr="0038338B">
        <w:rPr>
          <w:rFonts w:eastAsia="Calibri"/>
          <w:sz w:val="24"/>
          <w:rtl/>
          <w:lang w:eastAsia="en-US"/>
        </w:rPr>
        <w:t xml:space="preserve"> </w:t>
      </w:r>
      <w:r w:rsidRPr="0038338B">
        <w:rPr>
          <w:rFonts w:eastAsia="Calibri" w:hint="cs"/>
          <w:sz w:val="24"/>
          <w:rtl/>
          <w:lang w:eastAsia="en-US"/>
        </w:rPr>
        <w:t>מרמה.</w:t>
      </w:r>
      <w:r w:rsidRPr="0038338B">
        <w:rPr>
          <w:rFonts w:eastAsia="Calibri"/>
          <w:sz w:val="24"/>
          <w:rtl/>
          <w:lang w:eastAsia="en-US"/>
        </w:rPr>
        <w:t xml:space="preserve"> </w:t>
      </w:r>
    </w:p>
    <w:p w:rsidR="0038338B" w:rsidRPr="0038338B" w:rsidRDefault="0038338B" w:rsidP="0038338B">
      <w:pPr>
        <w:numPr>
          <w:ilvl w:val="0"/>
          <w:numId w:val="26"/>
        </w:numPr>
        <w:overflowPunct/>
        <w:autoSpaceDE/>
        <w:autoSpaceDN/>
        <w:adjustRightInd/>
        <w:spacing w:line="360" w:lineRule="auto"/>
        <w:ind w:left="657" w:hanging="168"/>
        <w:contextualSpacing/>
        <w:jc w:val="both"/>
        <w:textAlignment w:val="auto"/>
        <w:rPr>
          <w:rFonts w:eastAsia="Calibri"/>
          <w:sz w:val="24"/>
          <w:lang w:eastAsia="en-US"/>
        </w:rPr>
      </w:pPr>
      <w:r w:rsidRPr="0038338B">
        <w:rPr>
          <w:rFonts w:eastAsia="Calibri" w:hint="cs"/>
          <w:sz w:val="24"/>
          <w:rtl/>
          <w:lang w:eastAsia="en-US"/>
        </w:rPr>
        <w:t>החליט</w:t>
      </w:r>
      <w:r w:rsidRPr="0038338B">
        <w:rPr>
          <w:rFonts w:eastAsia="Calibri"/>
          <w:sz w:val="24"/>
          <w:rtl/>
          <w:lang w:eastAsia="en-US"/>
        </w:rPr>
        <w:t xml:space="preserve"> </w:t>
      </w:r>
      <w:r w:rsidRPr="0038338B">
        <w:rPr>
          <w:rFonts w:eastAsia="Calibri" w:hint="cs"/>
          <w:sz w:val="24"/>
          <w:rtl/>
          <w:lang w:eastAsia="en-US"/>
        </w:rPr>
        <w:t>גוף</w:t>
      </w:r>
      <w:r w:rsidRPr="0038338B">
        <w:rPr>
          <w:rFonts w:eastAsia="Calibri"/>
          <w:sz w:val="24"/>
          <w:rtl/>
          <w:lang w:eastAsia="en-US"/>
        </w:rPr>
        <w:t xml:space="preserve"> </w:t>
      </w:r>
      <w:r w:rsidRPr="0038338B">
        <w:rPr>
          <w:rFonts w:eastAsia="Calibri" w:hint="cs"/>
          <w:sz w:val="24"/>
          <w:rtl/>
          <w:lang w:eastAsia="en-US"/>
        </w:rPr>
        <w:t>מוסדי</w:t>
      </w:r>
      <w:r w:rsidRPr="0038338B">
        <w:rPr>
          <w:rFonts w:eastAsia="Calibri"/>
          <w:sz w:val="24"/>
          <w:rtl/>
          <w:lang w:eastAsia="en-US"/>
        </w:rPr>
        <w:t xml:space="preserve"> </w:t>
      </w:r>
      <w:r w:rsidRPr="0038338B">
        <w:rPr>
          <w:rFonts w:eastAsia="Calibri" w:hint="cs"/>
          <w:sz w:val="24"/>
          <w:rtl/>
          <w:lang w:eastAsia="en-US"/>
        </w:rPr>
        <w:t>על</w:t>
      </w:r>
      <w:r w:rsidRPr="0038338B">
        <w:rPr>
          <w:rFonts w:eastAsia="Calibri"/>
          <w:sz w:val="24"/>
          <w:rtl/>
          <w:lang w:eastAsia="en-US"/>
        </w:rPr>
        <w:t xml:space="preserve"> </w:t>
      </w:r>
      <w:r w:rsidRPr="0038338B">
        <w:rPr>
          <w:rFonts w:eastAsia="Calibri" w:hint="cs"/>
          <w:sz w:val="24"/>
          <w:rtl/>
          <w:lang w:eastAsia="en-US"/>
        </w:rPr>
        <w:t>דחיית</w:t>
      </w:r>
      <w:r w:rsidRPr="0038338B">
        <w:rPr>
          <w:rFonts w:eastAsia="Calibri"/>
          <w:sz w:val="24"/>
          <w:rtl/>
          <w:lang w:eastAsia="en-US"/>
        </w:rPr>
        <w:t xml:space="preserve"> </w:t>
      </w:r>
      <w:r w:rsidRPr="0038338B">
        <w:rPr>
          <w:rFonts w:eastAsia="Calibri" w:hint="cs"/>
          <w:sz w:val="24"/>
          <w:rtl/>
          <w:lang w:eastAsia="en-US"/>
        </w:rPr>
        <w:t>תביעה</w:t>
      </w:r>
      <w:r w:rsidRPr="0038338B">
        <w:rPr>
          <w:rFonts w:eastAsia="Calibri"/>
          <w:sz w:val="24"/>
          <w:rtl/>
          <w:lang w:eastAsia="en-US"/>
        </w:rPr>
        <w:t xml:space="preserve"> </w:t>
      </w:r>
      <w:r w:rsidRPr="0038338B">
        <w:rPr>
          <w:rFonts w:eastAsia="Calibri" w:hint="cs"/>
          <w:sz w:val="24"/>
          <w:rtl/>
          <w:lang w:eastAsia="en-US"/>
        </w:rPr>
        <w:t>בשל</w:t>
      </w:r>
      <w:r w:rsidRPr="0038338B">
        <w:rPr>
          <w:rFonts w:eastAsia="Calibri"/>
          <w:sz w:val="24"/>
          <w:rtl/>
          <w:lang w:eastAsia="en-US"/>
        </w:rPr>
        <w:t xml:space="preserve"> </w:t>
      </w:r>
      <w:r w:rsidRPr="0038338B">
        <w:rPr>
          <w:rFonts w:eastAsia="Calibri" w:hint="cs"/>
          <w:sz w:val="24"/>
          <w:rtl/>
          <w:lang w:eastAsia="en-US"/>
        </w:rPr>
        <w:t>אי</w:t>
      </w:r>
      <w:r w:rsidRPr="0038338B">
        <w:rPr>
          <w:rFonts w:eastAsia="Calibri"/>
          <w:sz w:val="24"/>
          <w:rtl/>
          <w:lang w:eastAsia="en-US"/>
        </w:rPr>
        <w:t xml:space="preserve"> </w:t>
      </w:r>
      <w:r w:rsidRPr="0038338B">
        <w:rPr>
          <w:rFonts w:eastAsia="Calibri" w:hint="cs"/>
          <w:sz w:val="24"/>
          <w:rtl/>
          <w:lang w:eastAsia="en-US"/>
        </w:rPr>
        <w:t>גילוי</w:t>
      </w:r>
      <w:r w:rsidRPr="0038338B">
        <w:rPr>
          <w:rFonts w:eastAsia="Calibri"/>
          <w:sz w:val="24"/>
          <w:rtl/>
          <w:lang w:eastAsia="en-US"/>
        </w:rPr>
        <w:t xml:space="preserve"> </w:t>
      </w:r>
      <w:r w:rsidRPr="0038338B">
        <w:rPr>
          <w:rFonts w:eastAsia="Calibri" w:hint="cs"/>
          <w:sz w:val="24"/>
          <w:rtl/>
          <w:lang w:eastAsia="en-US"/>
        </w:rPr>
        <w:t>בכוונת</w:t>
      </w:r>
      <w:r w:rsidRPr="0038338B">
        <w:rPr>
          <w:rFonts w:eastAsia="Calibri"/>
          <w:sz w:val="24"/>
          <w:rtl/>
          <w:lang w:eastAsia="en-US"/>
        </w:rPr>
        <w:t xml:space="preserve"> </w:t>
      </w:r>
      <w:r w:rsidRPr="0038338B">
        <w:rPr>
          <w:rFonts w:eastAsia="Calibri" w:hint="cs"/>
          <w:sz w:val="24"/>
          <w:rtl/>
          <w:lang w:eastAsia="en-US"/>
        </w:rPr>
        <w:t>מרמה</w:t>
      </w:r>
      <w:r w:rsidRPr="0038338B">
        <w:rPr>
          <w:rFonts w:eastAsia="Calibri"/>
          <w:sz w:val="24"/>
          <w:rtl/>
          <w:lang w:eastAsia="en-US"/>
        </w:rPr>
        <w:t xml:space="preserve"> </w:t>
      </w:r>
      <w:r w:rsidRPr="0038338B">
        <w:rPr>
          <w:rFonts w:eastAsia="Calibri" w:hint="cs"/>
          <w:sz w:val="24"/>
          <w:rtl/>
          <w:lang w:eastAsia="en-US"/>
        </w:rPr>
        <w:t>מטעם</w:t>
      </w:r>
      <w:r w:rsidRPr="0038338B">
        <w:rPr>
          <w:rFonts w:eastAsia="Calibri"/>
          <w:sz w:val="24"/>
          <w:rtl/>
          <w:lang w:eastAsia="en-US"/>
        </w:rPr>
        <w:t xml:space="preserve"> </w:t>
      </w:r>
      <w:r w:rsidRPr="0038338B">
        <w:rPr>
          <w:rFonts w:eastAsia="Calibri" w:hint="cs"/>
          <w:sz w:val="24"/>
          <w:rtl/>
          <w:lang w:eastAsia="en-US"/>
        </w:rPr>
        <w:t>התובע</w:t>
      </w:r>
      <w:r w:rsidRPr="0038338B">
        <w:rPr>
          <w:rFonts w:eastAsia="Calibri"/>
          <w:sz w:val="24"/>
          <w:rtl/>
          <w:lang w:eastAsia="en-US"/>
        </w:rPr>
        <w:t xml:space="preserve">, </w:t>
      </w:r>
      <w:r w:rsidRPr="0038338B">
        <w:rPr>
          <w:rFonts w:eastAsia="Calibri" w:hint="cs"/>
          <w:sz w:val="24"/>
          <w:rtl/>
          <w:lang w:eastAsia="en-US"/>
        </w:rPr>
        <w:t>יציין</w:t>
      </w:r>
      <w:r w:rsidRPr="0038338B">
        <w:rPr>
          <w:rFonts w:eastAsia="Calibri"/>
          <w:sz w:val="24"/>
          <w:rtl/>
          <w:lang w:eastAsia="en-US"/>
        </w:rPr>
        <w:t xml:space="preserve"> </w:t>
      </w:r>
      <w:r w:rsidRPr="0038338B">
        <w:rPr>
          <w:rFonts w:eastAsia="Calibri" w:hint="cs"/>
          <w:sz w:val="24"/>
          <w:rtl/>
          <w:lang w:eastAsia="en-US"/>
        </w:rPr>
        <w:t>בהודעת</w:t>
      </w:r>
      <w:r w:rsidRPr="0038338B">
        <w:rPr>
          <w:rFonts w:eastAsia="Calibri"/>
          <w:sz w:val="24"/>
          <w:rtl/>
          <w:lang w:eastAsia="en-US"/>
        </w:rPr>
        <w:t xml:space="preserve"> </w:t>
      </w:r>
      <w:r w:rsidRPr="0038338B">
        <w:rPr>
          <w:rFonts w:eastAsia="Calibri" w:hint="cs"/>
          <w:sz w:val="24"/>
          <w:rtl/>
          <w:lang w:eastAsia="en-US"/>
        </w:rPr>
        <w:t>הדחיה</w:t>
      </w:r>
      <w:r w:rsidRPr="0038338B">
        <w:rPr>
          <w:rFonts w:eastAsia="Calibri"/>
          <w:sz w:val="24"/>
          <w:rtl/>
          <w:lang w:eastAsia="en-US"/>
        </w:rPr>
        <w:t xml:space="preserve"> </w:t>
      </w:r>
      <w:r w:rsidRPr="0038338B">
        <w:rPr>
          <w:rFonts w:eastAsia="Calibri" w:hint="cs"/>
          <w:sz w:val="24"/>
          <w:rtl/>
          <w:lang w:eastAsia="en-US"/>
        </w:rPr>
        <w:t>במפורש</w:t>
      </w:r>
      <w:r w:rsidRPr="0038338B">
        <w:rPr>
          <w:rFonts w:eastAsia="Calibri"/>
          <w:sz w:val="24"/>
          <w:rtl/>
          <w:lang w:eastAsia="en-US"/>
        </w:rPr>
        <w:t xml:space="preserve"> </w:t>
      </w:r>
      <w:r w:rsidRPr="0038338B">
        <w:rPr>
          <w:rFonts w:eastAsia="Calibri" w:hint="cs"/>
          <w:sz w:val="24"/>
          <w:rtl/>
          <w:lang w:eastAsia="en-US"/>
        </w:rPr>
        <w:t>כי</w:t>
      </w:r>
      <w:r w:rsidRPr="0038338B">
        <w:rPr>
          <w:rFonts w:eastAsia="Calibri"/>
          <w:sz w:val="24"/>
          <w:rtl/>
          <w:lang w:eastAsia="en-US"/>
        </w:rPr>
        <w:t xml:space="preserve"> </w:t>
      </w:r>
      <w:r w:rsidRPr="0038338B">
        <w:rPr>
          <w:rFonts w:eastAsia="Calibri" w:hint="cs"/>
          <w:sz w:val="24"/>
          <w:rtl/>
          <w:lang w:eastAsia="en-US"/>
        </w:rPr>
        <w:t>התביעה</w:t>
      </w:r>
      <w:r w:rsidRPr="0038338B">
        <w:rPr>
          <w:rFonts w:eastAsia="Calibri"/>
          <w:sz w:val="24"/>
          <w:rtl/>
          <w:lang w:eastAsia="en-US"/>
        </w:rPr>
        <w:t xml:space="preserve"> </w:t>
      </w:r>
      <w:r w:rsidRPr="0038338B">
        <w:rPr>
          <w:rFonts w:eastAsia="Calibri" w:hint="cs"/>
          <w:sz w:val="24"/>
          <w:rtl/>
          <w:lang w:eastAsia="en-US"/>
        </w:rPr>
        <w:t>נדחית</w:t>
      </w:r>
      <w:r w:rsidRPr="0038338B">
        <w:rPr>
          <w:rFonts w:eastAsia="Calibri"/>
          <w:sz w:val="24"/>
          <w:rtl/>
          <w:lang w:eastAsia="en-US"/>
        </w:rPr>
        <w:t xml:space="preserve"> </w:t>
      </w:r>
      <w:r w:rsidRPr="0038338B">
        <w:rPr>
          <w:rFonts w:eastAsia="Calibri" w:hint="cs"/>
          <w:sz w:val="24"/>
          <w:rtl/>
          <w:lang w:eastAsia="en-US"/>
        </w:rPr>
        <w:t>עקב</w:t>
      </w:r>
      <w:r w:rsidRPr="0038338B">
        <w:rPr>
          <w:rFonts w:eastAsia="Calibri"/>
          <w:sz w:val="24"/>
          <w:rtl/>
          <w:lang w:eastAsia="en-US"/>
        </w:rPr>
        <w:t xml:space="preserve"> </w:t>
      </w:r>
      <w:r w:rsidRPr="0038338B">
        <w:rPr>
          <w:rFonts w:eastAsia="Calibri" w:hint="cs"/>
          <w:sz w:val="24"/>
          <w:rtl/>
          <w:lang w:eastAsia="en-US"/>
        </w:rPr>
        <w:t>אי</w:t>
      </w:r>
      <w:r w:rsidRPr="0038338B">
        <w:rPr>
          <w:rFonts w:eastAsia="Calibri"/>
          <w:sz w:val="24"/>
          <w:rtl/>
          <w:lang w:eastAsia="en-US"/>
        </w:rPr>
        <w:t xml:space="preserve"> </w:t>
      </w:r>
      <w:r w:rsidRPr="0038338B">
        <w:rPr>
          <w:rFonts w:eastAsia="Calibri" w:hint="cs"/>
          <w:sz w:val="24"/>
          <w:rtl/>
          <w:lang w:eastAsia="en-US"/>
        </w:rPr>
        <w:t>גילוי</w:t>
      </w:r>
      <w:r w:rsidRPr="0038338B">
        <w:rPr>
          <w:rFonts w:eastAsia="Calibri"/>
          <w:sz w:val="24"/>
          <w:rtl/>
          <w:lang w:eastAsia="en-US"/>
        </w:rPr>
        <w:t xml:space="preserve"> </w:t>
      </w:r>
      <w:r w:rsidRPr="0038338B">
        <w:rPr>
          <w:rFonts w:eastAsia="Calibri" w:hint="cs"/>
          <w:sz w:val="24"/>
          <w:rtl/>
          <w:lang w:eastAsia="en-US"/>
        </w:rPr>
        <w:t>בכוונת</w:t>
      </w:r>
      <w:r w:rsidRPr="0038338B">
        <w:rPr>
          <w:rFonts w:eastAsia="Calibri"/>
          <w:sz w:val="24"/>
          <w:rtl/>
          <w:lang w:eastAsia="en-US"/>
        </w:rPr>
        <w:t xml:space="preserve"> </w:t>
      </w:r>
      <w:r w:rsidRPr="0038338B">
        <w:rPr>
          <w:rFonts w:eastAsia="Calibri" w:hint="cs"/>
          <w:sz w:val="24"/>
          <w:rtl/>
          <w:lang w:eastAsia="en-US"/>
        </w:rPr>
        <w:t>מרמה</w:t>
      </w:r>
      <w:r w:rsidRPr="0038338B">
        <w:rPr>
          <w:rFonts w:eastAsia="Calibri"/>
          <w:sz w:val="24"/>
          <w:rtl/>
          <w:lang w:eastAsia="en-US"/>
        </w:rPr>
        <w:t xml:space="preserve">, </w:t>
      </w:r>
      <w:r w:rsidRPr="0038338B">
        <w:rPr>
          <w:rFonts w:eastAsia="Calibri" w:hint="cs"/>
          <w:sz w:val="24"/>
          <w:rtl/>
          <w:lang w:eastAsia="en-US"/>
        </w:rPr>
        <w:t>ואת</w:t>
      </w:r>
      <w:r w:rsidRPr="0038338B">
        <w:rPr>
          <w:rFonts w:eastAsia="Calibri"/>
          <w:sz w:val="24"/>
          <w:rtl/>
          <w:lang w:eastAsia="en-US"/>
        </w:rPr>
        <w:t xml:space="preserve"> </w:t>
      </w:r>
      <w:r w:rsidRPr="0038338B">
        <w:rPr>
          <w:rFonts w:eastAsia="Calibri" w:hint="cs"/>
          <w:sz w:val="24"/>
          <w:rtl/>
          <w:lang w:eastAsia="en-US"/>
        </w:rPr>
        <w:t>ההשלכות</w:t>
      </w:r>
      <w:r w:rsidRPr="0038338B">
        <w:rPr>
          <w:rFonts w:eastAsia="Calibri"/>
          <w:sz w:val="24"/>
          <w:rtl/>
          <w:lang w:eastAsia="en-US"/>
        </w:rPr>
        <w:t xml:space="preserve"> של אי גילוי כאמור. </w:t>
      </w:r>
    </w:p>
    <w:p w:rsidR="0038338B" w:rsidRPr="0038338B" w:rsidRDefault="0038338B" w:rsidP="0038338B">
      <w:pPr>
        <w:overflowPunct/>
        <w:autoSpaceDE/>
        <w:autoSpaceDN/>
        <w:adjustRightInd/>
        <w:spacing w:line="360" w:lineRule="auto"/>
        <w:ind w:left="849"/>
        <w:contextualSpacing/>
        <w:jc w:val="both"/>
        <w:textAlignment w:val="auto"/>
        <w:rPr>
          <w:rFonts w:eastAsia="Calibri"/>
          <w:sz w:val="24"/>
          <w:lang w:eastAsia="en-US"/>
        </w:rPr>
      </w:pPr>
    </w:p>
    <w:p w:rsidR="0038338B" w:rsidRDefault="0038338B" w:rsidP="0038338B">
      <w:pPr>
        <w:numPr>
          <w:ilvl w:val="0"/>
          <w:numId w:val="25"/>
        </w:numPr>
        <w:overflowPunct/>
        <w:autoSpaceDE/>
        <w:autoSpaceDN/>
        <w:adjustRightInd/>
        <w:spacing w:line="360" w:lineRule="auto"/>
        <w:contextualSpacing/>
        <w:jc w:val="both"/>
        <w:textAlignment w:val="auto"/>
        <w:rPr>
          <w:rFonts w:eastAsiaTheme="minorHAnsi"/>
          <w:sz w:val="22"/>
          <w:u w:val="single"/>
          <w:lang w:eastAsia="en-US"/>
        </w:rPr>
      </w:pPr>
      <w:r w:rsidRPr="0038338B">
        <w:rPr>
          <w:rFonts w:eastAsiaTheme="minorHAnsi" w:hint="cs"/>
          <w:sz w:val="22"/>
          <w:u w:val="single"/>
          <w:rtl/>
          <w:lang w:eastAsia="en-US"/>
        </w:rPr>
        <w:t>אישור</w:t>
      </w:r>
      <w:r w:rsidRPr="0038338B">
        <w:rPr>
          <w:rFonts w:eastAsiaTheme="minorHAnsi"/>
          <w:sz w:val="22"/>
          <w:u w:val="single"/>
          <w:rtl/>
          <w:lang w:eastAsia="en-US"/>
        </w:rPr>
        <w:t xml:space="preserve"> </w:t>
      </w:r>
      <w:r w:rsidRPr="0038338B">
        <w:rPr>
          <w:rFonts w:eastAsiaTheme="minorHAnsi" w:hint="cs"/>
          <w:sz w:val="22"/>
          <w:u w:val="single"/>
          <w:rtl/>
          <w:lang w:eastAsia="en-US"/>
        </w:rPr>
        <w:t>תביעה</w:t>
      </w:r>
    </w:p>
    <w:p w:rsidR="00507C7F" w:rsidRDefault="00507C7F" w:rsidP="003A6F91">
      <w:pPr>
        <w:pStyle w:val="a7"/>
        <w:numPr>
          <w:ilvl w:val="1"/>
          <w:numId w:val="25"/>
        </w:numPr>
        <w:rPr>
          <w:rFonts w:hint="cs"/>
          <w:sz w:val="22"/>
        </w:rPr>
      </w:pPr>
      <w:r w:rsidRPr="00507C7F">
        <w:rPr>
          <w:rFonts w:hint="cs"/>
          <w:sz w:val="22"/>
          <w:rtl/>
        </w:rPr>
        <w:t>גוף מוסדי</w:t>
      </w:r>
      <w:r w:rsidRPr="00507C7F">
        <w:rPr>
          <w:sz w:val="22"/>
          <w:rtl/>
        </w:rPr>
        <w:t xml:space="preserve"> </w:t>
      </w:r>
      <w:r w:rsidRPr="00507C7F">
        <w:rPr>
          <w:rFonts w:hint="cs"/>
          <w:sz w:val="22"/>
          <w:rtl/>
        </w:rPr>
        <w:t>יקבע</w:t>
      </w:r>
      <w:r w:rsidRPr="00507C7F">
        <w:rPr>
          <w:sz w:val="22"/>
          <w:rtl/>
        </w:rPr>
        <w:t xml:space="preserve"> </w:t>
      </w:r>
      <w:r w:rsidRPr="00507C7F">
        <w:rPr>
          <w:rFonts w:hint="cs"/>
          <w:sz w:val="22"/>
          <w:rtl/>
        </w:rPr>
        <w:t>את</w:t>
      </w:r>
      <w:r w:rsidRPr="00507C7F">
        <w:rPr>
          <w:sz w:val="22"/>
          <w:rtl/>
        </w:rPr>
        <w:t xml:space="preserve"> </w:t>
      </w:r>
      <w:r w:rsidRPr="00507C7F">
        <w:rPr>
          <w:rFonts w:hint="cs"/>
          <w:sz w:val="22"/>
          <w:rtl/>
        </w:rPr>
        <w:t>מועד</w:t>
      </w:r>
      <w:r w:rsidRPr="00507C7F">
        <w:rPr>
          <w:sz w:val="22"/>
          <w:rtl/>
        </w:rPr>
        <w:t xml:space="preserve"> </w:t>
      </w:r>
      <w:r w:rsidRPr="00507C7F">
        <w:rPr>
          <w:rFonts w:hint="cs"/>
          <w:sz w:val="22"/>
          <w:rtl/>
        </w:rPr>
        <w:t>קרות</w:t>
      </w:r>
      <w:r w:rsidRPr="00507C7F">
        <w:rPr>
          <w:sz w:val="22"/>
          <w:rtl/>
        </w:rPr>
        <w:t xml:space="preserve"> </w:t>
      </w:r>
      <w:r w:rsidRPr="00507C7F">
        <w:rPr>
          <w:rFonts w:hint="cs"/>
          <w:sz w:val="22"/>
          <w:rtl/>
        </w:rPr>
        <w:t>מקרה</w:t>
      </w:r>
      <w:r w:rsidRPr="00507C7F">
        <w:rPr>
          <w:sz w:val="22"/>
          <w:rtl/>
        </w:rPr>
        <w:t xml:space="preserve"> </w:t>
      </w:r>
      <w:r w:rsidRPr="00507C7F">
        <w:rPr>
          <w:rFonts w:hint="cs"/>
          <w:sz w:val="22"/>
          <w:rtl/>
        </w:rPr>
        <w:t xml:space="preserve">הביטוח כמועד שבו בהתאם לכלל המידע הרלוונטי שמצוי ברשותו אירע מקרה הביטוח. מועד קרות הביטוח לא ייקבע כמועד הגשת התביעה אם בהתאם למסמכים שמצויים אצל הגוף המוסדי, אירע המקרה הביטוחי קודם למועד זה. </w:t>
      </w:r>
    </w:p>
    <w:p w:rsidR="001F56BA" w:rsidRPr="001F56BA" w:rsidRDefault="001F56BA" w:rsidP="001F56BA">
      <w:pPr>
        <w:pStyle w:val="a7"/>
        <w:numPr>
          <w:ilvl w:val="1"/>
          <w:numId w:val="25"/>
        </w:numPr>
        <w:rPr>
          <w:sz w:val="22"/>
          <w:u w:val="single"/>
        </w:rPr>
      </w:pPr>
      <w:r>
        <w:rPr>
          <w:rFonts w:hint="cs"/>
          <w:sz w:val="22"/>
          <w:rtl/>
        </w:rPr>
        <w:t>נדרש גוף מוסדי לה</w:t>
      </w:r>
      <w:r w:rsidRPr="00507C7F">
        <w:rPr>
          <w:sz w:val="22"/>
          <w:rtl/>
        </w:rPr>
        <w:t>עביר</w:t>
      </w:r>
      <w:r>
        <w:rPr>
          <w:rFonts w:hint="cs"/>
          <w:sz w:val="22"/>
          <w:rtl/>
        </w:rPr>
        <w:t xml:space="preserve"> סכום כסף למבוטח, יעביר הגוף המוסדי למבוטח </w:t>
      </w:r>
      <w:r w:rsidRPr="00507C7F">
        <w:rPr>
          <w:sz w:val="22"/>
          <w:rtl/>
        </w:rPr>
        <w:t>את סכו</w:t>
      </w:r>
      <w:r>
        <w:rPr>
          <w:rFonts w:hint="cs"/>
          <w:sz w:val="22"/>
          <w:rtl/>
        </w:rPr>
        <w:t>ם</w:t>
      </w:r>
      <w:r w:rsidRPr="00507C7F">
        <w:rPr>
          <w:sz w:val="22"/>
          <w:rtl/>
        </w:rPr>
        <w:t xml:space="preserve"> הכסף באמצעות העברה בנקאית</w:t>
      </w:r>
      <w:r>
        <w:rPr>
          <w:rFonts w:hint="cs"/>
          <w:sz w:val="22"/>
          <w:rtl/>
        </w:rPr>
        <w:t xml:space="preserve"> </w:t>
      </w:r>
      <w:r w:rsidRPr="00507C7F">
        <w:rPr>
          <w:sz w:val="22"/>
          <w:rtl/>
        </w:rPr>
        <w:t>או זיכוי בכ</w:t>
      </w:r>
      <w:r>
        <w:rPr>
          <w:sz w:val="22"/>
          <w:rtl/>
        </w:rPr>
        <w:t>רטיס האשראי</w:t>
      </w:r>
      <w:r>
        <w:rPr>
          <w:rFonts w:hint="cs"/>
          <w:sz w:val="22"/>
          <w:rtl/>
        </w:rPr>
        <w:t>, לבחירת הגוף המוסדי;</w:t>
      </w:r>
      <w:r>
        <w:rPr>
          <w:sz w:val="22"/>
          <w:rtl/>
        </w:rPr>
        <w:t xml:space="preserve"> לא קיימים אצל </w:t>
      </w:r>
      <w:r>
        <w:rPr>
          <w:rFonts w:hint="cs"/>
          <w:sz w:val="22"/>
          <w:rtl/>
        </w:rPr>
        <w:t>הגוף המוסדי</w:t>
      </w:r>
      <w:r>
        <w:rPr>
          <w:sz w:val="22"/>
          <w:rtl/>
        </w:rPr>
        <w:t xml:space="preserve"> פרטי</w:t>
      </w:r>
      <w:r>
        <w:rPr>
          <w:rFonts w:hint="cs"/>
          <w:sz w:val="22"/>
          <w:rtl/>
        </w:rPr>
        <w:t xml:space="preserve"> המבוטח להעברת הכספים באחד מהאמצעים האמורים</w:t>
      </w:r>
      <w:r>
        <w:rPr>
          <w:sz w:val="22"/>
          <w:rtl/>
        </w:rPr>
        <w:t xml:space="preserve">, </w:t>
      </w:r>
      <w:r>
        <w:rPr>
          <w:rFonts w:hint="cs"/>
          <w:sz w:val="22"/>
          <w:rtl/>
        </w:rPr>
        <w:t>לא ניתן להעביר סכום כסף כאמור באותו אמצעי תשלום או שביקש המבוטח לקבל סכום כסף באמצעי תשלום מסוים, י</w:t>
      </w:r>
      <w:r w:rsidRPr="00507C7F">
        <w:rPr>
          <w:sz w:val="22"/>
          <w:rtl/>
        </w:rPr>
        <w:t xml:space="preserve">אפשר </w:t>
      </w:r>
      <w:r>
        <w:rPr>
          <w:rFonts w:hint="cs"/>
          <w:sz w:val="22"/>
          <w:rtl/>
        </w:rPr>
        <w:t xml:space="preserve">הגוף המוסדי למבוטח </w:t>
      </w:r>
      <w:r w:rsidRPr="00507C7F">
        <w:rPr>
          <w:sz w:val="22"/>
          <w:rtl/>
        </w:rPr>
        <w:t xml:space="preserve">לבחור את אמצעי התשלום, מבין האמצעים </w:t>
      </w:r>
      <w:r>
        <w:rPr>
          <w:rFonts w:hint="cs"/>
          <w:sz w:val="22"/>
          <w:rtl/>
        </w:rPr>
        <w:t>ה</w:t>
      </w:r>
      <w:r w:rsidRPr="00507C7F">
        <w:rPr>
          <w:sz w:val="22"/>
          <w:rtl/>
        </w:rPr>
        <w:t>קיימים ב</w:t>
      </w:r>
      <w:r>
        <w:rPr>
          <w:rFonts w:hint="cs"/>
          <w:sz w:val="22"/>
          <w:rtl/>
        </w:rPr>
        <w:t>גוף המוסדי</w:t>
      </w:r>
      <w:r w:rsidRPr="00507C7F">
        <w:rPr>
          <w:sz w:val="22"/>
          <w:rtl/>
        </w:rPr>
        <w:t>, שבו יועברו לו הכספים; לעניין זה, "אמצעי תשלום" – לכל הפחות, העברה בנקאית, המחאה</w:t>
      </w:r>
      <w:r>
        <w:rPr>
          <w:rFonts w:hint="cs"/>
          <w:sz w:val="22"/>
          <w:rtl/>
        </w:rPr>
        <w:t xml:space="preserve"> או </w:t>
      </w:r>
      <w:r w:rsidRPr="00507C7F">
        <w:rPr>
          <w:sz w:val="22"/>
          <w:rtl/>
        </w:rPr>
        <w:t>זיכוי בכרטיס אשראי</w:t>
      </w:r>
      <w:r>
        <w:rPr>
          <w:rFonts w:hint="cs"/>
          <w:sz w:val="22"/>
          <w:rtl/>
        </w:rPr>
        <w:t>, במקרה של החזר פרמיה ששולמה בכרטיס אשראי.</w:t>
      </w:r>
      <w:bookmarkStart w:id="1" w:name="_GoBack"/>
      <w:bookmarkEnd w:id="1"/>
    </w:p>
    <w:p w:rsidR="0038338B" w:rsidRPr="003A6F91" w:rsidRDefault="0038338B" w:rsidP="003A6F91">
      <w:pPr>
        <w:pStyle w:val="a7"/>
        <w:ind w:left="1080"/>
        <w:rPr>
          <w:rFonts w:cs="FrankRuehl"/>
          <w:szCs w:val="26"/>
          <w:u w:val="single"/>
          <w:rtl/>
        </w:rPr>
      </w:pPr>
    </w:p>
    <w:p w:rsidR="0038338B" w:rsidRPr="0038338B" w:rsidRDefault="0038338B" w:rsidP="0038338B">
      <w:pPr>
        <w:numPr>
          <w:ilvl w:val="0"/>
          <w:numId w:val="25"/>
        </w:numPr>
        <w:overflowPunct/>
        <w:autoSpaceDE/>
        <w:autoSpaceDN/>
        <w:adjustRightInd/>
        <w:spacing w:line="360" w:lineRule="auto"/>
        <w:contextualSpacing/>
        <w:jc w:val="both"/>
        <w:textAlignment w:val="auto"/>
        <w:rPr>
          <w:rFonts w:eastAsiaTheme="minorHAnsi"/>
          <w:sz w:val="22"/>
          <w:u w:val="single"/>
          <w:rtl/>
          <w:lang w:eastAsia="en-US"/>
        </w:rPr>
      </w:pPr>
      <w:r w:rsidRPr="0038338B">
        <w:rPr>
          <w:rFonts w:eastAsiaTheme="minorHAnsi" w:hint="cs"/>
          <w:sz w:val="22"/>
          <w:u w:val="single"/>
          <w:rtl/>
          <w:lang w:eastAsia="en-US"/>
        </w:rPr>
        <w:t>חוב לגוף מוסדי</w:t>
      </w:r>
    </w:p>
    <w:p w:rsidR="0038338B" w:rsidRPr="0038338B" w:rsidRDefault="0038338B" w:rsidP="0038338B">
      <w:pPr>
        <w:overflowPunct/>
        <w:autoSpaceDE/>
        <w:autoSpaceDN/>
        <w:adjustRightInd/>
        <w:spacing w:line="360" w:lineRule="auto"/>
        <w:ind w:left="360"/>
        <w:contextualSpacing/>
        <w:jc w:val="both"/>
        <w:textAlignment w:val="auto"/>
        <w:rPr>
          <w:rFonts w:eastAsiaTheme="minorHAnsi"/>
          <w:sz w:val="22"/>
          <w:rtl/>
          <w:lang w:eastAsia="en-US"/>
        </w:rPr>
      </w:pPr>
      <w:r w:rsidRPr="0038338B">
        <w:rPr>
          <w:rFonts w:eastAsiaTheme="minorHAnsi" w:hint="cs"/>
          <w:sz w:val="22"/>
          <w:rtl/>
          <w:lang w:eastAsia="en-US"/>
        </w:rPr>
        <w:t>גוף מוסדי</w:t>
      </w:r>
      <w:r w:rsidRPr="0038338B">
        <w:rPr>
          <w:rFonts w:eastAsiaTheme="minorHAnsi"/>
          <w:sz w:val="22"/>
          <w:rtl/>
          <w:lang w:eastAsia="en-US"/>
        </w:rPr>
        <w:t xml:space="preserve"> </w:t>
      </w:r>
      <w:r w:rsidRPr="0038338B">
        <w:rPr>
          <w:rFonts w:eastAsiaTheme="minorHAnsi" w:hint="cs"/>
          <w:sz w:val="22"/>
          <w:rtl/>
          <w:lang w:eastAsia="en-US"/>
        </w:rPr>
        <w:t>יברר</w:t>
      </w:r>
      <w:r w:rsidRPr="0038338B">
        <w:rPr>
          <w:rFonts w:eastAsiaTheme="minorHAnsi"/>
          <w:sz w:val="22"/>
          <w:rtl/>
          <w:lang w:eastAsia="en-US"/>
        </w:rPr>
        <w:t xml:space="preserve"> </w:t>
      </w:r>
      <w:r w:rsidRPr="0038338B">
        <w:rPr>
          <w:rFonts w:eastAsiaTheme="minorHAnsi" w:hint="cs"/>
          <w:sz w:val="22"/>
          <w:rtl/>
          <w:lang w:eastAsia="en-US"/>
        </w:rPr>
        <w:t>ויישב</w:t>
      </w:r>
      <w:r w:rsidRPr="0038338B">
        <w:rPr>
          <w:rFonts w:eastAsiaTheme="minorHAnsi"/>
          <w:sz w:val="22"/>
          <w:rtl/>
          <w:lang w:eastAsia="en-US"/>
        </w:rPr>
        <w:t xml:space="preserve"> תביעה </w:t>
      </w:r>
      <w:r w:rsidRPr="0038338B">
        <w:rPr>
          <w:rFonts w:eastAsiaTheme="minorHAnsi" w:hint="cs"/>
          <w:sz w:val="22"/>
          <w:rtl/>
          <w:lang w:eastAsia="en-US"/>
        </w:rPr>
        <w:t>אף</w:t>
      </w:r>
      <w:r w:rsidRPr="0038338B">
        <w:rPr>
          <w:rFonts w:eastAsiaTheme="minorHAnsi"/>
          <w:sz w:val="22"/>
          <w:rtl/>
          <w:lang w:eastAsia="en-US"/>
        </w:rPr>
        <w:t xml:space="preserve"> </w:t>
      </w:r>
      <w:r w:rsidRPr="0038338B">
        <w:rPr>
          <w:rFonts w:eastAsiaTheme="minorHAnsi" w:hint="cs"/>
          <w:sz w:val="22"/>
          <w:rtl/>
          <w:lang w:eastAsia="en-US"/>
        </w:rPr>
        <w:t>אם</w:t>
      </w:r>
      <w:r w:rsidRPr="0038338B">
        <w:rPr>
          <w:rFonts w:eastAsiaTheme="minorHAnsi"/>
          <w:sz w:val="22"/>
          <w:rtl/>
          <w:lang w:eastAsia="en-US"/>
        </w:rPr>
        <w:t xml:space="preserve"> קיים </w:t>
      </w:r>
      <w:r w:rsidRPr="0038338B">
        <w:rPr>
          <w:rFonts w:eastAsiaTheme="minorHAnsi" w:hint="cs"/>
          <w:sz w:val="22"/>
          <w:rtl/>
          <w:lang w:eastAsia="en-US"/>
        </w:rPr>
        <w:t>לתובע, בעת הגשת התביעה, חוב</w:t>
      </w:r>
      <w:r w:rsidRPr="0038338B">
        <w:rPr>
          <w:rFonts w:eastAsiaTheme="minorHAnsi"/>
          <w:sz w:val="22"/>
          <w:rtl/>
          <w:lang w:eastAsia="en-US"/>
        </w:rPr>
        <w:t xml:space="preserve"> </w:t>
      </w:r>
      <w:r w:rsidRPr="0038338B">
        <w:rPr>
          <w:rFonts w:eastAsiaTheme="minorHAnsi" w:hint="cs"/>
          <w:sz w:val="22"/>
          <w:rtl/>
          <w:lang w:eastAsia="en-US"/>
        </w:rPr>
        <w:t>לגוף המוסדי, ויהיה רשאי לקזז מתגמולי הביטוח להם יהיה זכאי התובע חוב כאמור,</w:t>
      </w:r>
      <w:r w:rsidRPr="0038338B">
        <w:rPr>
          <w:rFonts w:eastAsiaTheme="minorHAnsi"/>
          <w:sz w:val="22"/>
          <w:rtl/>
          <w:lang w:eastAsia="en-US"/>
        </w:rPr>
        <w:t xml:space="preserve"> </w:t>
      </w:r>
      <w:r w:rsidRPr="0038338B">
        <w:rPr>
          <w:rFonts w:eastAsiaTheme="minorHAnsi" w:hint="cs"/>
          <w:sz w:val="22"/>
          <w:rtl/>
          <w:lang w:eastAsia="en-US"/>
        </w:rPr>
        <w:t>והכל בכפוף להוראות הדין שנוגעות לעניין</w:t>
      </w:r>
      <w:r w:rsidRPr="0038338B">
        <w:rPr>
          <w:rFonts w:eastAsiaTheme="minorHAnsi"/>
          <w:sz w:val="22"/>
          <w:rtl/>
          <w:lang w:eastAsia="en-US"/>
        </w:rPr>
        <w:t xml:space="preserve">. </w:t>
      </w:r>
    </w:p>
    <w:p w:rsidR="0038338B" w:rsidRPr="0038338B" w:rsidRDefault="0038338B" w:rsidP="0038338B">
      <w:pPr>
        <w:overflowPunct/>
        <w:autoSpaceDE/>
        <w:autoSpaceDN/>
        <w:adjustRightInd/>
        <w:spacing w:line="360" w:lineRule="auto"/>
        <w:ind w:left="360"/>
        <w:contextualSpacing/>
        <w:jc w:val="both"/>
        <w:textAlignment w:val="auto"/>
        <w:rPr>
          <w:rFonts w:eastAsiaTheme="minorHAnsi" w:cs="FrankRuehl"/>
          <w:sz w:val="24"/>
          <w:szCs w:val="26"/>
          <w:rtl/>
          <w:lang w:eastAsia="en-US"/>
        </w:rPr>
      </w:pPr>
    </w:p>
    <w:p w:rsidR="000E49D1" w:rsidRPr="0038338B" w:rsidRDefault="000E49D1" w:rsidP="000E49D1">
      <w:pPr>
        <w:numPr>
          <w:ilvl w:val="0"/>
          <w:numId w:val="25"/>
        </w:numPr>
        <w:overflowPunct/>
        <w:autoSpaceDE/>
        <w:autoSpaceDN/>
        <w:adjustRightInd/>
        <w:spacing w:line="360" w:lineRule="auto"/>
        <w:contextualSpacing/>
        <w:jc w:val="both"/>
        <w:textAlignment w:val="auto"/>
        <w:rPr>
          <w:rFonts w:eastAsiaTheme="minorHAnsi"/>
          <w:sz w:val="22"/>
          <w:u w:val="single"/>
          <w:rtl/>
          <w:lang w:eastAsia="en-US"/>
        </w:rPr>
      </w:pPr>
      <w:r w:rsidRPr="0038338B">
        <w:rPr>
          <w:rFonts w:eastAsiaTheme="minorHAnsi" w:hint="cs"/>
          <w:sz w:val="22"/>
          <w:u w:val="single"/>
          <w:rtl/>
          <w:lang w:eastAsia="en-US"/>
        </w:rPr>
        <w:t xml:space="preserve">דחיית </w:t>
      </w:r>
      <w:r w:rsidRPr="0038338B">
        <w:rPr>
          <w:rFonts w:eastAsiaTheme="minorHAnsi"/>
          <w:sz w:val="22"/>
          <w:u w:val="single"/>
          <w:rtl/>
          <w:lang w:eastAsia="en-US"/>
        </w:rPr>
        <w:t xml:space="preserve">תביעה </w:t>
      </w:r>
      <w:r w:rsidRPr="0038338B">
        <w:rPr>
          <w:rFonts w:eastAsiaTheme="minorHAnsi" w:hint="cs"/>
          <w:sz w:val="22"/>
          <w:u w:val="single"/>
          <w:rtl/>
          <w:lang w:eastAsia="en-US"/>
        </w:rPr>
        <w:t>המבוססת על דוחות</w:t>
      </w:r>
      <w:r w:rsidRPr="0038338B">
        <w:rPr>
          <w:rFonts w:eastAsiaTheme="minorHAnsi"/>
          <w:sz w:val="22"/>
          <w:u w:val="single"/>
          <w:rtl/>
          <w:lang w:eastAsia="en-US"/>
        </w:rPr>
        <w:t xml:space="preserve"> </w:t>
      </w:r>
      <w:r w:rsidRPr="0038338B">
        <w:rPr>
          <w:rFonts w:eastAsiaTheme="minorHAnsi" w:hint="cs"/>
          <w:sz w:val="22"/>
          <w:u w:val="single"/>
          <w:rtl/>
          <w:lang w:eastAsia="en-US"/>
        </w:rPr>
        <w:t>חקירה</w:t>
      </w:r>
    </w:p>
    <w:p w:rsidR="000E49D1" w:rsidRPr="0038338B" w:rsidRDefault="000E49D1" w:rsidP="000E49D1">
      <w:pPr>
        <w:numPr>
          <w:ilvl w:val="0"/>
          <w:numId w:val="34"/>
        </w:numPr>
        <w:overflowPunct/>
        <w:autoSpaceDE/>
        <w:autoSpaceDN/>
        <w:adjustRightInd/>
        <w:spacing w:line="360" w:lineRule="auto"/>
        <w:contextualSpacing/>
        <w:jc w:val="both"/>
        <w:textAlignment w:val="auto"/>
        <w:rPr>
          <w:rFonts w:eastAsia="Calibri"/>
          <w:sz w:val="24"/>
          <w:rtl/>
          <w:lang w:eastAsia="en-US"/>
        </w:rPr>
      </w:pPr>
      <w:r w:rsidRPr="0038338B">
        <w:rPr>
          <w:rFonts w:eastAsia="Calibri" w:hint="cs"/>
          <w:sz w:val="24"/>
          <w:rtl/>
          <w:lang w:eastAsia="en-US"/>
        </w:rPr>
        <w:t>גוף מוסדי</w:t>
      </w:r>
      <w:r w:rsidRPr="0038338B">
        <w:rPr>
          <w:rFonts w:eastAsia="Calibri"/>
          <w:sz w:val="24"/>
          <w:rtl/>
          <w:lang w:eastAsia="en-US"/>
        </w:rPr>
        <w:t xml:space="preserve"> לא </w:t>
      </w:r>
      <w:r w:rsidRPr="0038338B">
        <w:rPr>
          <w:rFonts w:eastAsia="Calibri" w:hint="cs"/>
          <w:sz w:val="24"/>
          <w:rtl/>
          <w:lang w:eastAsia="en-US"/>
        </w:rPr>
        <w:t>י</w:t>
      </w:r>
      <w:r w:rsidRPr="0038338B">
        <w:rPr>
          <w:rFonts w:eastAsia="Calibri"/>
          <w:sz w:val="24"/>
          <w:rtl/>
          <w:lang w:eastAsia="en-US"/>
        </w:rPr>
        <w:t>תנה תשלום לחוקר פרטי המספק ל</w:t>
      </w:r>
      <w:r w:rsidRPr="0038338B">
        <w:rPr>
          <w:rFonts w:eastAsia="Calibri" w:hint="cs"/>
          <w:sz w:val="24"/>
          <w:rtl/>
          <w:lang w:eastAsia="en-US"/>
        </w:rPr>
        <w:t>ו</w:t>
      </w:r>
      <w:r w:rsidRPr="0038338B">
        <w:rPr>
          <w:rFonts w:eastAsia="Calibri"/>
          <w:sz w:val="24"/>
          <w:rtl/>
          <w:lang w:eastAsia="en-US"/>
        </w:rPr>
        <w:t xml:space="preserve"> שירותי חקירה במסגרת בירור תביעה</w:t>
      </w:r>
      <w:r w:rsidRPr="0038338B">
        <w:rPr>
          <w:rFonts w:eastAsia="Calibri" w:hint="cs"/>
          <w:sz w:val="24"/>
          <w:rtl/>
          <w:lang w:eastAsia="en-US"/>
        </w:rPr>
        <w:t xml:space="preserve"> או יקבע את גובהו,</w:t>
      </w:r>
      <w:r w:rsidRPr="0038338B">
        <w:rPr>
          <w:rFonts w:eastAsia="Calibri"/>
          <w:sz w:val="24"/>
          <w:rtl/>
          <w:lang w:eastAsia="en-US"/>
        </w:rPr>
        <w:t xml:space="preserve"> בהתאם לתוצאות החקירה.</w:t>
      </w:r>
    </w:p>
    <w:p w:rsidR="000E49D1" w:rsidRPr="0038338B" w:rsidRDefault="000E49D1" w:rsidP="000E49D1">
      <w:pPr>
        <w:numPr>
          <w:ilvl w:val="0"/>
          <w:numId w:val="34"/>
        </w:numPr>
        <w:overflowPunct/>
        <w:autoSpaceDE/>
        <w:autoSpaceDN/>
        <w:adjustRightInd/>
        <w:spacing w:line="360" w:lineRule="auto"/>
        <w:contextualSpacing/>
        <w:jc w:val="both"/>
        <w:textAlignment w:val="auto"/>
        <w:rPr>
          <w:rFonts w:eastAsia="Calibri"/>
          <w:sz w:val="24"/>
          <w:lang w:eastAsia="en-US"/>
        </w:rPr>
      </w:pPr>
      <w:r w:rsidRPr="0038338B">
        <w:rPr>
          <w:rFonts w:eastAsia="Calibri" w:hint="cs"/>
          <w:sz w:val="24"/>
          <w:rtl/>
          <w:lang w:eastAsia="en-US"/>
        </w:rPr>
        <w:lastRenderedPageBreak/>
        <w:t>גוף</w:t>
      </w:r>
      <w:r w:rsidRPr="0038338B">
        <w:rPr>
          <w:rFonts w:eastAsia="Calibri"/>
          <w:sz w:val="24"/>
          <w:rtl/>
          <w:lang w:eastAsia="en-US"/>
        </w:rPr>
        <w:t xml:space="preserve"> </w:t>
      </w:r>
      <w:r w:rsidRPr="0038338B">
        <w:rPr>
          <w:rFonts w:eastAsia="Calibri" w:hint="cs"/>
          <w:sz w:val="24"/>
          <w:rtl/>
          <w:lang w:eastAsia="en-US"/>
        </w:rPr>
        <w:t>מוסדי</w:t>
      </w:r>
      <w:r w:rsidRPr="0038338B">
        <w:rPr>
          <w:rFonts w:eastAsia="Calibri"/>
          <w:sz w:val="24"/>
          <w:rtl/>
          <w:lang w:eastAsia="en-US"/>
        </w:rPr>
        <w:t xml:space="preserve"> לא </w:t>
      </w:r>
      <w:r w:rsidRPr="0038338B">
        <w:rPr>
          <w:rFonts w:eastAsia="Calibri" w:hint="cs"/>
          <w:sz w:val="24"/>
          <w:rtl/>
          <w:lang w:eastAsia="en-US"/>
        </w:rPr>
        <w:t>י</w:t>
      </w:r>
      <w:r w:rsidRPr="0038338B">
        <w:rPr>
          <w:rFonts w:eastAsia="Calibri"/>
          <w:sz w:val="24"/>
          <w:rtl/>
          <w:lang w:eastAsia="en-US"/>
        </w:rPr>
        <w:t>סתמך בעת דחיית תביעה על דוח חקירה שהגיש ל</w:t>
      </w:r>
      <w:r w:rsidRPr="0038338B">
        <w:rPr>
          <w:rFonts w:eastAsia="Calibri" w:hint="cs"/>
          <w:sz w:val="24"/>
          <w:rtl/>
          <w:lang w:eastAsia="en-US"/>
        </w:rPr>
        <w:t>ו</w:t>
      </w:r>
      <w:r w:rsidRPr="0038338B">
        <w:rPr>
          <w:rFonts w:eastAsia="Calibri"/>
          <w:sz w:val="24"/>
          <w:rtl/>
          <w:lang w:eastAsia="en-US"/>
        </w:rPr>
        <w:t xml:space="preserve"> חוקר פרטי מטעמ</w:t>
      </w:r>
      <w:r w:rsidRPr="0038338B">
        <w:rPr>
          <w:rFonts w:eastAsia="Calibri" w:hint="cs"/>
          <w:sz w:val="24"/>
          <w:rtl/>
          <w:lang w:eastAsia="en-US"/>
        </w:rPr>
        <w:t>ו</w:t>
      </w:r>
      <w:r w:rsidRPr="0038338B">
        <w:rPr>
          <w:rFonts w:eastAsia="Calibri"/>
          <w:sz w:val="24"/>
          <w:rtl/>
          <w:lang w:eastAsia="en-US"/>
        </w:rPr>
        <w:t xml:space="preserve"> (להלן - דוח חקירה) אם לצורך ברור התביעה החוקר התחזה לעובד ציבור או לממלא תפקיד מטעם חברה המספקת שירות חיוני. </w:t>
      </w:r>
    </w:p>
    <w:p w:rsidR="000E49D1" w:rsidRDefault="000E49D1" w:rsidP="000E49D1">
      <w:pPr>
        <w:numPr>
          <w:ilvl w:val="0"/>
          <w:numId w:val="34"/>
        </w:numPr>
        <w:overflowPunct/>
        <w:autoSpaceDE/>
        <w:autoSpaceDN/>
        <w:adjustRightInd/>
        <w:spacing w:line="360" w:lineRule="auto"/>
        <w:contextualSpacing/>
        <w:jc w:val="both"/>
        <w:textAlignment w:val="auto"/>
        <w:rPr>
          <w:rFonts w:eastAsia="Calibri"/>
          <w:sz w:val="24"/>
          <w:lang w:eastAsia="en-US"/>
        </w:rPr>
      </w:pPr>
      <w:r w:rsidRPr="0038338B">
        <w:rPr>
          <w:rFonts w:eastAsia="Calibri" w:hint="cs"/>
          <w:sz w:val="24"/>
          <w:rtl/>
          <w:lang w:eastAsia="en-US"/>
        </w:rPr>
        <w:t>גוף</w:t>
      </w:r>
      <w:r w:rsidRPr="0038338B">
        <w:rPr>
          <w:rFonts w:eastAsia="Calibri"/>
          <w:sz w:val="24"/>
          <w:rtl/>
          <w:lang w:eastAsia="en-US"/>
        </w:rPr>
        <w:t xml:space="preserve"> </w:t>
      </w:r>
      <w:r w:rsidRPr="0038338B">
        <w:rPr>
          <w:rFonts w:eastAsia="Calibri" w:hint="cs"/>
          <w:sz w:val="24"/>
          <w:rtl/>
          <w:lang w:eastAsia="en-US"/>
        </w:rPr>
        <w:t>מוסדי</w:t>
      </w:r>
      <w:r w:rsidRPr="0038338B">
        <w:rPr>
          <w:rFonts w:eastAsia="Calibri"/>
          <w:sz w:val="24"/>
          <w:rtl/>
          <w:lang w:eastAsia="en-US"/>
        </w:rPr>
        <w:t xml:space="preserve"> המבסס את החלטת</w:t>
      </w:r>
      <w:r w:rsidRPr="0038338B">
        <w:rPr>
          <w:rFonts w:eastAsia="Calibri" w:hint="cs"/>
          <w:sz w:val="24"/>
          <w:rtl/>
          <w:lang w:eastAsia="en-US"/>
        </w:rPr>
        <w:t>ו</w:t>
      </w:r>
      <w:r w:rsidRPr="0038338B">
        <w:rPr>
          <w:rFonts w:eastAsia="Calibri"/>
          <w:sz w:val="24"/>
          <w:rtl/>
          <w:lang w:eastAsia="en-US"/>
        </w:rPr>
        <w:t xml:space="preserve"> </w:t>
      </w:r>
      <w:r w:rsidRPr="0038338B">
        <w:rPr>
          <w:rFonts w:eastAsia="Calibri" w:hint="cs"/>
          <w:sz w:val="24"/>
          <w:rtl/>
          <w:lang w:eastAsia="en-US"/>
        </w:rPr>
        <w:t>בבירור</w:t>
      </w:r>
      <w:r w:rsidRPr="0038338B">
        <w:rPr>
          <w:rFonts w:eastAsia="Calibri"/>
          <w:sz w:val="24"/>
          <w:rtl/>
          <w:lang w:eastAsia="en-US"/>
        </w:rPr>
        <w:t xml:space="preserve"> תביעה </w:t>
      </w:r>
      <w:r w:rsidRPr="0038338B">
        <w:rPr>
          <w:rFonts w:eastAsia="Calibri" w:hint="cs"/>
          <w:sz w:val="24"/>
          <w:rtl/>
          <w:lang w:eastAsia="en-US"/>
        </w:rPr>
        <w:t>על</w:t>
      </w:r>
      <w:r w:rsidRPr="0038338B">
        <w:rPr>
          <w:rFonts w:eastAsia="Calibri"/>
          <w:sz w:val="24"/>
          <w:rtl/>
          <w:lang w:eastAsia="en-US"/>
        </w:rPr>
        <w:t xml:space="preserve"> </w:t>
      </w:r>
      <w:r w:rsidRPr="0038338B">
        <w:rPr>
          <w:rFonts w:eastAsia="Calibri" w:hint="cs"/>
          <w:sz w:val="24"/>
          <w:rtl/>
          <w:lang w:eastAsia="en-US"/>
        </w:rPr>
        <w:t>דוח</w:t>
      </w:r>
      <w:r w:rsidRPr="0038338B">
        <w:rPr>
          <w:rFonts w:eastAsia="Calibri"/>
          <w:sz w:val="24"/>
          <w:rtl/>
          <w:lang w:eastAsia="en-US"/>
        </w:rPr>
        <w:t xml:space="preserve"> </w:t>
      </w:r>
      <w:r w:rsidRPr="0038338B">
        <w:rPr>
          <w:rFonts w:eastAsia="Calibri" w:hint="cs"/>
          <w:sz w:val="24"/>
          <w:rtl/>
          <w:lang w:eastAsia="en-US"/>
        </w:rPr>
        <w:t>חקירה,</w:t>
      </w:r>
      <w:r w:rsidRPr="0038338B">
        <w:rPr>
          <w:rFonts w:eastAsia="Calibri"/>
          <w:sz w:val="24"/>
          <w:rtl/>
          <w:lang w:eastAsia="en-US"/>
        </w:rPr>
        <w:t xml:space="preserve"> </w:t>
      </w:r>
      <w:r w:rsidRPr="0038338B">
        <w:rPr>
          <w:rFonts w:eastAsia="Calibri" w:hint="cs"/>
          <w:sz w:val="24"/>
          <w:rtl/>
          <w:lang w:eastAsia="en-US"/>
        </w:rPr>
        <w:t>יפרט</w:t>
      </w:r>
      <w:r w:rsidRPr="0038338B">
        <w:rPr>
          <w:rFonts w:eastAsia="Calibri"/>
          <w:sz w:val="24"/>
          <w:rtl/>
          <w:lang w:eastAsia="en-US"/>
        </w:rPr>
        <w:t xml:space="preserve"> </w:t>
      </w:r>
      <w:r w:rsidRPr="0038338B">
        <w:rPr>
          <w:rFonts w:eastAsia="Calibri" w:hint="cs"/>
          <w:sz w:val="24"/>
          <w:rtl/>
          <w:lang w:eastAsia="en-US"/>
        </w:rPr>
        <w:t>בפני</w:t>
      </w:r>
      <w:r w:rsidRPr="0038338B">
        <w:rPr>
          <w:rFonts w:eastAsia="Calibri"/>
          <w:sz w:val="24"/>
          <w:rtl/>
          <w:lang w:eastAsia="en-US"/>
        </w:rPr>
        <w:t xml:space="preserve"> </w:t>
      </w:r>
      <w:r w:rsidRPr="0038338B">
        <w:rPr>
          <w:rFonts w:eastAsia="Calibri" w:hint="cs"/>
          <w:sz w:val="24"/>
          <w:rtl/>
          <w:lang w:eastAsia="en-US"/>
        </w:rPr>
        <w:t>התובע</w:t>
      </w:r>
      <w:r w:rsidRPr="0038338B">
        <w:rPr>
          <w:rFonts w:eastAsia="Calibri"/>
          <w:sz w:val="24"/>
          <w:rtl/>
          <w:lang w:eastAsia="en-US"/>
        </w:rPr>
        <w:t xml:space="preserve"> </w:t>
      </w:r>
      <w:r w:rsidRPr="0038338B">
        <w:rPr>
          <w:rFonts w:eastAsia="Calibri" w:hint="cs"/>
          <w:sz w:val="24"/>
          <w:rtl/>
          <w:lang w:eastAsia="en-US"/>
        </w:rPr>
        <w:t>את</w:t>
      </w:r>
      <w:r w:rsidRPr="0038338B">
        <w:rPr>
          <w:rFonts w:eastAsia="Calibri"/>
          <w:sz w:val="24"/>
          <w:rtl/>
          <w:lang w:eastAsia="en-US"/>
        </w:rPr>
        <w:t xml:space="preserve"> </w:t>
      </w:r>
      <w:r w:rsidRPr="0038338B">
        <w:rPr>
          <w:rFonts w:eastAsia="Calibri" w:hint="cs"/>
          <w:sz w:val="24"/>
          <w:rtl/>
          <w:lang w:eastAsia="en-US"/>
        </w:rPr>
        <w:t>עיקרי</w:t>
      </w:r>
      <w:r w:rsidRPr="0038338B">
        <w:rPr>
          <w:rFonts w:eastAsia="Calibri"/>
          <w:sz w:val="24"/>
          <w:rtl/>
          <w:lang w:eastAsia="en-US"/>
        </w:rPr>
        <w:t xml:space="preserve"> </w:t>
      </w:r>
      <w:r w:rsidRPr="0038338B">
        <w:rPr>
          <w:rFonts w:eastAsia="Calibri" w:hint="cs"/>
          <w:sz w:val="24"/>
          <w:rtl/>
          <w:lang w:eastAsia="en-US"/>
        </w:rPr>
        <w:t>הממצאים</w:t>
      </w:r>
      <w:r w:rsidRPr="0038338B">
        <w:rPr>
          <w:rFonts w:eastAsia="Calibri"/>
          <w:sz w:val="24"/>
          <w:rtl/>
          <w:lang w:eastAsia="en-US"/>
        </w:rPr>
        <w:t xml:space="preserve"> </w:t>
      </w:r>
      <w:r w:rsidRPr="0038338B">
        <w:rPr>
          <w:rFonts w:eastAsia="Calibri" w:hint="cs"/>
          <w:sz w:val="24"/>
          <w:rtl/>
          <w:lang w:eastAsia="en-US"/>
        </w:rPr>
        <w:t>מדוח</w:t>
      </w:r>
      <w:r w:rsidRPr="0038338B">
        <w:rPr>
          <w:rFonts w:eastAsia="Calibri"/>
          <w:sz w:val="24"/>
          <w:rtl/>
          <w:lang w:eastAsia="en-US"/>
        </w:rPr>
        <w:t xml:space="preserve"> </w:t>
      </w:r>
      <w:r w:rsidRPr="0038338B">
        <w:rPr>
          <w:rFonts w:eastAsia="Calibri" w:hint="cs"/>
          <w:sz w:val="24"/>
          <w:rtl/>
          <w:lang w:eastAsia="en-US"/>
        </w:rPr>
        <w:t>החקירה שמעידים על כך שלא קרה מקרה הביטוח.</w:t>
      </w:r>
      <w:r w:rsidRPr="0038338B">
        <w:rPr>
          <w:rFonts w:eastAsia="Calibri"/>
          <w:sz w:val="24"/>
          <w:rtl/>
          <w:lang w:eastAsia="en-US"/>
        </w:rPr>
        <w:t xml:space="preserve">  </w:t>
      </w:r>
    </w:p>
    <w:p w:rsidR="000E49D1" w:rsidRDefault="000E49D1" w:rsidP="00A107C5">
      <w:pPr>
        <w:numPr>
          <w:ilvl w:val="0"/>
          <w:numId w:val="34"/>
        </w:numPr>
        <w:overflowPunct/>
        <w:autoSpaceDE/>
        <w:autoSpaceDN/>
        <w:adjustRightInd/>
        <w:spacing w:line="360" w:lineRule="auto"/>
        <w:contextualSpacing/>
        <w:jc w:val="both"/>
        <w:textAlignment w:val="auto"/>
        <w:rPr>
          <w:rFonts w:eastAsia="Calibri"/>
          <w:sz w:val="24"/>
          <w:lang w:eastAsia="en-US"/>
        </w:rPr>
      </w:pPr>
      <w:r w:rsidRPr="0038338B">
        <w:rPr>
          <w:rFonts w:eastAsia="Calibri" w:hint="cs"/>
          <w:sz w:val="24"/>
          <w:rtl/>
          <w:lang w:eastAsia="en-US"/>
        </w:rPr>
        <w:t>גוף</w:t>
      </w:r>
      <w:r w:rsidRPr="0038338B">
        <w:rPr>
          <w:rFonts w:eastAsia="Calibri"/>
          <w:sz w:val="24"/>
          <w:rtl/>
          <w:lang w:eastAsia="en-US"/>
        </w:rPr>
        <w:t xml:space="preserve"> </w:t>
      </w:r>
      <w:r w:rsidRPr="0038338B">
        <w:rPr>
          <w:rFonts w:eastAsia="Calibri" w:hint="cs"/>
          <w:sz w:val="24"/>
          <w:rtl/>
          <w:lang w:eastAsia="en-US"/>
        </w:rPr>
        <w:t>מוסדי</w:t>
      </w:r>
      <w:r w:rsidRPr="0038338B">
        <w:rPr>
          <w:rFonts w:eastAsia="Calibri"/>
          <w:sz w:val="24"/>
          <w:rtl/>
          <w:lang w:eastAsia="en-US"/>
        </w:rPr>
        <w:t xml:space="preserve"> </w:t>
      </w:r>
      <w:r w:rsidRPr="0038338B">
        <w:rPr>
          <w:rFonts w:eastAsia="Calibri" w:hint="cs"/>
          <w:sz w:val="24"/>
          <w:rtl/>
          <w:lang w:eastAsia="en-US"/>
        </w:rPr>
        <w:t>לא</w:t>
      </w:r>
      <w:r w:rsidRPr="0038338B">
        <w:rPr>
          <w:rFonts w:eastAsia="Calibri"/>
          <w:sz w:val="24"/>
          <w:rtl/>
          <w:lang w:eastAsia="en-US"/>
        </w:rPr>
        <w:t xml:space="preserve"> </w:t>
      </w:r>
      <w:r w:rsidRPr="0038338B">
        <w:rPr>
          <w:rFonts w:eastAsia="Calibri" w:hint="cs"/>
          <w:sz w:val="24"/>
          <w:rtl/>
          <w:lang w:eastAsia="en-US"/>
        </w:rPr>
        <w:t>יסתמך</w:t>
      </w:r>
      <w:r w:rsidRPr="0038338B">
        <w:rPr>
          <w:rFonts w:eastAsia="Calibri"/>
          <w:sz w:val="24"/>
          <w:rtl/>
          <w:lang w:eastAsia="en-US"/>
        </w:rPr>
        <w:t xml:space="preserve"> </w:t>
      </w:r>
      <w:r w:rsidRPr="0038338B">
        <w:rPr>
          <w:rFonts w:eastAsia="Calibri" w:hint="cs"/>
          <w:sz w:val="24"/>
          <w:rtl/>
          <w:lang w:eastAsia="en-US"/>
        </w:rPr>
        <w:t>על</w:t>
      </w:r>
      <w:r w:rsidRPr="0038338B">
        <w:rPr>
          <w:rFonts w:eastAsia="Calibri"/>
          <w:sz w:val="24"/>
          <w:rtl/>
          <w:lang w:eastAsia="en-US"/>
        </w:rPr>
        <w:t xml:space="preserve"> </w:t>
      </w:r>
      <w:r w:rsidRPr="0038338B">
        <w:rPr>
          <w:rFonts w:eastAsia="Calibri" w:hint="cs"/>
          <w:sz w:val="24"/>
          <w:rtl/>
          <w:lang w:eastAsia="en-US"/>
        </w:rPr>
        <w:t>דוח</w:t>
      </w:r>
      <w:r w:rsidRPr="0038338B">
        <w:rPr>
          <w:rFonts w:eastAsia="Calibri"/>
          <w:sz w:val="24"/>
          <w:rtl/>
          <w:lang w:eastAsia="en-US"/>
        </w:rPr>
        <w:t xml:space="preserve"> </w:t>
      </w:r>
      <w:r w:rsidRPr="0038338B">
        <w:rPr>
          <w:rFonts w:eastAsia="Calibri" w:hint="cs"/>
          <w:sz w:val="24"/>
          <w:rtl/>
          <w:lang w:eastAsia="en-US"/>
        </w:rPr>
        <w:t>חקירה</w:t>
      </w:r>
      <w:r w:rsidRPr="0038338B">
        <w:rPr>
          <w:rFonts w:eastAsia="Calibri"/>
          <w:sz w:val="24"/>
          <w:rtl/>
          <w:lang w:eastAsia="en-US"/>
        </w:rPr>
        <w:t xml:space="preserve"> </w:t>
      </w:r>
      <w:r w:rsidRPr="0038338B">
        <w:rPr>
          <w:rFonts w:eastAsia="Calibri" w:hint="cs"/>
          <w:sz w:val="24"/>
          <w:rtl/>
          <w:lang w:eastAsia="en-US"/>
        </w:rPr>
        <w:t>סמויה</w:t>
      </w:r>
      <w:r w:rsidRPr="0038338B">
        <w:rPr>
          <w:rFonts w:eastAsia="Calibri"/>
          <w:sz w:val="24"/>
          <w:rtl/>
          <w:lang w:eastAsia="en-US"/>
        </w:rPr>
        <w:t xml:space="preserve"> </w:t>
      </w:r>
      <w:r w:rsidRPr="0038338B">
        <w:rPr>
          <w:rFonts w:eastAsia="Calibri" w:hint="cs"/>
          <w:sz w:val="24"/>
          <w:rtl/>
          <w:lang w:eastAsia="en-US"/>
        </w:rPr>
        <w:t>שכללה</w:t>
      </w:r>
      <w:r w:rsidRPr="0038338B">
        <w:rPr>
          <w:rFonts w:eastAsia="Calibri"/>
          <w:sz w:val="24"/>
          <w:rtl/>
          <w:lang w:eastAsia="en-US"/>
        </w:rPr>
        <w:t xml:space="preserve"> שיח</w:t>
      </w:r>
      <w:r w:rsidRPr="0038338B">
        <w:rPr>
          <w:rFonts w:eastAsia="Calibri" w:hint="cs"/>
          <w:sz w:val="24"/>
          <w:rtl/>
          <w:lang w:eastAsia="en-US"/>
        </w:rPr>
        <w:t>ה</w:t>
      </w:r>
      <w:r w:rsidRPr="0038338B">
        <w:rPr>
          <w:rFonts w:eastAsia="Calibri"/>
          <w:sz w:val="24"/>
          <w:rtl/>
          <w:lang w:eastAsia="en-US"/>
        </w:rPr>
        <w:t xml:space="preserve"> עם התובע, המבוטח או עם גורם רלבנטי ותועדה על ידי החוקר באמצעות הקלטה או וידאו, אם </w:t>
      </w:r>
      <w:r w:rsidRPr="0038338B">
        <w:rPr>
          <w:rFonts w:eastAsia="Calibri" w:hint="cs"/>
          <w:sz w:val="24"/>
          <w:rtl/>
          <w:lang w:eastAsia="en-US"/>
        </w:rPr>
        <w:t>לא</w:t>
      </w:r>
      <w:r w:rsidRPr="0038338B">
        <w:rPr>
          <w:rFonts w:eastAsia="Calibri"/>
          <w:sz w:val="24"/>
          <w:rtl/>
          <w:lang w:eastAsia="en-US"/>
        </w:rPr>
        <w:t xml:space="preserve"> </w:t>
      </w:r>
      <w:r w:rsidRPr="0038338B">
        <w:rPr>
          <w:rFonts w:eastAsia="Calibri" w:hint="cs"/>
          <w:sz w:val="24"/>
          <w:rtl/>
          <w:lang w:eastAsia="en-US"/>
        </w:rPr>
        <w:t>צורפו</w:t>
      </w:r>
      <w:r w:rsidRPr="0038338B">
        <w:rPr>
          <w:rFonts w:eastAsia="Calibri"/>
          <w:sz w:val="24"/>
          <w:rtl/>
          <w:lang w:eastAsia="en-US"/>
        </w:rPr>
        <w:t xml:space="preserve"> קבצי </w:t>
      </w:r>
      <w:r w:rsidRPr="0038338B">
        <w:rPr>
          <w:rFonts w:eastAsia="Calibri" w:hint="cs"/>
          <w:sz w:val="24"/>
          <w:rtl/>
          <w:lang w:eastAsia="en-US"/>
        </w:rPr>
        <w:t>ה</w:t>
      </w:r>
      <w:r w:rsidRPr="0038338B">
        <w:rPr>
          <w:rFonts w:eastAsia="Calibri"/>
          <w:sz w:val="24"/>
          <w:rtl/>
          <w:lang w:eastAsia="en-US"/>
        </w:rPr>
        <w:t xml:space="preserve">שמע </w:t>
      </w:r>
      <w:r w:rsidRPr="0038338B">
        <w:rPr>
          <w:rFonts w:eastAsia="Calibri" w:hint="cs"/>
          <w:sz w:val="24"/>
          <w:rtl/>
          <w:lang w:eastAsia="en-US"/>
        </w:rPr>
        <w:t>או</w:t>
      </w:r>
      <w:r w:rsidRPr="0038338B">
        <w:rPr>
          <w:rFonts w:eastAsia="Calibri"/>
          <w:sz w:val="24"/>
          <w:rtl/>
          <w:lang w:eastAsia="en-US"/>
        </w:rPr>
        <w:t xml:space="preserve"> קבצי </w:t>
      </w:r>
      <w:r w:rsidRPr="0038338B">
        <w:rPr>
          <w:rFonts w:eastAsia="Calibri" w:hint="cs"/>
          <w:sz w:val="24"/>
          <w:rtl/>
          <w:lang w:eastAsia="en-US"/>
        </w:rPr>
        <w:t>הווידאו</w:t>
      </w:r>
      <w:r w:rsidRPr="0038338B">
        <w:rPr>
          <w:rFonts w:eastAsia="Calibri"/>
          <w:sz w:val="24"/>
          <w:rtl/>
          <w:lang w:eastAsia="en-US"/>
        </w:rPr>
        <w:t xml:space="preserve"> (הכוללים קבצי שמע) </w:t>
      </w:r>
      <w:r w:rsidRPr="0038338B">
        <w:rPr>
          <w:rFonts w:eastAsia="Calibri" w:hint="cs"/>
          <w:sz w:val="24"/>
          <w:rtl/>
          <w:lang w:eastAsia="en-US"/>
        </w:rPr>
        <w:t>ש</w:t>
      </w:r>
      <w:r w:rsidRPr="0038338B">
        <w:rPr>
          <w:rFonts w:eastAsia="Calibri"/>
          <w:sz w:val="24"/>
          <w:rtl/>
          <w:lang w:eastAsia="en-US"/>
        </w:rPr>
        <w:t xml:space="preserve">מתעדים את מהלך החקירה ואת </w:t>
      </w:r>
      <w:r w:rsidRPr="0038338B">
        <w:rPr>
          <w:rFonts w:eastAsia="Calibri" w:hint="cs"/>
          <w:sz w:val="24"/>
          <w:rtl/>
          <w:lang w:eastAsia="en-US"/>
        </w:rPr>
        <w:t>עיקרי</w:t>
      </w:r>
      <w:r w:rsidRPr="0038338B">
        <w:rPr>
          <w:rFonts w:eastAsia="Calibri"/>
          <w:sz w:val="24"/>
          <w:rtl/>
          <w:lang w:eastAsia="en-US"/>
        </w:rPr>
        <w:t xml:space="preserve"> </w:t>
      </w:r>
      <w:r w:rsidRPr="0038338B">
        <w:rPr>
          <w:rFonts w:eastAsia="Calibri" w:hint="cs"/>
          <w:sz w:val="24"/>
          <w:rtl/>
          <w:lang w:eastAsia="en-US"/>
        </w:rPr>
        <w:t>הממצאים</w:t>
      </w:r>
      <w:r w:rsidRPr="0038338B">
        <w:rPr>
          <w:rFonts w:eastAsia="Calibri"/>
          <w:sz w:val="24"/>
          <w:rtl/>
          <w:lang w:eastAsia="en-US"/>
        </w:rPr>
        <w:t xml:space="preserve"> </w:t>
      </w:r>
      <w:r w:rsidRPr="0038338B">
        <w:rPr>
          <w:rFonts w:eastAsia="Calibri" w:hint="cs"/>
          <w:sz w:val="24"/>
          <w:rtl/>
          <w:lang w:eastAsia="en-US"/>
        </w:rPr>
        <w:t>העולים</w:t>
      </w:r>
      <w:r w:rsidRPr="0038338B">
        <w:rPr>
          <w:rFonts w:eastAsia="Calibri"/>
          <w:sz w:val="24"/>
          <w:rtl/>
          <w:lang w:eastAsia="en-US"/>
        </w:rPr>
        <w:t xml:space="preserve"> </w:t>
      </w:r>
      <w:r w:rsidRPr="0038338B">
        <w:rPr>
          <w:rFonts w:eastAsia="Calibri" w:hint="cs"/>
          <w:sz w:val="24"/>
          <w:rtl/>
          <w:lang w:eastAsia="en-US"/>
        </w:rPr>
        <w:t>ממנה</w:t>
      </w:r>
      <w:r w:rsidRPr="0038338B">
        <w:rPr>
          <w:rFonts w:eastAsia="Calibri"/>
          <w:sz w:val="24"/>
          <w:rtl/>
          <w:lang w:eastAsia="en-US"/>
        </w:rPr>
        <w:t>.</w:t>
      </w:r>
    </w:p>
    <w:p w:rsidR="000E49D1" w:rsidRPr="000E49D1" w:rsidRDefault="000E49D1" w:rsidP="000E49D1">
      <w:pPr>
        <w:spacing w:before="120" w:after="120" w:line="360" w:lineRule="auto"/>
        <w:jc w:val="both"/>
        <w:rPr>
          <w:rFonts w:eastAsiaTheme="minorHAnsi"/>
          <w:sz w:val="22"/>
        </w:rPr>
      </w:pPr>
      <w:r w:rsidRPr="000E49D1">
        <w:rPr>
          <w:rFonts w:eastAsiaTheme="minorHAnsi"/>
          <w:sz w:val="22"/>
          <w:rtl/>
        </w:rPr>
        <w:t xml:space="preserve">6א. </w:t>
      </w:r>
      <w:r w:rsidRPr="000E49D1">
        <w:rPr>
          <w:rFonts w:eastAsiaTheme="minorHAnsi" w:hint="cs"/>
          <w:sz w:val="22"/>
          <w:rtl/>
        </w:rPr>
        <w:t>גוף</w:t>
      </w:r>
      <w:r w:rsidRPr="000E49D1">
        <w:rPr>
          <w:rFonts w:eastAsiaTheme="minorHAnsi"/>
          <w:sz w:val="22"/>
          <w:rtl/>
        </w:rPr>
        <w:t xml:space="preserve"> </w:t>
      </w:r>
      <w:r w:rsidRPr="000E49D1">
        <w:rPr>
          <w:rFonts w:eastAsiaTheme="minorHAnsi" w:hint="cs"/>
          <w:sz w:val="22"/>
          <w:rtl/>
        </w:rPr>
        <w:t>מוסדי</w:t>
      </w:r>
      <w:r w:rsidRPr="000E49D1">
        <w:rPr>
          <w:rFonts w:eastAsiaTheme="minorHAnsi"/>
          <w:sz w:val="22"/>
          <w:rtl/>
        </w:rPr>
        <w:t xml:space="preserve"> </w:t>
      </w:r>
      <w:r w:rsidRPr="000E49D1">
        <w:rPr>
          <w:rFonts w:eastAsiaTheme="minorHAnsi" w:hint="cs"/>
          <w:sz w:val="22"/>
          <w:rtl/>
        </w:rPr>
        <w:t>לא</w:t>
      </w:r>
      <w:r w:rsidRPr="000E49D1">
        <w:rPr>
          <w:rFonts w:eastAsiaTheme="minorHAnsi"/>
          <w:sz w:val="22"/>
          <w:rtl/>
        </w:rPr>
        <w:t xml:space="preserve"> </w:t>
      </w:r>
      <w:r w:rsidRPr="000E49D1">
        <w:rPr>
          <w:rFonts w:eastAsiaTheme="minorHAnsi" w:hint="cs"/>
          <w:sz w:val="22"/>
          <w:rtl/>
        </w:rPr>
        <w:t>ישפיע,</w:t>
      </w:r>
      <w:r w:rsidRPr="000E49D1">
        <w:rPr>
          <w:rFonts w:eastAsiaTheme="minorHAnsi"/>
          <w:sz w:val="22"/>
          <w:rtl/>
        </w:rPr>
        <w:t xml:space="preserve"> </w:t>
      </w:r>
      <w:r w:rsidRPr="000E49D1">
        <w:rPr>
          <w:rFonts w:eastAsiaTheme="minorHAnsi" w:hint="cs"/>
          <w:sz w:val="22"/>
          <w:rtl/>
        </w:rPr>
        <w:t>במישרין או בעקיפין,</w:t>
      </w:r>
      <w:r w:rsidRPr="000E49D1">
        <w:rPr>
          <w:rFonts w:eastAsiaTheme="minorHAnsi"/>
          <w:sz w:val="22"/>
          <w:rtl/>
        </w:rPr>
        <w:t xml:space="preserve"> על שיקול דעתו המקצועי של רופא או אח מטעמ</w:t>
      </w:r>
      <w:r w:rsidRPr="000E49D1">
        <w:rPr>
          <w:rFonts w:eastAsiaTheme="minorHAnsi" w:hint="cs"/>
          <w:sz w:val="22"/>
          <w:rtl/>
        </w:rPr>
        <w:t>ו</w:t>
      </w:r>
      <w:r w:rsidRPr="000E49D1">
        <w:rPr>
          <w:rFonts w:eastAsiaTheme="minorHAnsi"/>
          <w:sz w:val="22"/>
          <w:rtl/>
        </w:rPr>
        <w:t>.</w:t>
      </w:r>
    </w:p>
    <w:p w:rsidR="000E49D1" w:rsidRPr="007765EA" w:rsidRDefault="000E49D1" w:rsidP="000E49D1">
      <w:pPr>
        <w:spacing w:before="120" w:after="120" w:line="360" w:lineRule="auto"/>
        <w:jc w:val="both"/>
        <w:rPr>
          <w:rFonts w:eastAsia="Calibri"/>
          <w:sz w:val="24"/>
          <w:lang w:eastAsia="en-US"/>
        </w:rPr>
      </w:pPr>
      <w:r w:rsidRPr="007765EA">
        <w:rPr>
          <w:rFonts w:eastAsiaTheme="minorHAnsi"/>
          <w:sz w:val="22"/>
          <w:rtl/>
        </w:rPr>
        <w:t xml:space="preserve">6ב. </w:t>
      </w:r>
      <w:r w:rsidRPr="000E49D1">
        <w:rPr>
          <w:rFonts w:hint="cs"/>
          <w:sz w:val="24"/>
          <w:rtl/>
        </w:rPr>
        <w:t xml:space="preserve">פנה אדם בקשר להגשת תביעה לגוף מוסדי או למי מטעמו </w:t>
      </w:r>
      <w:r w:rsidRPr="007765EA">
        <w:rPr>
          <w:rFonts w:eastAsia="Calibri"/>
          <w:sz w:val="24"/>
          <w:rtl/>
          <w:lang w:eastAsia="en-US"/>
        </w:rPr>
        <w:t xml:space="preserve"> יפרט הגוף המוסדי למבוטח את הפוליסות שבהן הוא מבוטח אצלו, יציין בפניו את הפוליסות שנתבעו כתוצאה מתביעתו, את האפשרות שלו לבחון </w:t>
      </w:r>
      <w:r w:rsidRPr="007765EA">
        <w:rPr>
          <w:rFonts w:eastAsia="Calibri" w:hint="cs"/>
          <w:sz w:val="24"/>
          <w:rtl/>
          <w:lang w:eastAsia="en-US"/>
        </w:rPr>
        <w:t>הגשת</w:t>
      </w:r>
      <w:r w:rsidRPr="007765EA">
        <w:rPr>
          <w:rFonts w:eastAsia="Calibri"/>
          <w:sz w:val="24"/>
          <w:rtl/>
          <w:lang w:eastAsia="en-US"/>
        </w:rPr>
        <w:t xml:space="preserve"> תביעה בפוליסות הנוספות ויפנה אותו לאתר האינטרנט המרכזי לאיתור מוצרי הביטוח ('הר הביטוח') לרבות שליחת קישור באמצעות מסרון.</w:t>
      </w:r>
    </w:p>
    <w:p w:rsidR="000E49D1" w:rsidRPr="000E49D1" w:rsidRDefault="000E49D1" w:rsidP="000E49D1">
      <w:pPr>
        <w:spacing w:before="120" w:after="120" w:line="360" w:lineRule="auto"/>
        <w:jc w:val="both"/>
        <w:rPr>
          <w:sz w:val="22"/>
          <w:rtl/>
        </w:rPr>
      </w:pPr>
      <w:r w:rsidRPr="000E49D1">
        <w:rPr>
          <w:rFonts w:eastAsiaTheme="minorHAnsi"/>
          <w:sz w:val="22"/>
          <w:rtl/>
        </w:rPr>
        <w:t xml:space="preserve">6ג. </w:t>
      </w:r>
      <w:r w:rsidRPr="000E49D1">
        <w:rPr>
          <w:rFonts w:eastAsiaTheme="minorHAnsi" w:hint="cs"/>
          <w:sz w:val="22"/>
          <w:rtl/>
        </w:rPr>
        <w:t>גוף</w:t>
      </w:r>
      <w:r w:rsidRPr="000E49D1">
        <w:rPr>
          <w:rFonts w:eastAsiaTheme="minorHAnsi"/>
          <w:sz w:val="22"/>
          <w:rtl/>
        </w:rPr>
        <w:t xml:space="preserve"> </w:t>
      </w:r>
      <w:r w:rsidRPr="000E49D1">
        <w:rPr>
          <w:rFonts w:eastAsiaTheme="minorHAnsi" w:hint="cs"/>
          <w:sz w:val="22"/>
          <w:rtl/>
        </w:rPr>
        <w:t>מוסדי</w:t>
      </w:r>
      <w:r w:rsidRPr="000E49D1">
        <w:rPr>
          <w:rFonts w:eastAsiaTheme="minorHAnsi"/>
          <w:sz w:val="22"/>
          <w:rtl/>
        </w:rPr>
        <w:t xml:space="preserve"> </w:t>
      </w:r>
      <w:r w:rsidRPr="000E49D1">
        <w:rPr>
          <w:rFonts w:eastAsiaTheme="minorHAnsi" w:hint="cs"/>
          <w:sz w:val="22"/>
          <w:rtl/>
        </w:rPr>
        <w:t>יאפשר</w:t>
      </w:r>
      <w:r w:rsidRPr="000E49D1">
        <w:rPr>
          <w:rFonts w:eastAsiaTheme="minorHAnsi"/>
          <w:sz w:val="22"/>
          <w:rtl/>
        </w:rPr>
        <w:t xml:space="preserve"> למבוטח, במקרה של</w:t>
      </w:r>
      <w:r w:rsidRPr="000E49D1">
        <w:rPr>
          <w:rFonts w:eastAsiaTheme="minorHAnsi" w:hint="cs"/>
          <w:sz w:val="22"/>
          <w:rtl/>
        </w:rPr>
        <w:t xml:space="preserve"> תשלום</w:t>
      </w:r>
      <w:r w:rsidRPr="000E49D1">
        <w:rPr>
          <w:rFonts w:eastAsiaTheme="minorHAnsi"/>
          <w:sz w:val="22"/>
          <w:rtl/>
        </w:rPr>
        <w:t xml:space="preserve"> תגמולי ביטוח המכסים תשלומים חד פעמיים לספק מוכר </w:t>
      </w:r>
      <w:r w:rsidRPr="000E49D1">
        <w:rPr>
          <w:rFonts w:eastAsiaTheme="minorHAnsi" w:hint="cs"/>
          <w:sz w:val="22"/>
          <w:rtl/>
        </w:rPr>
        <w:t>העובד עם הגוף</w:t>
      </w:r>
      <w:r w:rsidRPr="000E49D1">
        <w:rPr>
          <w:rFonts w:eastAsiaTheme="minorHAnsi"/>
          <w:sz w:val="22"/>
          <w:rtl/>
        </w:rPr>
        <w:t xml:space="preserve"> </w:t>
      </w:r>
      <w:r w:rsidRPr="000E49D1">
        <w:rPr>
          <w:rFonts w:eastAsiaTheme="minorHAnsi" w:hint="cs"/>
          <w:sz w:val="22"/>
          <w:rtl/>
        </w:rPr>
        <w:t>המוסדי</w:t>
      </w:r>
      <w:r w:rsidRPr="000E49D1">
        <w:rPr>
          <w:rFonts w:eastAsiaTheme="minorHAnsi"/>
          <w:sz w:val="22"/>
          <w:rtl/>
        </w:rPr>
        <w:t xml:space="preserve"> או לחילופין תשלומים עיתיים העולים על 5,000 ש"ח,</w:t>
      </w:r>
      <w:r w:rsidRPr="000E49D1">
        <w:rPr>
          <w:rFonts w:eastAsiaTheme="minorHAnsi" w:hint="cs"/>
          <w:sz w:val="22"/>
          <w:rtl/>
        </w:rPr>
        <w:t xml:space="preserve"> </w:t>
      </w:r>
      <w:r w:rsidRPr="000E49D1">
        <w:rPr>
          <w:rFonts w:eastAsiaTheme="minorHAnsi"/>
          <w:sz w:val="22"/>
          <w:rtl/>
        </w:rPr>
        <w:t xml:space="preserve">לבחור האם ברצונו שהתשלום לספק השירות יעשה על ידי </w:t>
      </w:r>
      <w:r w:rsidRPr="000E49D1">
        <w:rPr>
          <w:rFonts w:eastAsiaTheme="minorHAnsi" w:hint="cs"/>
          <w:sz w:val="22"/>
          <w:rtl/>
        </w:rPr>
        <w:t>הגוף</w:t>
      </w:r>
      <w:r w:rsidRPr="000E49D1">
        <w:rPr>
          <w:rFonts w:eastAsiaTheme="minorHAnsi"/>
          <w:sz w:val="22"/>
          <w:rtl/>
        </w:rPr>
        <w:t xml:space="preserve"> </w:t>
      </w:r>
      <w:r w:rsidRPr="000E49D1">
        <w:rPr>
          <w:rFonts w:eastAsiaTheme="minorHAnsi" w:hint="cs"/>
          <w:sz w:val="22"/>
          <w:rtl/>
        </w:rPr>
        <w:t>המוסדי</w:t>
      </w:r>
      <w:r w:rsidRPr="000E49D1">
        <w:rPr>
          <w:rFonts w:eastAsiaTheme="minorHAnsi"/>
          <w:sz w:val="22"/>
          <w:rtl/>
        </w:rPr>
        <w:t>, בין אם באופן ישיר ובין אם באמצעות המחאה לפקודת ספק השירות.</w:t>
      </w:r>
    </w:p>
    <w:p w:rsidR="00A107C5" w:rsidRPr="0038338B" w:rsidRDefault="00A107C5" w:rsidP="0038338B">
      <w:pPr>
        <w:overflowPunct/>
        <w:autoSpaceDE/>
        <w:autoSpaceDN/>
        <w:adjustRightInd/>
        <w:spacing w:line="360" w:lineRule="auto"/>
        <w:ind w:left="489"/>
        <w:contextualSpacing/>
        <w:jc w:val="both"/>
        <w:textAlignment w:val="auto"/>
        <w:rPr>
          <w:rFonts w:eastAsiaTheme="minorHAnsi" w:cs="FrankRuehl"/>
          <w:sz w:val="24"/>
          <w:szCs w:val="26"/>
          <w:lang w:eastAsia="en-US"/>
        </w:rPr>
      </w:pPr>
    </w:p>
    <w:p w:rsidR="0038338B" w:rsidRPr="0038338B" w:rsidRDefault="0038338B" w:rsidP="0038338B">
      <w:pPr>
        <w:overflowPunct/>
        <w:autoSpaceDE/>
        <w:autoSpaceDN/>
        <w:adjustRightInd/>
        <w:spacing w:line="360" w:lineRule="auto"/>
        <w:jc w:val="both"/>
        <w:textAlignment w:val="auto"/>
        <w:rPr>
          <w:b/>
          <w:bCs/>
          <w:sz w:val="24"/>
          <w:u w:val="single"/>
          <w:rtl/>
        </w:rPr>
      </w:pPr>
      <w:r w:rsidRPr="0038338B">
        <w:rPr>
          <w:rFonts w:hint="eastAsia"/>
          <w:b/>
          <w:bCs/>
          <w:sz w:val="24"/>
          <w:u w:val="single"/>
          <w:rtl/>
        </w:rPr>
        <w:t>ביטוח</w:t>
      </w:r>
      <w:r w:rsidRPr="0038338B">
        <w:rPr>
          <w:b/>
          <w:bCs/>
          <w:sz w:val="24"/>
          <w:u w:val="single"/>
          <w:rtl/>
        </w:rPr>
        <w:t xml:space="preserve"> </w:t>
      </w:r>
      <w:r w:rsidRPr="0038338B">
        <w:rPr>
          <w:rFonts w:hint="eastAsia"/>
          <w:b/>
          <w:bCs/>
          <w:sz w:val="24"/>
          <w:u w:val="single"/>
          <w:rtl/>
        </w:rPr>
        <w:t>כללי</w:t>
      </w:r>
    </w:p>
    <w:p w:rsidR="0038338B" w:rsidRPr="0038338B" w:rsidRDefault="0038338B" w:rsidP="0038338B">
      <w:pPr>
        <w:numPr>
          <w:ilvl w:val="0"/>
          <w:numId w:val="25"/>
        </w:numPr>
        <w:overflowPunct/>
        <w:autoSpaceDE/>
        <w:autoSpaceDN/>
        <w:adjustRightInd/>
        <w:spacing w:line="360" w:lineRule="auto"/>
        <w:contextualSpacing/>
        <w:jc w:val="both"/>
        <w:textAlignment w:val="auto"/>
        <w:rPr>
          <w:rFonts w:eastAsiaTheme="minorHAnsi"/>
          <w:sz w:val="24"/>
          <w:lang w:eastAsia="en-US"/>
        </w:rPr>
      </w:pPr>
      <w:r w:rsidRPr="0038338B">
        <w:rPr>
          <w:rFonts w:eastAsiaTheme="minorHAnsi" w:hint="eastAsia"/>
          <w:sz w:val="24"/>
          <w:rtl/>
          <w:lang w:eastAsia="en-US"/>
        </w:rPr>
        <w:t>חברת</w:t>
      </w:r>
      <w:r w:rsidRPr="0038338B">
        <w:rPr>
          <w:rFonts w:eastAsiaTheme="minorHAnsi"/>
          <w:sz w:val="24"/>
          <w:rtl/>
          <w:lang w:eastAsia="en-US"/>
        </w:rPr>
        <w:t xml:space="preserve"> </w:t>
      </w:r>
      <w:r w:rsidRPr="0038338B">
        <w:rPr>
          <w:rFonts w:eastAsiaTheme="minorHAnsi" w:hint="eastAsia"/>
          <w:sz w:val="24"/>
          <w:rtl/>
          <w:lang w:eastAsia="en-US"/>
        </w:rPr>
        <w:t>ביטוח</w:t>
      </w:r>
      <w:r w:rsidRPr="0038338B">
        <w:rPr>
          <w:rFonts w:eastAsiaTheme="minorHAnsi"/>
          <w:sz w:val="24"/>
          <w:rtl/>
          <w:lang w:eastAsia="en-US"/>
        </w:rPr>
        <w:t xml:space="preserve"> </w:t>
      </w:r>
      <w:r w:rsidRPr="0038338B">
        <w:rPr>
          <w:rFonts w:eastAsiaTheme="minorHAnsi" w:hint="eastAsia"/>
          <w:sz w:val="24"/>
          <w:rtl/>
          <w:lang w:eastAsia="en-US"/>
        </w:rPr>
        <w:t>לא</w:t>
      </w:r>
      <w:r w:rsidRPr="0038338B">
        <w:rPr>
          <w:rFonts w:eastAsiaTheme="minorHAnsi"/>
          <w:sz w:val="24"/>
          <w:rtl/>
          <w:lang w:eastAsia="en-US"/>
        </w:rPr>
        <w:t xml:space="preserve"> </w:t>
      </w:r>
      <w:r w:rsidRPr="0038338B">
        <w:rPr>
          <w:rFonts w:eastAsiaTheme="minorHAnsi" w:hint="eastAsia"/>
          <w:sz w:val="24"/>
          <w:rtl/>
          <w:lang w:eastAsia="en-US"/>
        </w:rPr>
        <w:t>תקזז</w:t>
      </w:r>
      <w:r w:rsidRPr="0038338B">
        <w:rPr>
          <w:rFonts w:eastAsiaTheme="minorHAnsi"/>
          <w:sz w:val="24"/>
          <w:rtl/>
          <w:lang w:eastAsia="en-US"/>
        </w:rPr>
        <w:t xml:space="preserve"> </w:t>
      </w:r>
      <w:r w:rsidRPr="0038338B">
        <w:rPr>
          <w:rFonts w:eastAsiaTheme="minorHAnsi" w:hint="cs"/>
          <w:sz w:val="24"/>
          <w:rtl/>
          <w:lang w:eastAsia="en-US"/>
        </w:rPr>
        <w:t xml:space="preserve">כספים </w:t>
      </w:r>
      <w:r w:rsidRPr="0038338B">
        <w:rPr>
          <w:rFonts w:eastAsiaTheme="minorHAnsi" w:hint="eastAsia"/>
          <w:sz w:val="24"/>
          <w:rtl/>
          <w:lang w:eastAsia="en-US"/>
        </w:rPr>
        <w:t>מ</w:t>
      </w:r>
      <w:r w:rsidRPr="0038338B">
        <w:rPr>
          <w:rFonts w:eastAsiaTheme="minorHAnsi" w:hint="cs"/>
          <w:sz w:val="24"/>
          <w:rtl/>
          <w:lang w:eastAsia="en-US"/>
        </w:rPr>
        <w:t>התשלום שלו זכאי צד ג',</w:t>
      </w:r>
      <w:r w:rsidRPr="0038338B">
        <w:rPr>
          <w:rFonts w:eastAsiaTheme="minorHAnsi"/>
          <w:sz w:val="24"/>
          <w:rtl/>
          <w:lang w:eastAsia="en-US"/>
        </w:rPr>
        <w:t xml:space="preserve"> </w:t>
      </w:r>
      <w:r w:rsidRPr="0038338B">
        <w:rPr>
          <w:rFonts w:eastAsiaTheme="minorHAnsi" w:hint="eastAsia"/>
          <w:sz w:val="24"/>
          <w:rtl/>
          <w:lang w:eastAsia="en-US"/>
        </w:rPr>
        <w:t>בטענה</w:t>
      </w:r>
      <w:r w:rsidRPr="0038338B">
        <w:rPr>
          <w:rFonts w:eastAsiaTheme="minorHAnsi"/>
          <w:sz w:val="24"/>
          <w:rtl/>
          <w:lang w:eastAsia="en-US"/>
        </w:rPr>
        <w:t xml:space="preserve"> </w:t>
      </w:r>
      <w:r w:rsidRPr="0038338B">
        <w:rPr>
          <w:rFonts w:eastAsiaTheme="minorHAnsi" w:hint="eastAsia"/>
          <w:sz w:val="24"/>
          <w:rtl/>
          <w:lang w:eastAsia="en-US"/>
        </w:rPr>
        <w:t>לרשלנות</w:t>
      </w:r>
      <w:r w:rsidRPr="0038338B">
        <w:rPr>
          <w:rFonts w:eastAsiaTheme="minorHAnsi"/>
          <w:sz w:val="24"/>
          <w:rtl/>
          <w:lang w:eastAsia="en-US"/>
        </w:rPr>
        <w:t xml:space="preserve"> </w:t>
      </w:r>
      <w:r w:rsidRPr="0038338B">
        <w:rPr>
          <w:rFonts w:eastAsiaTheme="minorHAnsi" w:hint="eastAsia"/>
          <w:sz w:val="24"/>
          <w:rtl/>
          <w:lang w:eastAsia="en-US"/>
        </w:rPr>
        <w:t>תורמת</w:t>
      </w:r>
      <w:r w:rsidRPr="0038338B">
        <w:rPr>
          <w:rFonts w:eastAsiaTheme="minorHAnsi" w:hint="cs"/>
          <w:sz w:val="24"/>
          <w:rtl/>
          <w:lang w:eastAsia="en-US"/>
        </w:rPr>
        <w:t xml:space="preserve"> מצדו</w:t>
      </w:r>
      <w:r w:rsidRPr="0038338B">
        <w:rPr>
          <w:rFonts w:eastAsiaTheme="minorHAnsi"/>
          <w:sz w:val="24"/>
          <w:rtl/>
          <w:lang w:eastAsia="en-US"/>
        </w:rPr>
        <w:t>, מבלי ש</w:t>
      </w:r>
      <w:r w:rsidRPr="0038338B">
        <w:rPr>
          <w:rFonts w:eastAsiaTheme="minorHAnsi" w:hint="cs"/>
          <w:sz w:val="24"/>
          <w:rtl/>
          <w:lang w:eastAsia="en-US"/>
        </w:rPr>
        <w:t>תציג</w:t>
      </w:r>
      <w:r w:rsidRPr="0038338B">
        <w:rPr>
          <w:rFonts w:eastAsiaTheme="minorHAnsi"/>
          <w:sz w:val="24"/>
          <w:rtl/>
          <w:lang w:eastAsia="en-US"/>
        </w:rPr>
        <w:t xml:space="preserve"> </w:t>
      </w:r>
      <w:r w:rsidRPr="0038338B">
        <w:rPr>
          <w:rFonts w:eastAsiaTheme="minorHAnsi" w:hint="cs"/>
          <w:sz w:val="24"/>
          <w:rtl/>
          <w:lang w:eastAsia="en-US"/>
        </w:rPr>
        <w:t xml:space="preserve">ותפרט </w:t>
      </w:r>
      <w:r w:rsidRPr="0038338B">
        <w:rPr>
          <w:rFonts w:eastAsiaTheme="minorHAnsi"/>
          <w:sz w:val="24"/>
          <w:rtl/>
          <w:lang w:eastAsia="en-US"/>
        </w:rPr>
        <w:t xml:space="preserve">לצד ג' </w:t>
      </w:r>
      <w:r w:rsidRPr="0038338B">
        <w:rPr>
          <w:rFonts w:eastAsiaTheme="minorHAnsi" w:hint="cs"/>
          <w:sz w:val="24"/>
          <w:rtl/>
          <w:lang w:eastAsia="en-US"/>
        </w:rPr>
        <w:t>את העובדות והנסיבות המבססות את טענת הרשלנות התורמת כאמור.</w:t>
      </w:r>
    </w:p>
    <w:p w:rsidR="0038338B" w:rsidRDefault="0038338B" w:rsidP="0038338B">
      <w:pPr>
        <w:numPr>
          <w:ilvl w:val="0"/>
          <w:numId w:val="25"/>
        </w:numPr>
        <w:overflowPunct/>
        <w:autoSpaceDE/>
        <w:autoSpaceDN/>
        <w:adjustRightInd/>
        <w:spacing w:line="360" w:lineRule="auto"/>
        <w:contextualSpacing/>
        <w:jc w:val="both"/>
        <w:textAlignment w:val="auto"/>
        <w:rPr>
          <w:rFonts w:eastAsiaTheme="minorHAnsi"/>
          <w:sz w:val="24"/>
          <w:lang w:eastAsia="en-US"/>
        </w:rPr>
      </w:pPr>
      <w:r w:rsidRPr="0038338B">
        <w:rPr>
          <w:rFonts w:eastAsiaTheme="minorHAnsi" w:hint="cs"/>
          <w:sz w:val="24"/>
          <w:rtl/>
          <w:lang w:eastAsia="en-US"/>
        </w:rPr>
        <w:t>במקרה</w:t>
      </w:r>
      <w:r w:rsidRPr="0038338B">
        <w:rPr>
          <w:rFonts w:eastAsiaTheme="minorHAnsi"/>
          <w:sz w:val="24"/>
          <w:rtl/>
          <w:lang w:eastAsia="en-US"/>
        </w:rPr>
        <w:t xml:space="preserve"> </w:t>
      </w:r>
      <w:r w:rsidRPr="0038338B">
        <w:rPr>
          <w:rFonts w:eastAsiaTheme="minorHAnsi" w:hint="cs"/>
          <w:sz w:val="24"/>
          <w:rtl/>
          <w:lang w:eastAsia="en-US"/>
        </w:rPr>
        <w:t>של</w:t>
      </w:r>
      <w:r w:rsidRPr="0038338B">
        <w:rPr>
          <w:rFonts w:eastAsiaTheme="minorHAnsi"/>
          <w:sz w:val="24"/>
          <w:rtl/>
          <w:lang w:eastAsia="en-US"/>
        </w:rPr>
        <w:t xml:space="preserve"> </w:t>
      </w:r>
      <w:r w:rsidRPr="0038338B">
        <w:rPr>
          <w:rFonts w:eastAsiaTheme="minorHAnsi" w:hint="cs"/>
          <w:sz w:val="24"/>
          <w:rtl/>
          <w:lang w:eastAsia="en-US"/>
        </w:rPr>
        <w:t>אבדן</w:t>
      </w:r>
      <w:r w:rsidRPr="0038338B">
        <w:rPr>
          <w:rFonts w:eastAsiaTheme="minorHAnsi"/>
          <w:sz w:val="24"/>
          <w:rtl/>
          <w:lang w:eastAsia="en-US"/>
        </w:rPr>
        <w:t xml:space="preserve"> </w:t>
      </w:r>
      <w:r w:rsidRPr="0038338B">
        <w:rPr>
          <w:rFonts w:eastAsiaTheme="minorHAnsi" w:hint="cs"/>
          <w:sz w:val="24"/>
          <w:rtl/>
          <w:lang w:eastAsia="en-US"/>
        </w:rPr>
        <w:t>גמור</w:t>
      </w:r>
      <w:r w:rsidRPr="0038338B">
        <w:rPr>
          <w:rFonts w:eastAsiaTheme="minorHAnsi"/>
          <w:sz w:val="24"/>
          <w:rtl/>
          <w:lang w:eastAsia="en-US"/>
        </w:rPr>
        <w:t xml:space="preserve"> </w:t>
      </w:r>
      <w:r w:rsidRPr="0038338B">
        <w:rPr>
          <w:rFonts w:eastAsiaTheme="minorHAnsi" w:hint="cs"/>
          <w:sz w:val="24"/>
          <w:rtl/>
          <w:lang w:eastAsia="en-US"/>
        </w:rPr>
        <w:t>לרכב</w:t>
      </w:r>
      <w:r w:rsidRPr="0038338B">
        <w:rPr>
          <w:rFonts w:eastAsiaTheme="minorHAnsi"/>
          <w:sz w:val="24"/>
          <w:rtl/>
          <w:lang w:eastAsia="en-US"/>
        </w:rPr>
        <w:t xml:space="preserve">, </w:t>
      </w:r>
      <w:r w:rsidRPr="0038338B">
        <w:rPr>
          <w:rFonts w:eastAsiaTheme="minorHAnsi" w:hint="cs"/>
          <w:sz w:val="24"/>
          <w:rtl/>
          <w:lang w:eastAsia="en-US"/>
        </w:rPr>
        <w:t>לרבות אובדן גמור להלכה, חברת</w:t>
      </w:r>
      <w:r w:rsidRPr="0038338B">
        <w:rPr>
          <w:rFonts w:eastAsiaTheme="minorHAnsi"/>
          <w:sz w:val="24"/>
          <w:rtl/>
          <w:lang w:eastAsia="en-US"/>
        </w:rPr>
        <w:t xml:space="preserve"> </w:t>
      </w:r>
      <w:r w:rsidRPr="0038338B">
        <w:rPr>
          <w:rFonts w:eastAsiaTheme="minorHAnsi" w:hint="cs"/>
          <w:sz w:val="24"/>
          <w:rtl/>
          <w:lang w:eastAsia="en-US"/>
        </w:rPr>
        <w:t>ביטוח</w:t>
      </w:r>
      <w:r w:rsidRPr="0038338B">
        <w:rPr>
          <w:rFonts w:eastAsiaTheme="minorHAnsi"/>
          <w:sz w:val="24"/>
          <w:rtl/>
          <w:lang w:eastAsia="en-US"/>
        </w:rPr>
        <w:t xml:space="preserve"> </w:t>
      </w:r>
      <w:r w:rsidRPr="0038338B">
        <w:rPr>
          <w:rFonts w:eastAsiaTheme="minorHAnsi" w:hint="cs"/>
          <w:sz w:val="24"/>
          <w:rtl/>
          <w:lang w:eastAsia="en-US"/>
        </w:rPr>
        <w:t>לא</w:t>
      </w:r>
      <w:r w:rsidRPr="0038338B">
        <w:rPr>
          <w:rFonts w:eastAsiaTheme="minorHAnsi"/>
          <w:sz w:val="24"/>
          <w:rtl/>
          <w:lang w:eastAsia="en-US"/>
        </w:rPr>
        <w:t xml:space="preserve"> </w:t>
      </w:r>
      <w:r w:rsidRPr="0038338B">
        <w:rPr>
          <w:rFonts w:eastAsiaTheme="minorHAnsi" w:hint="cs"/>
          <w:sz w:val="24"/>
          <w:rtl/>
          <w:lang w:eastAsia="en-US"/>
        </w:rPr>
        <w:t>תקזז</w:t>
      </w:r>
      <w:r w:rsidRPr="0038338B">
        <w:rPr>
          <w:rFonts w:eastAsiaTheme="minorHAnsi"/>
          <w:sz w:val="24"/>
          <w:rtl/>
          <w:lang w:eastAsia="en-US"/>
        </w:rPr>
        <w:t xml:space="preserve"> </w:t>
      </w:r>
      <w:r w:rsidRPr="0038338B">
        <w:rPr>
          <w:rFonts w:eastAsiaTheme="minorHAnsi" w:hint="cs"/>
          <w:sz w:val="24"/>
          <w:rtl/>
          <w:lang w:eastAsia="en-US"/>
        </w:rPr>
        <w:t>מתגמולי</w:t>
      </w:r>
      <w:r w:rsidRPr="0038338B">
        <w:rPr>
          <w:rFonts w:eastAsiaTheme="minorHAnsi"/>
          <w:sz w:val="24"/>
          <w:rtl/>
          <w:lang w:eastAsia="en-US"/>
        </w:rPr>
        <w:t xml:space="preserve"> </w:t>
      </w:r>
      <w:r w:rsidRPr="0038338B">
        <w:rPr>
          <w:rFonts w:eastAsiaTheme="minorHAnsi" w:hint="cs"/>
          <w:sz w:val="24"/>
          <w:rtl/>
          <w:lang w:eastAsia="en-US"/>
        </w:rPr>
        <w:t>הביטוח</w:t>
      </w:r>
      <w:r w:rsidRPr="0038338B">
        <w:rPr>
          <w:rFonts w:eastAsiaTheme="minorHAnsi"/>
          <w:sz w:val="24"/>
          <w:rtl/>
          <w:lang w:eastAsia="en-US"/>
        </w:rPr>
        <w:t xml:space="preserve"> </w:t>
      </w:r>
      <w:r w:rsidRPr="0038338B">
        <w:rPr>
          <w:rFonts w:eastAsiaTheme="minorHAnsi" w:hint="cs"/>
          <w:sz w:val="24"/>
          <w:rtl/>
          <w:lang w:eastAsia="en-US"/>
        </w:rPr>
        <w:t>המשולמים למבוטח או לצד ג' את</w:t>
      </w:r>
      <w:r w:rsidRPr="0038338B">
        <w:rPr>
          <w:rFonts w:eastAsiaTheme="minorHAnsi"/>
          <w:sz w:val="24"/>
          <w:rtl/>
          <w:lang w:eastAsia="en-US"/>
        </w:rPr>
        <w:t xml:space="preserve"> </w:t>
      </w:r>
      <w:r w:rsidRPr="0038338B">
        <w:rPr>
          <w:rFonts w:eastAsiaTheme="minorHAnsi" w:hint="cs"/>
          <w:sz w:val="24"/>
          <w:rtl/>
          <w:lang w:eastAsia="en-US"/>
        </w:rPr>
        <w:t>יתרת אגרת</w:t>
      </w:r>
      <w:r w:rsidRPr="0038338B">
        <w:rPr>
          <w:rFonts w:eastAsiaTheme="minorHAnsi"/>
          <w:sz w:val="24"/>
          <w:rtl/>
          <w:lang w:eastAsia="en-US"/>
        </w:rPr>
        <w:t xml:space="preserve"> </w:t>
      </w:r>
      <w:r w:rsidRPr="0038338B">
        <w:rPr>
          <w:rFonts w:eastAsiaTheme="minorHAnsi" w:hint="cs"/>
          <w:sz w:val="24"/>
          <w:rtl/>
          <w:lang w:eastAsia="en-US"/>
        </w:rPr>
        <w:t>הרישוי בעד הרכב ביחס לתקופה שממועד קרות מקרה הביטוח ועד לתום תקופת הרישוי של הרכב</w:t>
      </w:r>
      <w:r w:rsidRPr="0038338B">
        <w:rPr>
          <w:rFonts w:eastAsiaTheme="minorHAnsi"/>
          <w:sz w:val="24"/>
          <w:rtl/>
          <w:lang w:eastAsia="en-US"/>
        </w:rPr>
        <w:t xml:space="preserve">. </w:t>
      </w:r>
    </w:p>
    <w:p w:rsidR="00936032" w:rsidRDefault="00936032" w:rsidP="0038338B">
      <w:pPr>
        <w:numPr>
          <w:ilvl w:val="0"/>
          <w:numId w:val="25"/>
        </w:numPr>
        <w:overflowPunct/>
        <w:autoSpaceDE/>
        <w:autoSpaceDN/>
        <w:adjustRightInd/>
        <w:spacing w:line="360" w:lineRule="auto"/>
        <w:contextualSpacing/>
        <w:jc w:val="both"/>
        <w:textAlignment w:val="auto"/>
        <w:rPr>
          <w:rFonts w:eastAsiaTheme="minorHAnsi"/>
          <w:sz w:val="24"/>
          <w:lang w:eastAsia="en-US"/>
        </w:rPr>
      </w:pPr>
      <w:r>
        <w:rPr>
          <w:rFonts w:eastAsiaTheme="minorHAnsi" w:hint="cs"/>
          <w:sz w:val="24"/>
          <w:rtl/>
          <w:lang w:eastAsia="en-US"/>
        </w:rPr>
        <w:t>חברת ביטוח</w:t>
      </w:r>
      <w:r w:rsidR="009D280C" w:rsidRPr="009D280C">
        <w:rPr>
          <w:rFonts w:eastAsiaTheme="minorHAnsi"/>
          <w:sz w:val="24"/>
          <w:rtl/>
          <w:lang w:eastAsia="en-US"/>
        </w:rPr>
        <w:t xml:space="preserve"> </w:t>
      </w:r>
      <w:r w:rsidR="009D280C" w:rsidRPr="0038338B">
        <w:rPr>
          <w:rFonts w:eastAsiaTheme="minorHAnsi"/>
          <w:sz w:val="24"/>
          <w:rtl/>
          <w:lang w:eastAsia="en-US"/>
        </w:rPr>
        <w:t xml:space="preserve">לא </w:t>
      </w:r>
      <w:r w:rsidR="009D280C" w:rsidRPr="0038338B">
        <w:rPr>
          <w:rFonts w:eastAsiaTheme="minorHAnsi" w:hint="cs"/>
          <w:sz w:val="24"/>
          <w:rtl/>
          <w:lang w:eastAsia="en-US"/>
        </w:rPr>
        <w:t>תתנה</w:t>
      </w:r>
      <w:r w:rsidR="009D280C" w:rsidRPr="0038338B">
        <w:rPr>
          <w:rFonts w:eastAsiaTheme="minorHAnsi"/>
          <w:sz w:val="24"/>
          <w:rtl/>
          <w:lang w:eastAsia="en-US"/>
        </w:rPr>
        <w:t xml:space="preserve"> </w:t>
      </w:r>
      <w:r w:rsidR="009D280C" w:rsidRPr="0038338B">
        <w:rPr>
          <w:rFonts w:eastAsiaTheme="minorHAnsi" w:hint="cs"/>
          <w:sz w:val="24"/>
          <w:rtl/>
          <w:lang w:eastAsia="en-US"/>
        </w:rPr>
        <w:t>מתן</w:t>
      </w:r>
      <w:r w:rsidR="009D280C" w:rsidRPr="0038338B">
        <w:rPr>
          <w:rFonts w:eastAsiaTheme="minorHAnsi"/>
          <w:sz w:val="24"/>
          <w:rtl/>
          <w:lang w:eastAsia="en-US"/>
        </w:rPr>
        <w:t xml:space="preserve"> </w:t>
      </w:r>
      <w:r w:rsidR="009D280C" w:rsidRPr="0038338B">
        <w:rPr>
          <w:rFonts w:eastAsiaTheme="minorHAnsi" w:hint="cs"/>
          <w:sz w:val="24"/>
          <w:rtl/>
          <w:lang w:eastAsia="en-US"/>
        </w:rPr>
        <w:t>ה</w:t>
      </w:r>
      <w:r w:rsidR="009D280C" w:rsidRPr="0038338B">
        <w:rPr>
          <w:rFonts w:eastAsiaTheme="minorHAnsi"/>
          <w:sz w:val="24"/>
          <w:rtl/>
          <w:lang w:eastAsia="en-US"/>
        </w:rPr>
        <w:t>נחה</w:t>
      </w:r>
      <w:r w:rsidR="009D280C" w:rsidRPr="0038338B">
        <w:rPr>
          <w:rFonts w:eastAsiaTheme="minorHAnsi" w:hint="cs"/>
          <w:sz w:val="24"/>
          <w:rtl/>
          <w:lang w:eastAsia="en-US"/>
        </w:rPr>
        <w:t xml:space="preserve"> בה</w:t>
      </w:r>
      <w:r w:rsidR="009D280C" w:rsidRPr="0038338B">
        <w:rPr>
          <w:rFonts w:eastAsiaTheme="minorHAnsi"/>
          <w:sz w:val="24"/>
          <w:rtl/>
          <w:lang w:eastAsia="en-US"/>
        </w:rPr>
        <w:t xml:space="preserve">שתתפות </w:t>
      </w:r>
      <w:r w:rsidR="009D280C" w:rsidRPr="0038338B">
        <w:rPr>
          <w:rFonts w:eastAsiaTheme="minorHAnsi" w:hint="cs"/>
          <w:sz w:val="24"/>
          <w:rtl/>
          <w:lang w:eastAsia="en-US"/>
        </w:rPr>
        <w:t>ה</w:t>
      </w:r>
      <w:r w:rsidR="009D280C" w:rsidRPr="0038338B">
        <w:rPr>
          <w:rFonts w:eastAsiaTheme="minorHAnsi"/>
          <w:sz w:val="24"/>
          <w:rtl/>
          <w:lang w:eastAsia="en-US"/>
        </w:rPr>
        <w:t xml:space="preserve">עצמית </w:t>
      </w:r>
      <w:r w:rsidR="009D280C" w:rsidRPr="0038338B">
        <w:rPr>
          <w:rFonts w:eastAsiaTheme="minorHAnsi" w:hint="cs"/>
          <w:sz w:val="24"/>
          <w:rtl/>
          <w:lang w:eastAsia="en-US"/>
        </w:rPr>
        <w:t>של מבוטח</w:t>
      </w:r>
      <w:r w:rsidR="009D280C" w:rsidRPr="0038338B">
        <w:rPr>
          <w:rFonts w:eastAsiaTheme="minorHAnsi"/>
          <w:sz w:val="24"/>
          <w:rtl/>
          <w:lang w:eastAsia="en-US"/>
        </w:rPr>
        <w:t xml:space="preserve"> ב</w:t>
      </w:r>
      <w:r w:rsidR="009D280C" w:rsidRPr="0038338B">
        <w:rPr>
          <w:rFonts w:eastAsiaTheme="minorHAnsi" w:hint="cs"/>
          <w:sz w:val="24"/>
          <w:rtl/>
          <w:lang w:eastAsia="en-US"/>
        </w:rPr>
        <w:t>התאם ל</w:t>
      </w:r>
      <w:r w:rsidR="009D280C" w:rsidRPr="0038338B">
        <w:rPr>
          <w:rFonts w:eastAsiaTheme="minorHAnsi"/>
          <w:sz w:val="24"/>
          <w:rtl/>
          <w:lang w:eastAsia="en-US"/>
        </w:rPr>
        <w:t>סוג השמאי ש</w:t>
      </w:r>
      <w:r w:rsidR="009D280C" w:rsidRPr="0038338B">
        <w:rPr>
          <w:rFonts w:eastAsiaTheme="minorHAnsi" w:hint="cs"/>
          <w:sz w:val="24"/>
          <w:rtl/>
          <w:lang w:eastAsia="en-US"/>
        </w:rPr>
        <w:t>י</w:t>
      </w:r>
      <w:r w:rsidR="009D280C" w:rsidRPr="0038338B">
        <w:rPr>
          <w:rFonts w:eastAsiaTheme="minorHAnsi"/>
          <w:sz w:val="24"/>
          <w:rtl/>
          <w:lang w:eastAsia="en-US"/>
        </w:rPr>
        <w:t>בחר המבוטח.</w:t>
      </w:r>
    </w:p>
    <w:p w:rsidR="000336AB" w:rsidRPr="00314D66" w:rsidRDefault="000336AB" w:rsidP="000336AB">
      <w:pPr>
        <w:overflowPunct/>
        <w:autoSpaceDE/>
        <w:autoSpaceDN/>
        <w:adjustRightInd/>
        <w:spacing w:line="360" w:lineRule="auto"/>
        <w:ind w:left="282" w:hanging="283"/>
        <w:contextualSpacing/>
        <w:jc w:val="both"/>
        <w:textAlignment w:val="auto"/>
        <w:rPr>
          <w:rFonts w:eastAsiaTheme="minorHAnsi"/>
          <w:sz w:val="24"/>
          <w:lang w:eastAsia="en-US"/>
        </w:rPr>
      </w:pPr>
      <w:r>
        <w:rPr>
          <w:rFonts w:eastAsiaTheme="minorHAnsi" w:hint="cs"/>
          <w:sz w:val="24"/>
          <w:rtl/>
          <w:lang w:eastAsia="en-US"/>
        </w:rPr>
        <w:t xml:space="preserve">9א. </w:t>
      </w:r>
      <w:r w:rsidRPr="00314D66">
        <w:rPr>
          <w:rFonts w:eastAsiaTheme="minorHAnsi" w:hint="cs"/>
          <w:sz w:val="24"/>
          <w:rtl/>
          <w:lang w:eastAsia="en-US"/>
        </w:rPr>
        <w:t>חברת</w:t>
      </w:r>
      <w:r w:rsidRPr="00314D66">
        <w:rPr>
          <w:rFonts w:eastAsiaTheme="minorHAnsi"/>
          <w:sz w:val="24"/>
          <w:rtl/>
          <w:lang w:eastAsia="en-US"/>
        </w:rPr>
        <w:t xml:space="preserve"> ביטוח של רכב פוגע בתאונת שרשרת לא </w:t>
      </w:r>
      <w:r w:rsidRPr="00314D66">
        <w:rPr>
          <w:rFonts w:eastAsiaTheme="minorHAnsi" w:hint="cs"/>
          <w:sz w:val="24"/>
          <w:rtl/>
          <w:lang w:eastAsia="en-US"/>
        </w:rPr>
        <w:t>ת</w:t>
      </w:r>
      <w:r w:rsidRPr="00314D66">
        <w:rPr>
          <w:rFonts w:eastAsiaTheme="minorHAnsi"/>
          <w:sz w:val="24"/>
          <w:rtl/>
          <w:lang w:eastAsia="en-US"/>
        </w:rPr>
        <w:t>עכב את התשלום ל</w:t>
      </w:r>
      <w:r>
        <w:rPr>
          <w:rFonts w:eastAsiaTheme="minorHAnsi" w:hint="cs"/>
          <w:sz w:val="24"/>
          <w:rtl/>
          <w:lang w:eastAsia="en-US"/>
        </w:rPr>
        <w:t>צד שלישי</w:t>
      </w:r>
      <w:r w:rsidRPr="00314D66">
        <w:rPr>
          <w:rFonts w:eastAsiaTheme="minorHAnsi"/>
          <w:sz w:val="24"/>
          <w:rtl/>
          <w:lang w:eastAsia="en-US"/>
        </w:rPr>
        <w:t xml:space="preserve"> ברכב הראשון לצורך בירור חלוקת האחריות </w:t>
      </w:r>
      <w:r>
        <w:rPr>
          <w:rFonts w:eastAsiaTheme="minorHAnsi" w:hint="cs"/>
          <w:sz w:val="24"/>
          <w:rtl/>
          <w:lang w:eastAsia="en-US"/>
        </w:rPr>
        <w:t xml:space="preserve">בינה לבין חברות הביטוח של רכבים אחרים המעורבים בתאונה, </w:t>
      </w:r>
      <w:r w:rsidRPr="00314D66">
        <w:rPr>
          <w:rFonts w:eastAsiaTheme="minorHAnsi"/>
          <w:sz w:val="24"/>
          <w:rtl/>
          <w:lang w:eastAsia="en-US"/>
        </w:rPr>
        <w:t>אם הניזוק הוכיח את נזקיו.</w:t>
      </w:r>
    </w:p>
    <w:p w:rsidR="0038338B" w:rsidRPr="000336AB" w:rsidRDefault="0038338B" w:rsidP="0038338B">
      <w:pPr>
        <w:overflowPunct/>
        <w:autoSpaceDE/>
        <w:autoSpaceDN/>
        <w:adjustRightInd/>
        <w:spacing w:line="360" w:lineRule="auto"/>
        <w:ind w:left="360"/>
        <w:contextualSpacing/>
        <w:jc w:val="both"/>
        <w:textAlignment w:val="auto"/>
        <w:rPr>
          <w:rFonts w:eastAsiaTheme="minorHAnsi" w:cs="FrankRuehl"/>
          <w:sz w:val="24"/>
          <w:szCs w:val="26"/>
          <w:lang w:eastAsia="en-US"/>
        </w:rPr>
      </w:pPr>
    </w:p>
    <w:p w:rsidR="0038338B" w:rsidRPr="0038338B" w:rsidRDefault="0038338B" w:rsidP="0038338B">
      <w:pPr>
        <w:overflowPunct/>
        <w:autoSpaceDE/>
        <w:autoSpaceDN/>
        <w:adjustRightInd/>
        <w:spacing w:line="360" w:lineRule="auto"/>
        <w:jc w:val="both"/>
        <w:textAlignment w:val="auto"/>
        <w:rPr>
          <w:b/>
          <w:bCs/>
          <w:sz w:val="24"/>
          <w:u w:val="single"/>
        </w:rPr>
      </w:pPr>
      <w:r w:rsidRPr="0038338B">
        <w:rPr>
          <w:rFonts w:hint="cs"/>
          <w:b/>
          <w:bCs/>
          <w:sz w:val="24"/>
          <w:u w:val="single"/>
          <w:rtl/>
        </w:rPr>
        <w:t xml:space="preserve">ביטוח </w:t>
      </w:r>
      <w:r w:rsidRPr="0038338B">
        <w:rPr>
          <w:rFonts w:hint="eastAsia"/>
          <w:b/>
          <w:bCs/>
          <w:sz w:val="24"/>
          <w:u w:val="single"/>
          <w:rtl/>
        </w:rPr>
        <w:t>בריאות</w:t>
      </w:r>
    </w:p>
    <w:p w:rsidR="0038338B" w:rsidRPr="0038338B" w:rsidRDefault="0038338B" w:rsidP="0038338B">
      <w:pPr>
        <w:numPr>
          <w:ilvl w:val="0"/>
          <w:numId w:val="25"/>
        </w:numPr>
        <w:overflowPunct/>
        <w:autoSpaceDE/>
        <w:autoSpaceDN/>
        <w:adjustRightInd/>
        <w:spacing w:line="360" w:lineRule="auto"/>
        <w:contextualSpacing/>
        <w:jc w:val="both"/>
        <w:textAlignment w:val="auto"/>
        <w:rPr>
          <w:rFonts w:eastAsiaTheme="minorHAnsi"/>
          <w:sz w:val="24"/>
          <w:lang w:eastAsia="en-US"/>
        </w:rPr>
      </w:pPr>
      <w:r w:rsidRPr="0038338B">
        <w:rPr>
          <w:rFonts w:eastAsiaTheme="minorHAnsi" w:hint="cs"/>
          <w:sz w:val="24"/>
          <w:rtl/>
          <w:lang w:eastAsia="en-US"/>
        </w:rPr>
        <w:t>החליטה חברת ביטוח על דחיית תביעה, במלואה או בחלקה, לפי</w:t>
      </w:r>
      <w:r w:rsidRPr="0038338B">
        <w:rPr>
          <w:rFonts w:eastAsiaTheme="minorHAnsi"/>
          <w:sz w:val="24"/>
          <w:rtl/>
          <w:lang w:eastAsia="en-US"/>
        </w:rPr>
        <w:t xml:space="preserve"> תקנות הפיקוח על עסקי ביטוח (תנאים בחוזי ביטוח) (הוראות </w:t>
      </w:r>
      <w:proofErr w:type="spellStart"/>
      <w:r w:rsidRPr="0038338B">
        <w:rPr>
          <w:rFonts w:eastAsiaTheme="minorHAnsi"/>
          <w:sz w:val="24"/>
          <w:rtl/>
          <w:lang w:eastAsia="en-US"/>
        </w:rPr>
        <w:t>לענין</w:t>
      </w:r>
      <w:proofErr w:type="spellEnd"/>
      <w:r w:rsidRPr="0038338B">
        <w:rPr>
          <w:rFonts w:eastAsiaTheme="minorHAnsi"/>
          <w:sz w:val="24"/>
          <w:rtl/>
          <w:lang w:eastAsia="en-US"/>
        </w:rPr>
        <w:t xml:space="preserve"> מצב רפואי קודם), </w:t>
      </w:r>
      <w:r w:rsidRPr="0038338B">
        <w:rPr>
          <w:rFonts w:eastAsiaTheme="minorHAnsi" w:hint="cs"/>
          <w:sz w:val="24"/>
          <w:rtl/>
          <w:lang w:eastAsia="en-US"/>
        </w:rPr>
        <w:t>ה</w:t>
      </w:r>
      <w:r w:rsidRPr="0038338B">
        <w:rPr>
          <w:rFonts w:eastAsiaTheme="minorHAnsi"/>
          <w:sz w:val="24"/>
          <w:rtl/>
          <w:lang w:eastAsia="en-US"/>
        </w:rPr>
        <w:t>תשס"ד-2004</w:t>
      </w:r>
      <w:r w:rsidRPr="0038338B">
        <w:rPr>
          <w:rFonts w:eastAsiaTheme="minorHAnsi" w:hint="cs"/>
          <w:sz w:val="24"/>
          <w:rtl/>
          <w:lang w:eastAsia="en-US"/>
        </w:rPr>
        <w:t xml:space="preserve">, תפרט בהודעת הדחיה או בהודעת התשלום החלקי, לפי העניין, את המצב הרפואי הקודם שעליו מסתמכת הדחייה. </w:t>
      </w:r>
    </w:p>
    <w:p w:rsidR="0038338B" w:rsidRPr="0038338B" w:rsidRDefault="0038338B" w:rsidP="0038338B">
      <w:pPr>
        <w:numPr>
          <w:ilvl w:val="0"/>
          <w:numId w:val="25"/>
        </w:numPr>
        <w:overflowPunct/>
        <w:autoSpaceDE/>
        <w:autoSpaceDN/>
        <w:adjustRightInd/>
        <w:spacing w:line="360" w:lineRule="auto"/>
        <w:contextualSpacing/>
        <w:jc w:val="both"/>
        <w:textAlignment w:val="auto"/>
        <w:rPr>
          <w:rFonts w:eastAsiaTheme="minorHAnsi"/>
          <w:sz w:val="24"/>
          <w:lang w:eastAsia="en-US"/>
        </w:rPr>
      </w:pPr>
      <w:r w:rsidRPr="0038338B">
        <w:rPr>
          <w:rFonts w:eastAsiaTheme="minorHAnsi" w:hint="cs"/>
          <w:sz w:val="24"/>
          <w:rtl/>
          <w:lang w:eastAsia="en-US"/>
        </w:rPr>
        <w:t xml:space="preserve">חברת ביטוח לא תחשב נכות מצטברת של מבוטח במקרים שבהם נקבעה למבוטח נכות ביותר מאיבר אחד, בדרך של שקלול נכויות הנהוגה במוסד לביטוח לאומי, אם שיטה זו לא עוגנה בתנאי הפוליסה. </w:t>
      </w:r>
    </w:p>
    <w:p w:rsidR="0038338B" w:rsidRPr="0038338B" w:rsidRDefault="0038338B" w:rsidP="0038338B">
      <w:pPr>
        <w:overflowPunct/>
        <w:autoSpaceDE/>
        <w:autoSpaceDN/>
        <w:adjustRightInd/>
        <w:spacing w:line="360" w:lineRule="auto"/>
        <w:ind w:left="360"/>
        <w:contextualSpacing/>
        <w:jc w:val="both"/>
        <w:textAlignment w:val="auto"/>
        <w:rPr>
          <w:rFonts w:eastAsiaTheme="minorHAnsi" w:cs="FrankRuehl"/>
          <w:sz w:val="24"/>
          <w:szCs w:val="26"/>
          <w:lang w:eastAsia="en-US"/>
        </w:rPr>
      </w:pPr>
    </w:p>
    <w:p w:rsidR="0038338B" w:rsidRPr="0038338B" w:rsidRDefault="0038338B" w:rsidP="0038338B">
      <w:pPr>
        <w:overflowPunct/>
        <w:autoSpaceDE/>
        <w:autoSpaceDN/>
        <w:adjustRightInd/>
        <w:spacing w:line="360" w:lineRule="auto"/>
        <w:jc w:val="both"/>
        <w:textAlignment w:val="auto"/>
        <w:rPr>
          <w:b/>
          <w:bCs/>
          <w:sz w:val="24"/>
          <w:u w:val="single"/>
          <w:rtl/>
        </w:rPr>
      </w:pPr>
      <w:r w:rsidRPr="0038338B">
        <w:rPr>
          <w:rFonts w:hint="eastAsia"/>
          <w:b/>
          <w:bCs/>
          <w:sz w:val="24"/>
          <w:u w:val="single"/>
          <w:rtl/>
        </w:rPr>
        <w:t>סיעוד</w:t>
      </w:r>
    </w:p>
    <w:p w:rsidR="0038338B" w:rsidRPr="0038338B" w:rsidRDefault="0038338B" w:rsidP="0038338B">
      <w:pPr>
        <w:numPr>
          <w:ilvl w:val="0"/>
          <w:numId w:val="25"/>
        </w:numPr>
        <w:overflowPunct/>
        <w:autoSpaceDE/>
        <w:autoSpaceDN/>
        <w:adjustRightInd/>
        <w:spacing w:line="360" w:lineRule="auto"/>
        <w:contextualSpacing/>
        <w:jc w:val="both"/>
        <w:textAlignment w:val="auto"/>
        <w:rPr>
          <w:rFonts w:eastAsiaTheme="minorHAnsi"/>
          <w:sz w:val="22"/>
          <w:u w:val="single"/>
          <w:lang w:eastAsia="en-US"/>
        </w:rPr>
      </w:pPr>
      <w:r w:rsidRPr="0038338B">
        <w:rPr>
          <w:rFonts w:eastAsiaTheme="minorHAnsi" w:hint="eastAsia"/>
          <w:sz w:val="22"/>
          <w:u w:val="single"/>
          <w:rtl/>
          <w:lang w:eastAsia="en-US"/>
        </w:rPr>
        <w:lastRenderedPageBreak/>
        <w:t>הגדרת</w:t>
      </w:r>
      <w:r w:rsidRPr="0038338B">
        <w:rPr>
          <w:rFonts w:eastAsiaTheme="minorHAnsi"/>
          <w:sz w:val="22"/>
          <w:u w:val="single"/>
          <w:rtl/>
          <w:lang w:eastAsia="en-US"/>
        </w:rPr>
        <w:t xml:space="preserve"> </w:t>
      </w:r>
      <w:r w:rsidRPr="0038338B">
        <w:rPr>
          <w:rFonts w:eastAsiaTheme="minorHAnsi" w:hint="eastAsia"/>
          <w:sz w:val="22"/>
          <w:u w:val="single"/>
          <w:rtl/>
          <w:lang w:eastAsia="en-US"/>
        </w:rPr>
        <w:t>מקרה</w:t>
      </w:r>
      <w:r w:rsidRPr="0038338B">
        <w:rPr>
          <w:rFonts w:eastAsiaTheme="minorHAnsi"/>
          <w:sz w:val="22"/>
          <w:u w:val="single"/>
          <w:rtl/>
          <w:lang w:eastAsia="en-US"/>
        </w:rPr>
        <w:t xml:space="preserve"> </w:t>
      </w:r>
      <w:r w:rsidRPr="0038338B">
        <w:rPr>
          <w:rFonts w:eastAsiaTheme="minorHAnsi" w:hint="eastAsia"/>
          <w:sz w:val="22"/>
          <w:u w:val="single"/>
          <w:rtl/>
          <w:lang w:eastAsia="en-US"/>
        </w:rPr>
        <w:t>הביטוח</w:t>
      </w:r>
    </w:p>
    <w:p w:rsidR="0038338B" w:rsidRPr="0038338B" w:rsidRDefault="0038338B" w:rsidP="0038338B">
      <w:pPr>
        <w:numPr>
          <w:ilvl w:val="0"/>
          <w:numId w:val="30"/>
        </w:numPr>
        <w:overflowPunct/>
        <w:autoSpaceDE/>
        <w:autoSpaceDN/>
        <w:adjustRightInd/>
        <w:spacing w:line="360" w:lineRule="auto"/>
        <w:contextualSpacing/>
        <w:jc w:val="both"/>
        <w:textAlignment w:val="auto"/>
        <w:rPr>
          <w:rFonts w:eastAsiaTheme="minorHAnsi"/>
          <w:sz w:val="24"/>
          <w:lang w:eastAsia="en-US"/>
        </w:rPr>
      </w:pPr>
      <w:r w:rsidRPr="0038338B">
        <w:rPr>
          <w:rFonts w:eastAsiaTheme="minorHAnsi" w:hint="eastAsia"/>
          <w:sz w:val="24"/>
          <w:rtl/>
          <w:lang w:eastAsia="en-US"/>
        </w:rPr>
        <w:t>מבוטח</w:t>
      </w:r>
      <w:r w:rsidRPr="0038338B">
        <w:rPr>
          <w:rFonts w:eastAsiaTheme="minorHAnsi"/>
          <w:sz w:val="24"/>
          <w:rtl/>
          <w:lang w:eastAsia="en-US"/>
        </w:rPr>
        <w:t xml:space="preserve"> </w:t>
      </w:r>
      <w:r w:rsidRPr="0038338B">
        <w:rPr>
          <w:rFonts w:eastAsiaTheme="minorHAnsi" w:hint="cs"/>
          <w:sz w:val="24"/>
          <w:rtl/>
          <w:lang w:eastAsia="en-US"/>
        </w:rPr>
        <w:t>שבשל היענות נמוכה של השלפוחית שמתבטאת למשל בדחיפות או בתכיפות במתן שתן, ושבשל קושי</w:t>
      </w:r>
      <w:r w:rsidRPr="0038338B">
        <w:rPr>
          <w:rFonts w:eastAsiaTheme="minorHAnsi"/>
          <w:sz w:val="24"/>
          <w:rtl/>
          <w:lang w:eastAsia="en-US"/>
        </w:rPr>
        <w:t xml:space="preserve"> </w:t>
      </w:r>
      <w:r w:rsidRPr="0038338B">
        <w:rPr>
          <w:rFonts w:eastAsiaTheme="minorHAnsi" w:hint="cs"/>
          <w:sz w:val="24"/>
          <w:rtl/>
          <w:lang w:eastAsia="en-US"/>
        </w:rPr>
        <w:t>בנ</w:t>
      </w:r>
      <w:r w:rsidRPr="0038338B">
        <w:rPr>
          <w:rFonts w:eastAsiaTheme="minorHAnsi"/>
          <w:sz w:val="24"/>
          <w:rtl/>
          <w:lang w:eastAsia="en-US"/>
        </w:rPr>
        <w:t xml:space="preserve">יידות </w:t>
      </w:r>
      <w:r w:rsidRPr="0038338B">
        <w:rPr>
          <w:rFonts w:eastAsiaTheme="minorHAnsi" w:hint="cs"/>
          <w:sz w:val="24"/>
          <w:rtl/>
          <w:lang w:eastAsia="en-US"/>
        </w:rPr>
        <w:t xml:space="preserve">אינו מסוגל </w:t>
      </w:r>
      <w:r w:rsidRPr="0038338B">
        <w:rPr>
          <w:rFonts w:eastAsiaTheme="minorHAnsi"/>
          <w:sz w:val="24"/>
          <w:rtl/>
          <w:lang w:eastAsia="en-US"/>
        </w:rPr>
        <w:t>לשלוט על סוגריו</w:t>
      </w:r>
      <w:r w:rsidRPr="0038338B">
        <w:rPr>
          <w:rFonts w:eastAsiaTheme="minorHAnsi" w:hint="cs"/>
          <w:sz w:val="24"/>
          <w:rtl/>
          <w:lang w:eastAsia="en-US"/>
        </w:rPr>
        <w:t>,</w:t>
      </w:r>
      <w:r w:rsidRPr="0038338B">
        <w:rPr>
          <w:rFonts w:eastAsiaTheme="minorHAnsi"/>
          <w:sz w:val="24"/>
          <w:rtl/>
          <w:lang w:eastAsia="en-US"/>
        </w:rPr>
        <w:t xml:space="preserve"> </w:t>
      </w:r>
      <w:r w:rsidRPr="0038338B">
        <w:rPr>
          <w:rFonts w:eastAsiaTheme="minorHAnsi" w:hint="cs"/>
          <w:sz w:val="24"/>
          <w:rtl/>
          <w:lang w:eastAsia="en-US"/>
        </w:rPr>
        <w:t xml:space="preserve">ייחשב </w:t>
      </w:r>
      <w:r w:rsidRPr="0038338B">
        <w:rPr>
          <w:rFonts w:eastAsiaTheme="minorHAnsi" w:hint="eastAsia"/>
          <w:sz w:val="24"/>
          <w:rtl/>
          <w:lang w:eastAsia="en-US"/>
        </w:rPr>
        <w:t>כמי</w:t>
      </w:r>
      <w:r w:rsidRPr="0038338B">
        <w:rPr>
          <w:rFonts w:eastAsiaTheme="minorHAnsi"/>
          <w:sz w:val="24"/>
          <w:rtl/>
          <w:lang w:eastAsia="en-US"/>
        </w:rPr>
        <w:t xml:space="preserve"> שאינו מסוגל </w:t>
      </w:r>
      <w:r w:rsidRPr="0038338B">
        <w:rPr>
          <w:rFonts w:eastAsiaTheme="minorHAnsi" w:hint="cs"/>
          <w:sz w:val="24"/>
          <w:rtl/>
          <w:lang w:eastAsia="en-US"/>
        </w:rPr>
        <w:t>לבצע בכוחות עצמו חלק מהותי (לפחות 50% מהפעולה) של ה</w:t>
      </w:r>
      <w:r w:rsidRPr="0038338B">
        <w:rPr>
          <w:rFonts w:eastAsiaTheme="minorHAnsi"/>
          <w:sz w:val="24"/>
          <w:rtl/>
          <w:lang w:eastAsia="en-US"/>
        </w:rPr>
        <w:t>פעול</w:t>
      </w:r>
      <w:r w:rsidRPr="0038338B">
        <w:rPr>
          <w:rFonts w:eastAsiaTheme="minorHAnsi" w:hint="cs"/>
          <w:sz w:val="24"/>
          <w:rtl/>
          <w:lang w:eastAsia="en-US"/>
        </w:rPr>
        <w:t>ה</w:t>
      </w:r>
      <w:r w:rsidRPr="0038338B">
        <w:rPr>
          <w:rFonts w:eastAsiaTheme="minorHAnsi"/>
          <w:sz w:val="24"/>
          <w:rtl/>
          <w:lang w:eastAsia="en-US"/>
        </w:rPr>
        <w:t xml:space="preserve"> </w:t>
      </w:r>
      <w:r w:rsidRPr="0038338B">
        <w:rPr>
          <w:rFonts w:eastAsiaTheme="minorHAnsi" w:hint="cs"/>
          <w:sz w:val="24"/>
          <w:rtl/>
          <w:lang w:eastAsia="en-US"/>
        </w:rPr>
        <w:t>"לשלוט</w:t>
      </w:r>
      <w:r w:rsidRPr="0038338B">
        <w:rPr>
          <w:rFonts w:eastAsiaTheme="minorHAnsi"/>
          <w:sz w:val="24"/>
          <w:rtl/>
          <w:lang w:eastAsia="en-US"/>
        </w:rPr>
        <w:t xml:space="preserve"> על סוגרים</w:t>
      </w:r>
      <w:r w:rsidRPr="0038338B">
        <w:rPr>
          <w:rFonts w:eastAsiaTheme="minorHAnsi" w:hint="cs"/>
          <w:sz w:val="24"/>
          <w:rtl/>
          <w:lang w:eastAsia="en-US"/>
        </w:rPr>
        <w:t>", כהגדרתה בחוזר סיעוד</w:t>
      </w:r>
      <w:r w:rsidRPr="0038338B">
        <w:rPr>
          <w:rFonts w:eastAsiaTheme="minorHAnsi"/>
          <w:sz w:val="24"/>
          <w:rtl/>
          <w:lang w:eastAsia="en-US"/>
        </w:rPr>
        <w:t>.</w:t>
      </w:r>
    </w:p>
    <w:p w:rsidR="0038338B" w:rsidRPr="0038338B" w:rsidRDefault="0038338B" w:rsidP="0038338B">
      <w:pPr>
        <w:overflowPunct/>
        <w:autoSpaceDE/>
        <w:autoSpaceDN/>
        <w:adjustRightInd/>
        <w:spacing w:line="360" w:lineRule="auto"/>
        <w:ind w:left="785"/>
        <w:contextualSpacing/>
        <w:jc w:val="both"/>
        <w:textAlignment w:val="auto"/>
        <w:rPr>
          <w:rFonts w:eastAsiaTheme="minorHAnsi"/>
          <w:sz w:val="24"/>
          <w:lang w:eastAsia="en-US"/>
        </w:rPr>
      </w:pPr>
      <w:r w:rsidRPr="0038338B">
        <w:rPr>
          <w:rFonts w:eastAsiaTheme="minorHAnsi" w:hint="cs"/>
          <w:sz w:val="24"/>
          <w:rtl/>
          <w:lang w:eastAsia="en-US"/>
        </w:rPr>
        <w:t xml:space="preserve">לעניין זה "קושי בניידות" </w:t>
      </w:r>
      <w:r w:rsidRPr="0038338B">
        <w:rPr>
          <w:rFonts w:eastAsiaTheme="minorHAnsi"/>
          <w:sz w:val="24"/>
          <w:rtl/>
          <w:lang w:eastAsia="en-US"/>
        </w:rPr>
        <w:t>–</w:t>
      </w:r>
      <w:r w:rsidRPr="0038338B">
        <w:rPr>
          <w:rFonts w:eastAsiaTheme="minorHAnsi" w:hint="cs"/>
          <w:sz w:val="24"/>
          <w:rtl/>
          <w:lang w:eastAsia="en-US"/>
        </w:rPr>
        <w:t xml:space="preserve"> קושי בניידות שאינו עולה כדי חוסר יכולת של המבוטח לבצע בכוחות עצמו חלק מהותי (לפחות 50% מהפעולה) מפעולת "הניידות" כהגדרתה בחוזר סיעוד.  </w:t>
      </w:r>
    </w:p>
    <w:p w:rsidR="0038338B" w:rsidRPr="0038338B" w:rsidRDefault="0038338B" w:rsidP="0038338B">
      <w:pPr>
        <w:numPr>
          <w:ilvl w:val="0"/>
          <w:numId w:val="30"/>
        </w:numPr>
        <w:overflowPunct/>
        <w:autoSpaceDE/>
        <w:autoSpaceDN/>
        <w:adjustRightInd/>
        <w:spacing w:line="360" w:lineRule="auto"/>
        <w:contextualSpacing/>
        <w:jc w:val="both"/>
        <w:textAlignment w:val="auto"/>
        <w:rPr>
          <w:rFonts w:eastAsiaTheme="minorHAnsi"/>
          <w:sz w:val="24"/>
          <w:lang w:eastAsia="en-US"/>
        </w:rPr>
      </w:pPr>
      <w:r w:rsidRPr="0038338B">
        <w:rPr>
          <w:rFonts w:eastAsiaTheme="minorHAnsi" w:hint="cs"/>
          <w:sz w:val="24"/>
          <w:rtl/>
          <w:lang w:eastAsia="en-US"/>
        </w:rPr>
        <w:t>מבוטח</w:t>
      </w:r>
      <w:r w:rsidRPr="0038338B">
        <w:rPr>
          <w:rFonts w:eastAsiaTheme="minorHAnsi"/>
          <w:sz w:val="24"/>
          <w:rtl/>
          <w:lang w:eastAsia="en-US"/>
        </w:rPr>
        <w:t xml:space="preserve"> </w:t>
      </w:r>
      <w:r w:rsidRPr="0038338B">
        <w:rPr>
          <w:rFonts w:eastAsiaTheme="minorHAnsi" w:hint="cs"/>
          <w:sz w:val="24"/>
          <w:rtl/>
          <w:lang w:eastAsia="en-US"/>
        </w:rPr>
        <w:t>שסובל</w:t>
      </w:r>
      <w:r w:rsidRPr="0038338B">
        <w:rPr>
          <w:rFonts w:eastAsiaTheme="minorHAnsi"/>
          <w:sz w:val="24"/>
          <w:rtl/>
          <w:lang w:eastAsia="en-US"/>
        </w:rPr>
        <w:t xml:space="preserve"> מחוסר שיווי משקל </w:t>
      </w:r>
      <w:r w:rsidRPr="0038338B">
        <w:rPr>
          <w:rFonts w:eastAsiaTheme="minorHAnsi" w:hint="cs"/>
          <w:sz w:val="24"/>
          <w:rtl/>
          <w:lang w:eastAsia="en-US"/>
        </w:rPr>
        <w:t>או</w:t>
      </w:r>
      <w:r w:rsidRPr="0038338B">
        <w:rPr>
          <w:rFonts w:eastAsiaTheme="minorHAnsi"/>
          <w:sz w:val="24"/>
          <w:rtl/>
          <w:lang w:eastAsia="en-US"/>
        </w:rPr>
        <w:t xml:space="preserve"> </w:t>
      </w:r>
      <w:r w:rsidRPr="0038338B">
        <w:rPr>
          <w:rFonts w:eastAsiaTheme="minorHAnsi" w:hint="cs"/>
          <w:sz w:val="24"/>
          <w:rtl/>
          <w:lang w:eastAsia="en-US"/>
        </w:rPr>
        <w:t>שסובל</w:t>
      </w:r>
      <w:r w:rsidRPr="0038338B">
        <w:rPr>
          <w:rFonts w:eastAsiaTheme="minorHAnsi"/>
          <w:sz w:val="24"/>
          <w:rtl/>
          <w:lang w:eastAsia="en-US"/>
        </w:rPr>
        <w:t xml:space="preserve"> </w:t>
      </w:r>
      <w:r w:rsidRPr="0038338B">
        <w:rPr>
          <w:rFonts w:eastAsiaTheme="minorHAnsi" w:hint="cs"/>
          <w:sz w:val="24"/>
          <w:rtl/>
          <w:lang w:eastAsia="en-US"/>
        </w:rPr>
        <w:t>מחוסר</w:t>
      </w:r>
      <w:r w:rsidRPr="0038338B">
        <w:rPr>
          <w:rFonts w:eastAsiaTheme="minorHAnsi"/>
          <w:sz w:val="24"/>
          <w:rtl/>
          <w:lang w:eastAsia="en-US"/>
        </w:rPr>
        <w:t xml:space="preserve"> </w:t>
      </w:r>
      <w:r w:rsidRPr="0038338B">
        <w:rPr>
          <w:rFonts w:eastAsiaTheme="minorHAnsi" w:hint="cs"/>
          <w:sz w:val="24"/>
          <w:rtl/>
          <w:lang w:eastAsia="en-US"/>
        </w:rPr>
        <w:t>יציבות</w:t>
      </w:r>
      <w:r w:rsidRPr="0038338B">
        <w:rPr>
          <w:rFonts w:eastAsiaTheme="minorHAnsi"/>
          <w:sz w:val="24"/>
          <w:rtl/>
          <w:lang w:eastAsia="en-US"/>
        </w:rPr>
        <w:t xml:space="preserve"> </w:t>
      </w:r>
      <w:r w:rsidRPr="0038338B">
        <w:rPr>
          <w:rFonts w:eastAsiaTheme="minorHAnsi" w:hint="cs"/>
          <w:sz w:val="24"/>
          <w:rtl/>
          <w:lang w:eastAsia="en-US"/>
        </w:rPr>
        <w:t>הגורמים</w:t>
      </w:r>
      <w:r w:rsidRPr="0038338B">
        <w:rPr>
          <w:rFonts w:eastAsiaTheme="minorHAnsi"/>
          <w:sz w:val="24"/>
          <w:rtl/>
          <w:lang w:eastAsia="en-US"/>
        </w:rPr>
        <w:t xml:space="preserve"> </w:t>
      </w:r>
      <w:r w:rsidRPr="0038338B">
        <w:rPr>
          <w:rFonts w:eastAsiaTheme="minorHAnsi" w:hint="cs"/>
          <w:sz w:val="24"/>
          <w:rtl/>
          <w:lang w:eastAsia="en-US"/>
        </w:rPr>
        <w:t>לנפילות</w:t>
      </w:r>
      <w:r w:rsidRPr="0038338B">
        <w:rPr>
          <w:rFonts w:eastAsiaTheme="minorHAnsi"/>
          <w:sz w:val="24"/>
          <w:rtl/>
          <w:lang w:eastAsia="en-US"/>
        </w:rPr>
        <w:t xml:space="preserve"> </w:t>
      </w:r>
      <w:r w:rsidRPr="0038338B">
        <w:rPr>
          <w:rFonts w:eastAsiaTheme="minorHAnsi" w:hint="cs"/>
          <w:sz w:val="24"/>
          <w:rtl/>
          <w:lang w:eastAsia="en-US"/>
        </w:rPr>
        <w:t>חוזרות</w:t>
      </w:r>
      <w:r w:rsidRPr="0038338B">
        <w:rPr>
          <w:rFonts w:eastAsiaTheme="minorHAnsi"/>
          <w:sz w:val="24"/>
          <w:rtl/>
          <w:lang w:eastAsia="en-US"/>
        </w:rPr>
        <w:t xml:space="preserve"> </w:t>
      </w:r>
      <w:r w:rsidRPr="0038338B">
        <w:rPr>
          <w:rFonts w:eastAsiaTheme="minorHAnsi" w:hint="cs"/>
          <w:sz w:val="24"/>
          <w:rtl/>
          <w:lang w:eastAsia="en-US"/>
        </w:rPr>
        <w:t>ונשנות</w:t>
      </w:r>
      <w:r w:rsidRPr="0038338B">
        <w:rPr>
          <w:rFonts w:eastAsiaTheme="minorHAnsi"/>
          <w:sz w:val="24"/>
          <w:rtl/>
          <w:lang w:eastAsia="en-US"/>
        </w:rPr>
        <w:t xml:space="preserve"> שפוגעים </w:t>
      </w:r>
      <w:r w:rsidRPr="0038338B">
        <w:rPr>
          <w:rFonts w:eastAsiaTheme="minorHAnsi" w:hint="cs"/>
          <w:sz w:val="24"/>
          <w:rtl/>
          <w:lang w:eastAsia="en-US"/>
        </w:rPr>
        <w:t>ביכולתו</w:t>
      </w:r>
      <w:r w:rsidRPr="0038338B">
        <w:rPr>
          <w:rFonts w:eastAsiaTheme="minorHAnsi"/>
          <w:sz w:val="24"/>
          <w:rtl/>
          <w:lang w:eastAsia="en-US"/>
        </w:rPr>
        <w:t xml:space="preserve"> </w:t>
      </w:r>
      <w:r w:rsidRPr="0038338B">
        <w:rPr>
          <w:rFonts w:eastAsiaTheme="minorHAnsi" w:hint="cs"/>
          <w:sz w:val="24"/>
          <w:rtl/>
          <w:lang w:eastAsia="en-US"/>
        </w:rPr>
        <w:t>העצמאית</w:t>
      </w:r>
      <w:r w:rsidRPr="0038338B">
        <w:rPr>
          <w:rFonts w:eastAsiaTheme="minorHAnsi"/>
          <w:sz w:val="24"/>
          <w:rtl/>
          <w:lang w:eastAsia="en-US"/>
        </w:rPr>
        <w:t xml:space="preserve"> </w:t>
      </w:r>
      <w:r w:rsidRPr="0038338B">
        <w:rPr>
          <w:rFonts w:eastAsiaTheme="minorHAnsi" w:hint="cs"/>
          <w:sz w:val="24"/>
          <w:rtl/>
          <w:lang w:eastAsia="en-US"/>
        </w:rPr>
        <w:t>לנוע</w:t>
      </w:r>
      <w:r w:rsidRPr="0038338B">
        <w:rPr>
          <w:rFonts w:eastAsiaTheme="minorHAnsi"/>
          <w:sz w:val="24"/>
          <w:rtl/>
          <w:lang w:eastAsia="en-US"/>
        </w:rPr>
        <w:t xml:space="preserve"> </w:t>
      </w:r>
      <w:r w:rsidRPr="0038338B">
        <w:rPr>
          <w:rFonts w:eastAsiaTheme="minorHAnsi" w:hint="cs"/>
          <w:sz w:val="24"/>
          <w:rtl/>
          <w:lang w:eastAsia="en-US"/>
        </w:rPr>
        <w:t>ממקום</w:t>
      </w:r>
      <w:r w:rsidRPr="0038338B">
        <w:rPr>
          <w:rFonts w:eastAsiaTheme="minorHAnsi"/>
          <w:sz w:val="24"/>
          <w:rtl/>
          <w:lang w:eastAsia="en-US"/>
        </w:rPr>
        <w:t xml:space="preserve"> </w:t>
      </w:r>
      <w:r w:rsidRPr="0038338B">
        <w:rPr>
          <w:rFonts w:eastAsiaTheme="minorHAnsi" w:hint="cs"/>
          <w:sz w:val="24"/>
          <w:rtl/>
          <w:lang w:eastAsia="en-US"/>
        </w:rPr>
        <w:t>למקום</w:t>
      </w:r>
      <w:r w:rsidRPr="0038338B">
        <w:rPr>
          <w:rFonts w:eastAsiaTheme="minorHAnsi"/>
          <w:sz w:val="24"/>
          <w:rtl/>
          <w:lang w:eastAsia="en-US"/>
        </w:rPr>
        <w:t xml:space="preserve">, </w:t>
      </w:r>
      <w:r w:rsidRPr="0038338B">
        <w:rPr>
          <w:rFonts w:eastAsiaTheme="minorHAnsi" w:hint="cs"/>
          <w:sz w:val="24"/>
          <w:rtl/>
          <w:lang w:eastAsia="en-US"/>
        </w:rPr>
        <w:t>יחשב</w:t>
      </w:r>
      <w:r w:rsidRPr="0038338B">
        <w:rPr>
          <w:rFonts w:eastAsiaTheme="minorHAnsi"/>
          <w:sz w:val="24"/>
          <w:rtl/>
          <w:lang w:eastAsia="en-US"/>
        </w:rPr>
        <w:t xml:space="preserve"> כמי שאינו מסוגל </w:t>
      </w:r>
      <w:r w:rsidRPr="0038338B">
        <w:rPr>
          <w:rFonts w:eastAsiaTheme="minorHAnsi" w:hint="cs"/>
          <w:sz w:val="24"/>
          <w:rtl/>
          <w:lang w:eastAsia="en-US"/>
        </w:rPr>
        <w:t>לבצע</w:t>
      </w:r>
      <w:r w:rsidRPr="0038338B">
        <w:rPr>
          <w:rFonts w:eastAsiaTheme="minorHAnsi"/>
          <w:sz w:val="24"/>
          <w:rtl/>
          <w:lang w:eastAsia="en-US"/>
        </w:rPr>
        <w:t xml:space="preserve"> </w:t>
      </w:r>
      <w:r w:rsidRPr="0038338B">
        <w:rPr>
          <w:rFonts w:eastAsiaTheme="minorHAnsi" w:hint="cs"/>
          <w:sz w:val="24"/>
          <w:rtl/>
          <w:lang w:eastAsia="en-US"/>
        </w:rPr>
        <w:t>בכוחות</w:t>
      </w:r>
      <w:r w:rsidRPr="0038338B">
        <w:rPr>
          <w:rFonts w:eastAsiaTheme="minorHAnsi"/>
          <w:sz w:val="24"/>
          <w:rtl/>
          <w:lang w:eastAsia="en-US"/>
        </w:rPr>
        <w:t xml:space="preserve"> </w:t>
      </w:r>
      <w:r w:rsidRPr="0038338B">
        <w:rPr>
          <w:rFonts w:eastAsiaTheme="minorHAnsi" w:hint="cs"/>
          <w:sz w:val="24"/>
          <w:rtl/>
          <w:lang w:eastAsia="en-US"/>
        </w:rPr>
        <w:t>עצמו</w:t>
      </w:r>
      <w:r w:rsidRPr="0038338B">
        <w:rPr>
          <w:rFonts w:eastAsiaTheme="minorHAnsi"/>
          <w:sz w:val="24"/>
          <w:rtl/>
          <w:lang w:eastAsia="en-US"/>
        </w:rPr>
        <w:t xml:space="preserve"> </w:t>
      </w:r>
      <w:r w:rsidRPr="0038338B">
        <w:rPr>
          <w:rFonts w:eastAsiaTheme="minorHAnsi" w:hint="cs"/>
          <w:sz w:val="24"/>
          <w:rtl/>
          <w:lang w:eastAsia="en-US"/>
        </w:rPr>
        <w:t>חלק</w:t>
      </w:r>
      <w:r w:rsidRPr="0038338B">
        <w:rPr>
          <w:rFonts w:eastAsiaTheme="minorHAnsi"/>
          <w:sz w:val="24"/>
          <w:rtl/>
          <w:lang w:eastAsia="en-US"/>
        </w:rPr>
        <w:t xml:space="preserve"> </w:t>
      </w:r>
      <w:r w:rsidRPr="0038338B">
        <w:rPr>
          <w:rFonts w:eastAsiaTheme="minorHAnsi" w:hint="cs"/>
          <w:sz w:val="24"/>
          <w:rtl/>
          <w:lang w:eastAsia="en-US"/>
        </w:rPr>
        <w:t>מהותי</w:t>
      </w:r>
      <w:r w:rsidRPr="0038338B">
        <w:rPr>
          <w:rFonts w:eastAsiaTheme="minorHAnsi"/>
          <w:sz w:val="24"/>
          <w:rtl/>
          <w:lang w:eastAsia="en-US"/>
        </w:rPr>
        <w:t xml:space="preserve"> (לפחות 50% </w:t>
      </w:r>
      <w:r w:rsidRPr="0038338B">
        <w:rPr>
          <w:rFonts w:eastAsiaTheme="minorHAnsi" w:hint="cs"/>
          <w:sz w:val="24"/>
          <w:rtl/>
          <w:lang w:eastAsia="en-US"/>
        </w:rPr>
        <w:t>מהפעולה</w:t>
      </w:r>
      <w:r w:rsidRPr="0038338B">
        <w:rPr>
          <w:rFonts w:eastAsiaTheme="minorHAnsi"/>
          <w:sz w:val="24"/>
          <w:rtl/>
          <w:lang w:eastAsia="en-US"/>
        </w:rPr>
        <w:t xml:space="preserve">) </w:t>
      </w:r>
      <w:r w:rsidRPr="0038338B">
        <w:rPr>
          <w:rFonts w:eastAsiaTheme="minorHAnsi" w:hint="cs"/>
          <w:sz w:val="24"/>
          <w:rtl/>
          <w:lang w:eastAsia="en-US"/>
        </w:rPr>
        <w:t>מ</w:t>
      </w:r>
      <w:r w:rsidRPr="0038338B">
        <w:rPr>
          <w:rFonts w:eastAsiaTheme="minorHAnsi"/>
          <w:sz w:val="24"/>
          <w:rtl/>
          <w:lang w:eastAsia="en-US"/>
        </w:rPr>
        <w:t xml:space="preserve">פעולת ה"ניידות" כהגדרתה בחוזר סיעוד. </w:t>
      </w:r>
    </w:p>
    <w:p w:rsidR="0038338B" w:rsidRPr="0038338B" w:rsidRDefault="0038338B" w:rsidP="0038338B">
      <w:pPr>
        <w:numPr>
          <w:ilvl w:val="0"/>
          <w:numId w:val="30"/>
        </w:numPr>
        <w:overflowPunct/>
        <w:autoSpaceDE/>
        <w:autoSpaceDN/>
        <w:adjustRightInd/>
        <w:spacing w:line="360" w:lineRule="auto"/>
        <w:contextualSpacing/>
        <w:jc w:val="both"/>
        <w:textAlignment w:val="auto"/>
        <w:rPr>
          <w:rFonts w:eastAsiaTheme="minorHAnsi"/>
          <w:sz w:val="24"/>
          <w:lang w:eastAsia="en-US"/>
        </w:rPr>
      </w:pPr>
      <w:r w:rsidRPr="0038338B">
        <w:rPr>
          <w:rFonts w:eastAsiaTheme="minorHAnsi" w:hint="cs"/>
          <w:sz w:val="24"/>
          <w:rtl/>
          <w:lang w:eastAsia="en-US"/>
        </w:rPr>
        <w:t>בעת</w:t>
      </w:r>
      <w:r w:rsidRPr="0038338B">
        <w:rPr>
          <w:rFonts w:eastAsiaTheme="minorHAnsi"/>
          <w:sz w:val="24"/>
          <w:rtl/>
          <w:lang w:eastAsia="en-US"/>
        </w:rPr>
        <w:t xml:space="preserve"> בחינת </w:t>
      </w:r>
      <w:r w:rsidRPr="0038338B">
        <w:rPr>
          <w:rFonts w:eastAsiaTheme="minorHAnsi" w:hint="cs"/>
          <w:sz w:val="24"/>
          <w:rtl/>
          <w:lang w:eastAsia="en-US"/>
        </w:rPr>
        <w:t>זכאות</w:t>
      </w:r>
      <w:r w:rsidRPr="0038338B">
        <w:rPr>
          <w:rFonts w:eastAsiaTheme="minorHAnsi"/>
          <w:sz w:val="24"/>
          <w:rtl/>
          <w:lang w:eastAsia="en-US"/>
        </w:rPr>
        <w:t xml:space="preserve"> </w:t>
      </w:r>
      <w:r w:rsidRPr="0038338B">
        <w:rPr>
          <w:rFonts w:eastAsiaTheme="minorHAnsi" w:hint="cs"/>
          <w:sz w:val="24"/>
          <w:rtl/>
          <w:lang w:eastAsia="en-US"/>
        </w:rPr>
        <w:t>לתגמולי</w:t>
      </w:r>
      <w:r w:rsidRPr="0038338B">
        <w:rPr>
          <w:rFonts w:eastAsiaTheme="minorHAnsi"/>
          <w:sz w:val="24"/>
          <w:rtl/>
          <w:lang w:eastAsia="en-US"/>
        </w:rPr>
        <w:t xml:space="preserve"> </w:t>
      </w:r>
      <w:r w:rsidRPr="0038338B">
        <w:rPr>
          <w:rFonts w:eastAsiaTheme="minorHAnsi" w:hint="cs"/>
          <w:sz w:val="24"/>
          <w:rtl/>
          <w:lang w:eastAsia="en-US"/>
        </w:rPr>
        <w:t>ביטוח</w:t>
      </w:r>
      <w:r w:rsidRPr="0038338B">
        <w:rPr>
          <w:rFonts w:eastAsiaTheme="minorHAnsi"/>
          <w:sz w:val="24"/>
          <w:rtl/>
          <w:lang w:eastAsia="en-US"/>
        </w:rPr>
        <w:t xml:space="preserve"> לפי </w:t>
      </w:r>
      <w:r w:rsidRPr="0038338B">
        <w:rPr>
          <w:rFonts w:eastAsiaTheme="minorHAnsi" w:hint="cs"/>
          <w:sz w:val="24"/>
          <w:rtl/>
          <w:lang w:eastAsia="en-US"/>
        </w:rPr>
        <w:t>מצב</w:t>
      </w:r>
      <w:r w:rsidRPr="0038338B">
        <w:rPr>
          <w:rFonts w:eastAsiaTheme="minorHAnsi"/>
          <w:sz w:val="24"/>
          <w:rtl/>
          <w:lang w:eastAsia="en-US"/>
        </w:rPr>
        <w:t xml:space="preserve"> </w:t>
      </w:r>
      <w:r w:rsidRPr="0038338B">
        <w:rPr>
          <w:rFonts w:eastAsiaTheme="minorHAnsi" w:hint="cs"/>
          <w:sz w:val="24"/>
          <w:rtl/>
          <w:lang w:eastAsia="en-US"/>
        </w:rPr>
        <w:t>תפקוד</w:t>
      </w:r>
      <w:r w:rsidRPr="0038338B">
        <w:rPr>
          <w:rFonts w:eastAsiaTheme="minorHAnsi"/>
          <w:sz w:val="24"/>
          <w:rtl/>
          <w:lang w:eastAsia="en-US"/>
        </w:rPr>
        <w:t xml:space="preserve">, תבחן </w:t>
      </w:r>
      <w:r w:rsidRPr="0038338B">
        <w:rPr>
          <w:rFonts w:eastAsiaTheme="minorHAnsi" w:hint="cs"/>
          <w:sz w:val="24"/>
          <w:rtl/>
          <w:lang w:eastAsia="en-US"/>
        </w:rPr>
        <w:t>חברת</w:t>
      </w:r>
      <w:r w:rsidRPr="0038338B">
        <w:rPr>
          <w:rFonts w:eastAsiaTheme="minorHAnsi"/>
          <w:sz w:val="24"/>
          <w:rtl/>
          <w:lang w:eastAsia="en-US"/>
        </w:rPr>
        <w:t xml:space="preserve"> ביטוח </w:t>
      </w:r>
      <w:r w:rsidRPr="0038338B">
        <w:rPr>
          <w:rFonts w:eastAsiaTheme="minorHAnsi" w:hint="cs"/>
          <w:sz w:val="24"/>
          <w:rtl/>
          <w:lang w:eastAsia="en-US"/>
        </w:rPr>
        <w:t>את</w:t>
      </w:r>
      <w:r w:rsidRPr="0038338B">
        <w:rPr>
          <w:rFonts w:eastAsiaTheme="minorHAnsi"/>
          <w:sz w:val="24"/>
          <w:rtl/>
          <w:lang w:eastAsia="en-US"/>
        </w:rPr>
        <w:t xml:space="preserve"> </w:t>
      </w:r>
      <w:r w:rsidRPr="0038338B">
        <w:rPr>
          <w:rFonts w:eastAsiaTheme="minorHAnsi" w:hint="cs"/>
          <w:sz w:val="24"/>
          <w:rtl/>
          <w:lang w:eastAsia="en-US"/>
        </w:rPr>
        <w:t>מצבו</w:t>
      </w:r>
      <w:r w:rsidRPr="0038338B">
        <w:rPr>
          <w:rFonts w:eastAsiaTheme="minorHAnsi"/>
          <w:sz w:val="24"/>
          <w:rtl/>
          <w:lang w:eastAsia="en-US"/>
        </w:rPr>
        <w:t xml:space="preserve"> </w:t>
      </w:r>
      <w:r w:rsidRPr="0038338B">
        <w:rPr>
          <w:rFonts w:eastAsiaTheme="minorHAnsi" w:hint="cs"/>
          <w:sz w:val="24"/>
          <w:rtl/>
          <w:lang w:eastAsia="en-US"/>
        </w:rPr>
        <w:t>התפקודי</w:t>
      </w:r>
      <w:r w:rsidRPr="0038338B">
        <w:rPr>
          <w:rFonts w:eastAsiaTheme="minorHAnsi"/>
          <w:sz w:val="24"/>
          <w:rtl/>
          <w:lang w:eastAsia="en-US"/>
        </w:rPr>
        <w:t xml:space="preserve"> </w:t>
      </w:r>
      <w:r w:rsidRPr="0038338B">
        <w:rPr>
          <w:rFonts w:eastAsiaTheme="minorHAnsi" w:hint="cs"/>
          <w:sz w:val="24"/>
          <w:rtl/>
          <w:lang w:eastAsia="en-US"/>
        </w:rPr>
        <w:t>של</w:t>
      </w:r>
      <w:r w:rsidRPr="0038338B">
        <w:rPr>
          <w:rFonts w:eastAsiaTheme="minorHAnsi"/>
          <w:sz w:val="24"/>
          <w:rtl/>
          <w:lang w:eastAsia="en-US"/>
        </w:rPr>
        <w:t xml:space="preserve"> </w:t>
      </w:r>
      <w:r w:rsidRPr="0038338B">
        <w:rPr>
          <w:rFonts w:eastAsiaTheme="minorHAnsi" w:hint="cs"/>
          <w:sz w:val="24"/>
          <w:rtl/>
          <w:lang w:eastAsia="en-US"/>
        </w:rPr>
        <w:t>המבוטח</w:t>
      </w:r>
      <w:r w:rsidRPr="0038338B">
        <w:rPr>
          <w:rFonts w:eastAsiaTheme="minorHAnsi"/>
          <w:sz w:val="24"/>
          <w:rtl/>
          <w:lang w:eastAsia="en-US"/>
        </w:rPr>
        <w:t xml:space="preserve"> </w:t>
      </w:r>
      <w:r w:rsidRPr="0038338B">
        <w:rPr>
          <w:rFonts w:eastAsiaTheme="minorHAnsi" w:hint="cs"/>
          <w:sz w:val="24"/>
          <w:rtl/>
          <w:lang w:eastAsia="en-US"/>
        </w:rPr>
        <w:t>ביחס</w:t>
      </w:r>
      <w:r w:rsidRPr="0038338B">
        <w:rPr>
          <w:rFonts w:eastAsiaTheme="minorHAnsi"/>
          <w:sz w:val="24"/>
          <w:rtl/>
          <w:lang w:eastAsia="en-US"/>
        </w:rPr>
        <w:t xml:space="preserve"> </w:t>
      </w:r>
      <w:r w:rsidRPr="0038338B">
        <w:rPr>
          <w:rFonts w:eastAsiaTheme="minorHAnsi" w:hint="cs"/>
          <w:sz w:val="24"/>
          <w:rtl/>
          <w:lang w:eastAsia="en-US"/>
        </w:rPr>
        <w:t>לכל</w:t>
      </w:r>
      <w:r w:rsidRPr="0038338B">
        <w:rPr>
          <w:rFonts w:eastAsiaTheme="minorHAnsi"/>
          <w:sz w:val="24"/>
          <w:rtl/>
          <w:lang w:eastAsia="en-US"/>
        </w:rPr>
        <w:t xml:space="preserve"> </w:t>
      </w:r>
      <w:r w:rsidRPr="0038338B">
        <w:rPr>
          <w:rFonts w:eastAsiaTheme="minorHAnsi" w:hint="cs"/>
          <w:sz w:val="24"/>
          <w:rtl/>
          <w:lang w:eastAsia="en-US"/>
        </w:rPr>
        <w:t>אחת</w:t>
      </w:r>
      <w:r w:rsidRPr="0038338B">
        <w:rPr>
          <w:rFonts w:eastAsiaTheme="minorHAnsi"/>
          <w:sz w:val="24"/>
          <w:rtl/>
          <w:lang w:eastAsia="en-US"/>
        </w:rPr>
        <w:t xml:space="preserve"> </w:t>
      </w:r>
      <w:r w:rsidRPr="0038338B">
        <w:rPr>
          <w:rFonts w:eastAsiaTheme="minorHAnsi" w:hint="cs"/>
          <w:sz w:val="24"/>
          <w:rtl/>
          <w:lang w:eastAsia="en-US"/>
        </w:rPr>
        <w:t>מהפעולות</w:t>
      </w:r>
      <w:r w:rsidRPr="0038338B">
        <w:rPr>
          <w:rFonts w:eastAsiaTheme="minorHAnsi"/>
          <w:sz w:val="24"/>
          <w:rtl/>
          <w:lang w:eastAsia="en-US"/>
        </w:rPr>
        <w:t xml:space="preserve"> </w:t>
      </w:r>
      <w:r w:rsidRPr="0038338B">
        <w:rPr>
          <w:rFonts w:eastAsiaTheme="minorHAnsi" w:hint="cs"/>
          <w:sz w:val="24"/>
          <w:rtl/>
          <w:lang w:eastAsia="en-US"/>
        </w:rPr>
        <w:t>כמשמעותן</w:t>
      </w:r>
      <w:r w:rsidRPr="0038338B">
        <w:rPr>
          <w:rFonts w:eastAsiaTheme="minorHAnsi"/>
          <w:sz w:val="24"/>
          <w:rtl/>
          <w:lang w:eastAsia="en-US"/>
        </w:rPr>
        <w:t xml:space="preserve"> בחוזר סיעוד, </w:t>
      </w:r>
      <w:r w:rsidRPr="0038338B">
        <w:rPr>
          <w:rFonts w:eastAsiaTheme="minorHAnsi" w:hint="cs"/>
          <w:sz w:val="24"/>
          <w:rtl/>
          <w:lang w:eastAsia="en-US"/>
        </w:rPr>
        <w:t>אלא</w:t>
      </w:r>
      <w:r w:rsidRPr="0038338B">
        <w:rPr>
          <w:rFonts w:eastAsiaTheme="minorHAnsi"/>
          <w:sz w:val="24"/>
          <w:rtl/>
          <w:lang w:eastAsia="en-US"/>
        </w:rPr>
        <w:t xml:space="preserve"> </w:t>
      </w:r>
      <w:r w:rsidRPr="0038338B">
        <w:rPr>
          <w:rFonts w:eastAsiaTheme="minorHAnsi" w:hint="cs"/>
          <w:sz w:val="24"/>
          <w:rtl/>
          <w:lang w:eastAsia="en-US"/>
        </w:rPr>
        <w:t>אם</w:t>
      </w:r>
      <w:r w:rsidRPr="0038338B">
        <w:rPr>
          <w:rFonts w:eastAsiaTheme="minorHAnsi"/>
          <w:sz w:val="24"/>
          <w:rtl/>
          <w:lang w:eastAsia="en-US"/>
        </w:rPr>
        <w:t xml:space="preserve"> </w:t>
      </w:r>
      <w:r w:rsidRPr="0038338B">
        <w:rPr>
          <w:rFonts w:eastAsiaTheme="minorHAnsi" w:hint="cs"/>
          <w:sz w:val="24"/>
          <w:rtl/>
          <w:lang w:eastAsia="en-US"/>
        </w:rPr>
        <w:t>כן</w:t>
      </w:r>
      <w:r w:rsidRPr="0038338B">
        <w:rPr>
          <w:rFonts w:eastAsiaTheme="minorHAnsi"/>
          <w:sz w:val="24"/>
          <w:rtl/>
          <w:lang w:eastAsia="en-US"/>
        </w:rPr>
        <w:t xml:space="preserve"> </w:t>
      </w:r>
      <w:r w:rsidRPr="0038338B">
        <w:rPr>
          <w:rFonts w:eastAsiaTheme="minorHAnsi" w:hint="cs"/>
          <w:sz w:val="24"/>
          <w:rtl/>
          <w:lang w:eastAsia="en-US"/>
        </w:rPr>
        <w:t>ניתן</w:t>
      </w:r>
      <w:r w:rsidRPr="0038338B">
        <w:rPr>
          <w:rFonts w:eastAsiaTheme="minorHAnsi"/>
          <w:sz w:val="24"/>
          <w:rtl/>
          <w:lang w:eastAsia="en-US"/>
        </w:rPr>
        <w:t xml:space="preserve"> </w:t>
      </w:r>
      <w:r w:rsidRPr="0038338B">
        <w:rPr>
          <w:rFonts w:eastAsiaTheme="minorHAnsi" w:hint="cs"/>
          <w:sz w:val="24"/>
          <w:rtl/>
          <w:lang w:eastAsia="en-US"/>
        </w:rPr>
        <w:t>לקבוע</w:t>
      </w:r>
      <w:r w:rsidRPr="0038338B">
        <w:rPr>
          <w:rFonts w:eastAsiaTheme="minorHAnsi"/>
          <w:sz w:val="24"/>
          <w:rtl/>
          <w:lang w:eastAsia="en-US"/>
        </w:rPr>
        <w:t xml:space="preserve"> </w:t>
      </w:r>
      <w:r w:rsidRPr="0038338B">
        <w:rPr>
          <w:rFonts w:eastAsiaTheme="minorHAnsi" w:hint="cs"/>
          <w:sz w:val="24"/>
          <w:rtl/>
          <w:lang w:eastAsia="en-US"/>
        </w:rPr>
        <w:t>כי</w:t>
      </w:r>
      <w:r w:rsidRPr="0038338B">
        <w:rPr>
          <w:rFonts w:eastAsiaTheme="minorHAnsi"/>
          <w:sz w:val="24"/>
          <w:rtl/>
          <w:lang w:eastAsia="en-US"/>
        </w:rPr>
        <w:t xml:space="preserve"> </w:t>
      </w:r>
      <w:r w:rsidRPr="0038338B">
        <w:rPr>
          <w:rFonts w:eastAsiaTheme="minorHAnsi" w:hint="cs"/>
          <w:sz w:val="24"/>
          <w:rtl/>
          <w:lang w:eastAsia="en-US"/>
        </w:rPr>
        <w:t>מקרה</w:t>
      </w:r>
      <w:r w:rsidRPr="0038338B">
        <w:rPr>
          <w:rFonts w:eastAsiaTheme="minorHAnsi"/>
          <w:sz w:val="24"/>
          <w:rtl/>
          <w:lang w:eastAsia="en-US"/>
        </w:rPr>
        <w:t xml:space="preserve"> </w:t>
      </w:r>
      <w:r w:rsidRPr="0038338B">
        <w:rPr>
          <w:rFonts w:eastAsiaTheme="minorHAnsi" w:hint="cs"/>
          <w:sz w:val="24"/>
          <w:rtl/>
          <w:lang w:eastAsia="en-US"/>
        </w:rPr>
        <w:t>הביטוח</w:t>
      </w:r>
      <w:r w:rsidRPr="0038338B">
        <w:rPr>
          <w:rFonts w:eastAsiaTheme="minorHAnsi"/>
          <w:sz w:val="24"/>
          <w:rtl/>
          <w:lang w:eastAsia="en-US"/>
        </w:rPr>
        <w:t xml:space="preserve"> </w:t>
      </w:r>
      <w:r w:rsidRPr="0038338B">
        <w:rPr>
          <w:rFonts w:eastAsiaTheme="minorHAnsi" w:hint="cs"/>
          <w:sz w:val="24"/>
          <w:rtl/>
          <w:lang w:eastAsia="en-US"/>
        </w:rPr>
        <w:t>מתקיים</w:t>
      </w:r>
      <w:r w:rsidRPr="0038338B">
        <w:rPr>
          <w:rFonts w:eastAsiaTheme="minorHAnsi"/>
          <w:sz w:val="24"/>
          <w:rtl/>
          <w:lang w:eastAsia="en-US"/>
        </w:rPr>
        <w:t xml:space="preserve"> </w:t>
      </w:r>
      <w:r w:rsidRPr="0038338B">
        <w:rPr>
          <w:rFonts w:eastAsiaTheme="minorHAnsi" w:hint="cs"/>
          <w:sz w:val="24"/>
          <w:rtl/>
          <w:lang w:eastAsia="en-US"/>
        </w:rPr>
        <w:t>גם</w:t>
      </w:r>
      <w:r w:rsidRPr="0038338B">
        <w:rPr>
          <w:rFonts w:eastAsiaTheme="minorHAnsi"/>
          <w:sz w:val="24"/>
          <w:rtl/>
          <w:lang w:eastAsia="en-US"/>
        </w:rPr>
        <w:t xml:space="preserve"> </w:t>
      </w:r>
      <w:r w:rsidRPr="0038338B">
        <w:rPr>
          <w:rFonts w:eastAsiaTheme="minorHAnsi" w:hint="cs"/>
          <w:sz w:val="24"/>
          <w:rtl/>
          <w:lang w:eastAsia="en-US"/>
        </w:rPr>
        <w:t>מבלי</w:t>
      </w:r>
      <w:r w:rsidRPr="0038338B">
        <w:rPr>
          <w:rFonts w:eastAsiaTheme="minorHAnsi"/>
          <w:sz w:val="24"/>
          <w:rtl/>
          <w:lang w:eastAsia="en-US"/>
        </w:rPr>
        <w:t xml:space="preserve"> </w:t>
      </w:r>
      <w:r w:rsidRPr="0038338B">
        <w:rPr>
          <w:rFonts w:eastAsiaTheme="minorHAnsi" w:hint="cs"/>
          <w:sz w:val="24"/>
          <w:rtl/>
          <w:lang w:eastAsia="en-US"/>
        </w:rPr>
        <w:t>לבחון</w:t>
      </w:r>
      <w:r w:rsidRPr="0038338B">
        <w:rPr>
          <w:rFonts w:eastAsiaTheme="minorHAnsi"/>
          <w:sz w:val="24"/>
          <w:rtl/>
          <w:lang w:eastAsia="en-US"/>
        </w:rPr>
        <w:t xml:space="preserve"> </w:t>
      </w:r>
      <w:r w:rsidRPr="0038338B">
        <w:rPr>
          <w:rFonts w:eastAsiaTheme="minorHAnsi" w:hint="cs"/>
          <w:sz w:val="24"/>
          <w:rtl/>
          <w:lang w:eastAsia="en-US"/>
        </w:rPr>
        <w:t>את</w:t>
      </w:r>
      <w:r w:rsidRPr="0038338B">
        <w:rPr>
          <w:rFonts w:eastAsiaTheme="minorHAnsi"/>
          <w:sz w:val="24"/>
          <w:rtl/>
          <w:lang w:eastAsia="en-US"/>
        </w:rPr>
        <w:t xml:space="preserve"> </w:t>
      </w:r>
      <w:r w:rsidRPr="0038338B">
        <w:rPr>
          <w:rFonts w:eastAsiaTheme="minorHAnsi" w:hint="cs"/>
          <w:sz w:val="24"/>
          <w:rtl/>
          <w:lang w:eastAsia="en-US"/>
        </w:rPr>
        <w:t>כל</w:t>
      </w:r>
      <w:r w:rsidRPr="0038338B">
        <w:rPr>
          <w:rFonts w:eastAsiaTheme="minorHAnsi"/>
          <w:sz w:val="24"/>
          <w:rtl/>
          <w:lang w:eastAsia="en-US"/>
        </w:rPr>
        <w:t xml:space="preserve"> </w:t>
      </w:r>
      <w:r w:rsidRPr="0038338B">
        <w:rPr>
          <w:rFonts w:eastAsiaTheme="minorHAnsi" w:hint="cs"/>
          <w:sz w:val="24"/>
          <w:rtl/>
          <w:lang w:eastAsia="en-US"/>
        </w:rPr>
        <w:t>הפעולות</w:t>
      </w:r>
      <w:r w:rsidRPr="0038338B">
        <w:rPr>
          <w:rFonts w:eastAsiaTheme="minorHAnsi"/>
          <w:sz w:val="24"/>
          <w:rtl/>
          <w:lang w:eastAsia="en-US"/>
        </w:rPr>
        <w:t xml:space="preserve">. </w:t>
      </w:r>
    </w:p>
    <w:p w:rsidR="0038338B" w:rsidRPr="0038338B" w:rsidRDefault="0038338B" w:rsidP="000E49D1">
      <w:pPr>
        <w:overflowPunct/>
        <w:autoSpaceDE/>
        <w:autoSpaceDN/>
        <w:adjustRightInd/>
        <w:spacing w:line="360" w:lineRule="auto"/>
        <w:ind w:left="425"/>
        <w:contextualSpacing/>
        <w:jc w:val="both"/>
        <w:textAlignment w:val="auto"/>
        <w:rPr>
          <w:rFonts w:eastAsiaTheme="minorHAnsi"/>
          <w:sz w:val="24"/>
          <w:lang w:eastAsia="en-US"/>
        </w:rPr>
      </w:pPr>
      <w:r w:rsidRPr="0038338B">
        <w:rPr>
          <w:rFonts w:eastAsiaTheme="minorHAnsi" w:hint="cs"/>
          <w:sz w:val="24"/>
          <w:rtl/>
          <w:lang w:eastAsia="en-US"/>
        </w:rPr>
        <w:t>יובהר</w:t>
      </w:r>
      <w:r w:rsidRPr="0038338B">
        <w:rPr>
          <w:rFonts w:eastAsiaTheme="minorHAnsi"/>
          <w:sz w:val="24"/>
          <w:rtl/>
          <w:lang w:eastAsia="en-US"/>
        </w:rPr>
        <w:t xml:space="preserve"> כי </w:t>
      </w:r>
      <w:r w:rsidRPr="0038338B">
        <w:rPr>
          <w:rFonts w:eastAsiaTheme="minorHAnsi" w:hint="cs"/>
          <w:sz w:val="24"/>
          <w:rtl/>
          <w:lang w:eastAsia="en-US"/>
        </w:rPr>
        <w:t>האמור</w:t>
      </w:r>
      <w:r w:rsidRPr="0038338B">
        <w:rPr>
          <w:rFonts w:eastAsiaTheme="minorHAnsi"/>
          <w:sz w:val="24"/>
          <w:rtl/>
          <w:lang w:eastAsia="en-US"/>
        </w:rPr>
        <w:t xml:space="preserve"> </w:t>
      </w:r>
      <w:r w:rsidRPr="0038338B">
        <w:rPr>
          <w:rFonts w:eastAsiaTheme="minorHAnsi" w:hint="cs"/>
          <w:sz w:val="24"/>
          <w:rtl/>
          <w:lang w:eastAsia="en-US"/>
        </w:rPr>
        <w:t>בסעיפים</w:t>
      </w:r>
      <w:r w:rsidRPr="0038338B">
        <w:rPr>
          <w:rFonts w:eastAsiaTheme="minorHAnsi"/>
          <w:sz w:val="24"/>
          <w:rtl/>
          <w:lang w:eastAsia="en-US"/>
        </w:rPr>
        <w:t xml:space="preserve"> קטנים (</w:t>
      </w:r>
      <w:r w:rsidRPr="0038338B">
        <w:rPr>
          <w:rFonts w:eastAsiaTheme="minorHAnsi" w:hint="cs"/>
          <w:sz w:val="24"/>
          <w:rtl/>
          <w:lang w:eastAsia="en-US"/>
        </w:rPr>
        <w:t>א</w:t>
      </w:r>
      <w:r w:rsidRPr="0038338B">
        <w:rPr>
          <w:rFonts w:eastAsiaTheme="minorHAnsi"/>
          <w:sz w:val="24"/>
          <w:rtl/>
          <w:lang w:eastAsia="en-US"/>
        </w:rPr>
        <w:t>) ו- (</w:t>
      </w:r>
      <w:r w:rsidRPr="0038338B">
        <w:rPr>
          <w:rFonts w:eastAsiaTheme="minorHAnsi" w:hint="cs"/>
          <w:sz w:val="24"/>
          <w:rtl/>
          <w:lang w:eastAsia="en-US"/>
        </w:rPr>
        <w:t>ב</w:t>
      </w:r>
      <w:r w:rsidRPr="0038338B">
        <w:rPr>
          <w:rFonts w:eastAsiaTheme="minorHAnsi"/>
          <w:sz w:val="24"/>
          <w:rtl/>
          <w:lang w:eastAsia="en-US"/>
        </w:rPr>
        <w:t xml:space="preserve">) </w:t>
      </w:r>
      <w:r w:rsidRPr="0038338B">
        <w:rPr>
          <w:rFonts w:eastAsiaTheme="minorHAnsi" w:hint="cs"/>
          <w:sz w:val="24"/>
          <w:rtl/>
          <w:lang w:eastAsia="en-US"/>
        </w:rPr>
        <w:t>כפוף</w:t>
      </w:r>
      <w:r w:rsidRPr="0038338B">
        <w:rPr>
          <w:rFonts w:eastAsiaTheme="minorHAnsi"/>
          <w:sz w:val="24"/>
          <w:rtl/>
          <w:lang w:eastAsia="en-US"/>
        </w:rPr>
        <w:t xml:space="preserve"> </w:t>
      </w:r>
      <w:r w:rsidRPr="0038338B">
        <w:rPr>
          <w:rFonts w:eastAsiaTheme="minorHAnsi" w:hint="cs"/>
          <w:sz w:val="24"/>
          <w:rtl/>
          <w:lang w:eastAsia="en-US"/>
        </w:rPr>
        <w:t>להגדרת</w:t>
      </w:r>
      <w:r w:rsidRPr="0038338B">
        <w:rPr>
          <w:rFonts w:eastAsiaTheme="minorHAnsi"/>
          <w:sz w:val="24"/>
          <w:rtl/>
          <w:lang w:eastAsia="en-US"/>
        </w:rPr>
        <w:t xml:space="preserve"> מקרה </w:t>
      </w:r>
      <w:r w:rsidRPr="0038338B">
        <w:rPr>
          <w:rFonts w:eastAsiaTheme="minorHAnsi" w:hint="cs"/>
          <w:sz w:val="24"/>
          <w:rtl/>
          <w:lang w:eastAsia="en-US"/>
        </w:rPr>
        <w:t>הביטוח</w:t>
      </w:r>
      <w:r w:rsidRPr="0038338B">
        <w:rPr>
          <w:rFonts w:eastAsiaTheme="minorHAnsi"/>
          <w:sz w:val="24"/>
          <w:rtl/>
          <w:lang w:eastAsia="en-US"/>
        </w:rPr>
        <w:t xml:space="preserve"> שבחוזר ביטוח 2013-1-5 </w:t>
      </w:r>
      <w:r w:rsidRPr="0038338B">
        <w:rPr>
          <w:rFonts w:eastAsiaTheme="minorHAnsi" w:hint="cs"/>
          <w:sz w:val="24"/>
          <w:rtl/>
          <w:lang w:eastAsia="en-US"/>
        </w:rPr>
        <w:t>שעניינו</w:t>
      </w:r>
      <w:r w:rsidRPr="0038338B">
        <w:rPr>
          <w:rFonts w:eastAsiaTheme="minorHAnsi"/>
          <w:sz w:val="24"/>
          <w:rtl/>
          <w:lang w:eastAsia="en-US"/>
        </w:rPr>
        <w:t xml:space="preserve"> עריכת תכנית לביטוח סיעודי </w:t>
      </w:r>
      <w:r w:rsidRPr="0038338B">
        <w:rPr>
          <w:rFonts w:eastAsiaTheme="minorHAnsi" w:hint="cs"/>
          <w:sz w:val="24"/>
          <w:rtl/>
          <w:lang w:eastAsia="en-US"/>
        </w:rPr>
        <w:t>או</w:t>
      </w:r>
      <w:r w:rsidRPr="0038338B">
        <w:rPr>
          <w:rFonts w:eastAsiaTheme="minorHAnsi"/>
          <w:sz w:val="24"/>
          <w:rtl/>
          <w:lang w:eastAsia="en-US"/>
        </w:rPr>
        <w:t xml:space="preserve"> </w:t>
      </w:r>
      <w:r w:rsidRPr="0038338B">
        <w:rPr>
          <w:rFonts w:eastAsiaTheme="minorHAnsi" w:hint="cs"/>
          <w:sz w:val="24"/>
          <w:rtl/>
          <w:lang w:eastAsia="en-US"/>
        </w:rPr>
        <w:t>בחוזר</w:t>
      </w:r>
      <w:r w:rsidRPr="0038338B">
        <w:rPr>
          <w:rFonts w:eastAsiaTheme="minorHAnsi"/>
          <w:sz w:val="24"/>
          <w:rtl/>
          <w:lang w:eastAsia="en-US"/>
        </w:rPr>
        <w:t xml:space="preserve"> </w:t>
      </w:r>
      <w:r w:rsidRPr="0038338B">
        <w:rPr>
          <w:rFonts w:eastAsiaTheme="minorHAnsi" w:hint="cs"/>
          <w:sz w:val="24"/>
          <w:rtl/>
          <w:lang w:eastAsia="en-US"/>
        </w:rPr>
        <w:t>אחר</w:t>
      </w:r>
      <w:r w:rsidRPr="0038338B">
        <w:rPr>
          <w:rFonts w:eastAsiaTheme="minorHAnsi"/>
          <w:sz w:val="24"/>
          <w:rtl/>
          <w:lang w:eastAsia="en-US"/>
        </w:rPr>
        <w:t xml:space="preserve"> </w:t>
      </w:r>
      <w:r w:rsidRPr="0038338B">
        <w:rPr>
          <w:rFonts w:eastAsiaTheme="minorHAnsi" w:hint="cs"/>
          <w:sz w:val="24"/>
          <w:rtl/>
          <w:lang w:eastAsia="en-US"/>
        </w:rPr>
        <w:t>שיחליף</w:t>
      </w:r>
      <w:r w:rsidRPr="0038338B">
        <w:rPr>
          <w:rFonts w:eastAsiaTheme="minorHAnsi"/>
          <w:sz w:val="24"/>
          <w:rtl/>
          <w:lang w:eastAsia="en-US"/>
        </w:rPr>
        <w:t xml:space="preserve"> </w:t>
      </w:r>
      <w:r w:rsidRPr="0038338B">
        <w:rPr>
          <w:rFonts w:eastAsiaTheme="minorHAnsi" w:hint="cs"/>
          <w:sz w:val="24"/>
          <w:rtl/>
          <w:lang w:eastAsia="en-US"/>
        </w:rPr>
        <w:t>אותו</w:t>
      </w:r>
      <w:r w:rsidRPr="0038338B">
        <w:rPr>
          <w:rFonts w:eastAsiaTheme="minorHAnsi"/>
          <w:sz w:val="24"/>
          <w:rtl/>
          <w:lang w:eastAsia="en-US"/>
        </w:rPr>
        <w:t>.</w:t>
      </w:r>
      <w:r w:rsidRPr="0038338B">
        <w:rPr>
          <w:rFonts w:eastAsiaTheme="minorHAnsi" w:hint="cs"/>
          <w:sz w:val="24"/>
          <w:rtl/>
          <w:lang w:eastAsia="en-US"/>
        </w:rPr>
        <w:t xml:space="preserve"> </w:t>
      </w:r>
    </w:p>
    <w:p w:rsidR="0038338B" w:rsidRPr="0038338B" w:rsidRDefault="0038338B" w:rsidP="0038338B">
      <w:pPr>
        <w:overflowPunct/>
        <w:autoSpaceDE/>
        <w:autoSpaceDN/>
        <w:adjustRightInd/>
        <w:spacing w:line="360" w:lineRule="auto"/>
        <w:ind w:left="2160"/>
        <w:contextualSpacing/>
        <w:jc w:val="both"/>
        <w:textAlignment w:val="auto"/>
        <w:rPr>
          <w:rFonts w:eastAsiaTheme="minorHAnsi" w:cs="FrankRuehl"/>
          <w:sz w:val="24"/>
          <w:szCs w:val="26"/>
          <w:lang w:eastAsia="en-US"/>
        </w:rPr>
      </w:pPr>
    </w:p>
    <w:p w:rsidR="0038338B" w:rsidRPr="0038338B" w:rsidRDefault="0038338B" w:rsidP="0038338B">
      <w:pPr>
        <w:numPr>
          <w:ilvl w:val="0"/>
          <w:numId w:val="25"/>
        </w:numPr>
        <w:overflowPunct/>
        <w:autoSpaceDE/>
        <w:autoSpaceDN/>
        <w:adjustRightInd/>
        <w:spacing w:line="360" w:lineRule="auto"/>
        <w:contextualSpacing/>
        <w:jc w:val="both"/>
        <w:textAlignment w:val="auto"/>
        <w:rPr>
          <w:rFonts w:eastAsiaTheme="minorHAnsi"/>
          <w:sz w:val="22"/>
          <w:u w:val="single"/>
          <w:lang w:eastAsia="en-US"/>
        </w:rPr>
      </w:pPr>
      <w:r w:rsidRPr="0038338B">
        <w:rPr>
          <w:rFonts w:eastAsiaTheme="minorHAnsi" w:hint="cs"/>
          <w:sz w:val="22"/>
          <w:u w:val="single"/>
          <w:rtl/>
          <w:lang w:eastAsia="en-US"/>
        </w:rPr>
        <w:t>הגשת תביעה</w:t>
      </w:r>
    </w:p>
    <w:p w:rsidR="0038338B" w:rsidRPr="0038338B" w:rsidRDefault="0038338B" w:rsidP="0038338B">
      <w:pPr>
        <w:overflowPunct/>
        <w:autoSpaceDE/>
        <w:autoSpaceDN/>
        <w:adjustRightInd/>
        <w:spacing w:line="360" w:lineRule="auto"/>
        <w:ind w:left="360"/>
        <w:contextualSpacing/>
        <w:jc w:val="both"/>
        <w:textAlignment w:val="auto"/>
        <w:rPr>
          <w:rFonts w:eastAsiaTheme="minorHAnsi"/>
          <w:sz w:val="24"/>
          <w:rtl/>
          <w:lang w:eastAsia="en-US"/>
        </w:rPr>
      </w:pPr>
      <w:r w:rsidRPr="0038338B">
        <w:rPr>
          <w:rFonts w:eastAsiaTheme="minorHAnsi" w:hint="cs"/>
          <w:sz w:val="24"/>
          <w:rtl/>
          <w:lang w:eastAsia="en-US"/>
        </w:rPr>
        <w:t>חברת ביטוח לא תדרוש במילוי</w:t>
      </w:r>
      <w:r w:rsidRPr="0038338B">
        <w:rPr>
          <w:rFonts w:eastAsiaTheme="minorHAnsi"/>
          <w:sz w:val="24"/>
          <w:rtl/>
          <w:lang w:eastAsia="en-US"/>
        </w:rPr>
        <w:t xml:space="preserve"> טופס הגשת תביעה </w:t>
      </w:r>
      <w:r w:rsidRPr="0038338B">
        <w:rPr>
          <w:rFonts w:eastAsiaTheme="minorHAnsi" w:hint="cs"/>
          <w:sz w:val="24"/>
          <w:rtl/>
          <w:lang w:eastAsia="en-US"/>
        </w:rPr>
        <w:t>התייחסות</w:t>
      </w:r>
      <w:r w:rsidRPr="0038338B">
        <w:rPr>
          <w:rFonts w:eastAsiaTheme="minorHAnsi"/>
          <w:sz w:val="24"/>
          <w:rtl/>
          <w:lang w:eastAsia="en-US"/>
        </w:rPr>
        <w:t xml:space="preserve"> </w:t>
      </w:r>
      <w:r w:rsidRPr="0038338B">
        <w:rPr>
          <w:rFonts w:eastAsiaTheme="minorHAnsi" w:hint="cs"/>
          <w:sz w:val="24"/>
          <w:rtl/>
          <w:lang w:eastAsia="en-US"/>
        </w:rPr>
        <w:t>מומחה</w:t>
      </w:r>
      <w:r w:rsidRPr="0038338B">
        <w:rPr>
          <w:rFonts w:eastAsiaTheme="minorHAnsi"/>
          <w:sz w:val="24"/>
          <w:rtl/>
          <w:lang w:eastAsia="en-US"/>
        </w:rPr>
        <w:t xml:space="preserve"> ולא תחייב </w:t>
      </w:r>
      <w:r w:rsidRPr="0038338B">
        <w:rPr>
          <w:rFonts w:eastAsiaTheme="minorHAnsi" w:hint="cs"/>
          <w:sz w:val="24"/>
          <w:rtl/>
          <w:lang w:eastAsia="en-US"/>
        </w:rPr>
        <w:t>את</w:t>
      </w:r>
      <w:r w:rsidRPr="0038338B">
        <w:rPr>
          <w:rFonts w:eastAsiaTheme="minorHAnsi"/>
          <w:sz w:val="24"/>
          <w:rtl/>
          <w:lang w:eastAsia="en-US"/>
        </w:rPr>
        <w:t xml:space="preserve"> התובע למסור </w:t>
      </w:r>
      <w:r w:rsidRPr="0038338B">
        <w:rPr>
          <w:rFonts w:eastAsiaTheme="minorHAnsi" w:hint="cs"/>
          <w:sz w:val="24"/>
          <w:rtl/>
          <w:lang w:eastAsia="en-US"/>
        </w:rPr>
        <w:t>מסמכים</w:t>
      </w:r>
      <w:r w:rsidRPr="0038338B">
        <w:rPr>
          <w:rFonts w:eastAsiaTheme="minorHAnsi"/>
          <w:sz w:val="24"/>
          <w:rtl/>
          <w:lang w:eastAsia="en-US"/>
        </w:rPr>
        <w:t xml:space="preserve"> </w:t>
      </w:r>
      <w:r w:rsidRPr="0038338B">
        <w:rPr>
          <w:rFonts w:eastAsiaTheme="minorHAnsi" w:hint="cs"/>
          <w:sz w:val="24"/>
          <w:rtl/>
          <w:lang w:eastAsia="en-US"/>
        </w:rPr>
        <w:t>רפואיים</w:t>
      </w:r>
      <w:r w:rsidRPr="0038338B">
        <w:rPr>
          <w:rFonts w:eastAsiaTheme="minorHAnsi"/>
          <w:sz w:val="24"/>
          <w:rtl/>
          <w:lang w:eastAsia="en-US"/>
        </w:rPr>
        <w:t xml:space="preserve"> </w:t>
      </w:r>
      <w:r w:rsidRPr="0038338B">
        <w:rPr>
          <w:rFonts w:eastAsiaTheme="minorHAnsi" w:hint="cs"/>
          <w:sz w:val="24"/>
          <w:rtl/>
          <w:lang w:eastAsia="en-US"/>
        </w:rPr>
        <w:t>במועד</w:t>
      </w:r>
      <w:r w:rsidRPr="0038338B">
        <w:rPr>
          <w:rFonts w:eastAsiaTheme="minorHAnsi"/>
          <w:sz w:val="24"/>
          <w:rtl/>
          <w:lang w:eastAsia="en-US"/>
        </w:rPr>
        <w:t xml:space="preserve"> </w:t>
      </w:r>
      <w:r w:rsidRPr="0038338B">
        <w:rPr>
          <w:rFonts w:eastAsiaTheme="minorHAnsi" w:hint="cs"/>
          <w:sz w:val="24"/>
          <w:rtl/>
          <w:lang w:eastAsia="en-US"/>
        </w:rPr>
        <w:t>הגשת</w:t>
      </w:r>
      <w:r w:rsidRPr="0038338B">
        <w:rPr>
          <w:rFonts w:eastAsiaTheme="minorHAnsi"/>
          <w:sz w:val="24"/>
          <w:rtl/>
          <w:lang w:eastAsia="en-US"/>
        </w:rPr>
        <w:t xml:space="preserve"> </w:t>
      </w:r>
      <w:r w:rsidRPr="0038338B">
        <w:rPr>
          <w:rFonts w:eastAsiaTheme="minorHAnsi" w:hint="cs"/>
          <w:sz w:val="24"/>
          <w:rtl/>
          <w:lang w:eastAsia="en-US"/>
        </w:rPr>
        <w:t>התביעה</w:t>
      </w:r>
      <w:r w:rsidRPr="0038338B">
        <w:rPr>
          <w:rFonts w:eastAsiaTheme="minorHAnsi"/>
          <w:sz w:val="24"/>
          <w:rtl/>
          <w:lang w:eastAsia="en-US"/>
        </w:rPr>
        <w:t>.</w:t>
      </w:r>
    </w:p>
    <w:p w:rsidR="0038338B" w:rsidRPr="0038338B" w:rsidRDefault="0038338B" w:rsidP="0038338B">
      <w:pPr>
        <w:overflowPunct/>
        <w:autoSpaceDE/>
        <w:autoSpaceDN/>
        <w:adjustRightInd/>
        <w:spacing w:line="360" w:lineRule="auto"/>
        <w:ind w:left="360"/>
        <w:contextualSpacing/>
        <w:jc w:val="both"/>
        <w:textAlignment w:val="auto"/>
        <w:rPr>
          <w:rFonts w:eastAsiaTheme="minorHAnsi"/>
          <w:sz w:val="24"/>
          <w:rtl/>
          <w:lang w:eastAsia="en-US"/>
        </w:rPr>
      </w:pPr>
    </w:p>
    <w:p w:rsidR="0038338B" w:rsidRPr="0038338B" w:rsidRDefault="0038338B" w:rsidP="0038338B">
      <w:pPr>
        <w:numPr>
          <w:ilvl w:val="0"/>
          <w:numId w:val="25"/>
        </w:numPr>
        <w:overflowPunct/>
        <w:autoSpaceDE/>
        <w:autoSpaceDN/>
        <w:adjustRightInd/>
        <w:spacing w:line="360" w:lineRule="auto"/>
        <w:contextualSpacing/>
        <w:jc w:val="both"/>
        <w:textAlignment w:val="auto"/>
        <w:rPr>
          <w:rFonts w:eastAsiaTheme="minorHAnsi"/>
          <w:sz w:val="24"/>
          <w:u w:val="single"/>
          <w:lang w:eastAsia="en-US"/>
        </w:rPr>
      </w:pPr>
      <w:r w:rsidRPr="0038338B">
        <w:rPr>
          <w:rFonts w:eastAsiaTheme="minorHAnsi" w:hint="eastAsia"/>
          <w:sz w:val="24"/>
          <w:u w:val="single"/>
          <w:rtl/>
          <w:lang w:eastAsia="en-US"/>
        </w:rPr>
        <w:t>הערכה</w:t>
      </w:r>
      <w:r w:rsidRPr="0038338B">
        <w:rPr>
          <w:rFonts w:eastAsiaTheme="minorHAnsi"/>
          <w:sz w:val="24"/>
          <w:u w:val="single"/>
          <w:rtl/>
          <w:lang w:eastAsia="en-US"/>
        </w:rPr>
        <w:t xml:space="preserve"> </w:t>
      </w:r>
      <w:r w:rsidRPr="0038338B">
        <w:rPr>
          <w:rFonts w:eastAsiaTheme="minorHAnsi" w:hint="eastAsia"/>
          <w:sz w:val="24"/>
          <w:u w:val="single"/>
          <w:rtl/>
          <w:lang w:eastAsia="en-US"/>
        </w:rPr>
        <w:t>תפקודית</w:t>
      </w:r>
    </w:p>
    <w:p w:rsidR="0038338B" w:rsidRPr="0038338B" w:rsidRDefault="0038338B" w:rsidP="0038338B">
      <w:pPr>
        <w:numPr>
          <w:ilvl w:val="0"/>
          <w:numId w:val="31"/>
        </w:numPr>
        <w:overflowPunct/>
        <w:autoSpaceDE/>
        <w:autoSpaceDN/>
        <w:adjustRightInd/>
        <w:spacing w:line="360" w:lineRule="auto"/>
        <w:contextualSpacing/>
        <w:jc w:val="both"/>
        <w:textAlignment w:val="auto"/>
        <w:rPr>
          <w:rFonts w:eastAsiaTheme="minorHAnsi"/>
          <w:sz w:val="24"/>
          <w:lang w:eastAsia="en-US"/>
        </w:rPr>
      </w:pPr>
      <w:r w:rsidRPr="0038338B">
        <w:rPr>
          <w:rFonts w:eastAsiaTheme="minorHAnsi" w:hint="cs"/>
          <w:sz w:val="24"/>
          <w:rtl/>
          <w:lang w:eastAsia="en-US"/>
        </w:rPr>
        <w:t xml:space="preserve">חברת ביטוח לא תסתמך על הערכה קוגניטיבית לצורך בחינת "תשישות נפש", כהגדרתה בחוזר סיעוד, אם לא נערכה על ידי רופא המומחה לעניין זה, כגון רופא מומחה בתחום הגריאטריה או פסיכיאטר. </w:t>
      </w:r>
    </w:p>
    <w:p w:rsidR="0038338B" w:rsidRPr="0038338B" w:rsidRDefault="0038338B" w:rsidP="0038338B">
      <w:pPr>
        <w:numPr>
          <w:ilvl w:val="0"/>
          <w:numId w:val="31"/>
        </w:numPr>
        <w:overflowPunct/>
        <w:autoSpaceDE/>
        <w:autoSpaceDN/>
        <w:adjustRightInd/>
        <w:spacing w:line="360" w:lineRule="auto"/>
        <w:contextualSpacing/>
        <w:jc w:val="both"/>
        <w:textAlignment w:val="auto"/>
        <w:rPr>
          <w:rFonts w:eastAsiaTheme="minorHAnsi"/>
          <w:sz w:val="24"/>
          <w:lang w:eastAsia="en-US"/>
        </w:rPr>
      </w:pPr>
      <w:r w:rsidRPr="0038338B">
        <w:rPr>
          <w:rFonts w:eastAsiaTheme="minorHAnsi" w:hint="cs"/>
          <w:sz w:val="24"/>
          <w:rtl/>
          <w:lang w:eastAsia="en-US"/>
        </w:rPr>
        <w:t>חברת ביטוח לא תסתמך על הערכה תפקודית הנערכת לצורך בחינת מצב תפקודי כמשמעותו בחוזר סיעוד, אם לא התקיימו כל אלה:</w:t>
      </w:r>
    </w:p>
    <w:p w:rsidR="0038338B" w:rsidRPr="0038338B" w:rsidRDefault="0038338B" w:rsidP="0038338B">
      <w:pPr>
        <w:numPr>
          <w:ilvl w:val="0"/>
          <w:numId w:val="29"/>
        </w:numPr>
        <w:overflowPunct/>
        <w:autoSpaceDE/>
        <w:autoSpaceDN/>
        <w:adjustRightInd/>
        <w:spacing w:after="120" w:line="360" w:lineRule="auto"/>
        <w:ind w:left="1074" w:hanging="275"/>
        <w:contextualSpacing/>
        <w:jc w:val="both"/>
        <w:textAlignment w:val="auto"/>
        <w:rPr>
          <w:rFonts w:eastAsiaTheme="minorHAnsi"/>
          <w:sz w:val="24"/>
          <w:lang w:eastAsia="en-US"/>
        </w:rPr>
      </w:pPr>
      <w:r w:rsidRPr="0038338B">
        <w:rPr>
          <w:rFonts w:eastAsiaTheme="minorHAnsi" w:hint="cs"/>
          <w:sz w:val="24"/>
          <w:rtl/>
          <w:lang w:eastAsia="en-US"/>
        </w:rPr>
        <w:t>ההערכה התפקודית כוללת תיאור מפורט של מצבו התפקודי של המבוטח ביחס לכל אחת מהפעולות הנבחנות;</w:t>
      </w:r>
    </w:p>
    <w:p w:rsidR="0038338B" w:rsidRPr="0038338B" w:rsidRDefault="0038338B" w:rsidP="0038338B">
      <w:pPr>
        <w:numPr>
          <w:ilvl w:val="0"/>
          <w:numId w:val="29"/>
        </w:numPr>
        <w:overflowPunct/>
        <w:autoSpaceDE/>
        <w:autoSpaceDN/>
        <w:adjustRightInd/>
        <w:spacing w:after="120" w:line="360" w:lineRule="auto"/>
        <w:ind w:left="1074" w:hanging="275"/>
        <w:contextualSpacing/>
        <w:jc w:val="both"/>
        <w:textAlignment w:val="auto"/>
        <w:rPr>
          <w:rFonts w:eastAsiaTheme="minorHAnsi"/>
          <w:sz w:val="24"/>
          <w:lang w:eastAsia="en-US"/>
        </w:rPr>
      </w:pPr>
      <w:r w:rsidRPr="0038338B">
        <w:rPr>
          <w:rFonts w:eastAsiaTheme="minorHAnsi" w:hint="cs"/>
          <w:sz w:val="24"/>
          <w:rtl/>
          <w:lang w:eastAsia="en-US"/>
        </w:rPr>
        <w:t>ההערכה המספרית ביחס למצב התפקודי, שנכללה בהערכת התפקוד, תואמת את ההערכה המילולית</w:t>
      </w:r>
      <w:r w:rsidRPr="0038338B">
        <w:rPr>
          <w:rFonts w:eastAsiaTheme="minorHAnsi"/>
          <w:sz w:val="24"/>
          <w:rtl/>
          <w:lang w:eastAsia="en-US"/>
        </w:rPr>
        <w:t xml:space="preserve">, </w:t>
      </w:r>
      <w:r w:rsidRPr="0038338B">
        <w:rPr>
          <w:rFonts w:eastAsiaTheme="minorHAnsi" w:hint="cs"/>
          <w:sz w:val="24"/>
          <w:rtl/>
          <w:lang w:eastAsia="en-US"/>
        </w:rPr>
        <w:t>ככל</w:t>
      </w:r>
      <w:r w:rsidRPr="0038338B">
        <w:rPr>
          <w:rFonts w:eastAsiaTheme="minorHAnsi"/>
          <w:sz w:val="24"/>
          <w:rtl/>
          <w:lang w:eastAsia="en-US"/>
        </w:rPr>
        <w:t xml:space="preserve"> </w:t>
      </w:r>
      <w:r w:rsidRPr="0038338B">
        <w:rPr>
          <w:rFonts w:eastAsiaTheme="minorHAnsi" w:hint="cs"/>
          <w:sz w:val="24"/>
          <w:rtl/>
          <w:lang w:eastAsia="en-US"/>
        </w:rPr>
        <w:t>הניתן;</w:t>
      </w:r>
      <w:r w:rsidRPr="0038338B">
        <w:rPr>
          <w:rFonts w:eastAsiaTheme="minorHAnsi"/>
          <w:sz w:val="24"/>
          <w:rtl/>
          <w:lang w:eastAsia="en-US"/>
        </w:rPr>
        <w:t xml:space="preserve">  </w:t>
      </w:r>
    </w:p>
    <w:p w:rsidR="0038338B" w:rsidRPr="0038338B" w:rsidRDefault="0038338B" w:rsidP="0038338B">
      <w:pPr>
        <w:numPr>
          <w:ilvl w:val="0"/>
          <w:numId w:val="29"/>
        </w:numPr>
        <w:overflowPunct/>
        <w:autoSpaceDE/>
        <w:autoSpaceDN/>
        <w:adjustRightInd/>
        <w:spacing w:after="120" w:line="360" w:lineRule="auto"/>
        <w:ind w:left="1074" w:hanging="275"/>
        <w:contextualSpacing/>
        <w:jc w:val="both"/>
        <w:textAlignment w:val="auto"/>
        <w:rPr>
          <w:rFonts w:eastAsiaTheme="minorHAnsi"/>
          <w:sz w:val="24"/>
          <w:lang w:eastAsia="en-US"/>
        </w:rPr>
      </w:pPr>
      <w:r w:rsidRPr="0038338B">
        <w:rPr>
          <w:rFonts w:eastAsiaTheme="minorHAnsi" w:hint="cs"/>
          <w:sz w:val="24"/>
          <w:rtl/>
          <w:lang w:eastAsia="en-US"/>
        </w:rPr>
        <w:t>הערכה תפקודית בוצעה בנוכחות נציג מטעם המבוטח, אלא אם כן המבוטח וויתר על נוכחות נציג נוסף מטעמו;</w:t>
      </w:r>
    </w:p>
    <w:p w:rsidR="0038338B" w:rsidRPr="0038338B" w:rsidRDefault="0038338B" w:rsidP="0038338B">
      <w:pPr>
        <w:numPr>
          <w:ilvl w:val="0"/>
          <w:numId w:val="29"/>
        </w:numPr>
        <w:overflowPunct/>
        <w:autoSpaceDE/>
        <w:autoSpaceDN/>
        <w:adjustRightInd/>
        <w:spacing w:after="120" w:line="360" w:lineRule="auto"/>
        <w:ind w:left="1074" w:hanging="275"/>
        <w:contextualSpacing/>
        <w:jc w:val="both"/>
        <w:textAlignment w:val="auto"/>
        <w:rPr>
          <w:rFonts w:eastAsiaTheme="minorHAnsi"/>
          <w:sz w:val="24"/>
          <w:lang w:eastAsia="en-US"/>
        </w:rPr>
      </w:pPr>
      <w:r w:rsidRPr="0038338B">
        <w:rPr>
          <w:rFonts w:eastAsiaTheme="minorHAnsi" w:hint="cs"/>
          <w:sz w:val="24"/>
          <w:rtl/>
          <w:lang w:eastAsia="en-US"/>
        </w:rPr>
        <w:t xml:space="preserve">הערכה תפקודית בוצעה בשפה אותה דובר המבוטח. יובהר כי אין באמור כדי למנוע מנציג מטעם המבוטח לתרגם לשפת המבוטח את תוכן השיחה בעת הליך ביצוע ההערכה. </w:t>
      </w:r>
    </w:p>
    <w:p w:rsidR="0038338B" w:rsidRPr="0038338B" w:rsidRDefault="0038338B" w:rsidP="0038338B">
      <w:pPr>
        <w:numPr>
          <w:ilvl w:val="0"/>
          <w:numId w:val="31"/>
        </w:numPr>
        <w:overflowPunct/>
        <w:autoSpaceDE/>
        <w:autoSpaceDN/>
        <w:adjustRightInd/>
        <w:spacing w:line="360" w:lineRule="auto"/>
        <w:contextualSpacing/>
        <w:jc w:val="both"/>
        <w:textAlignment w:val="auto"/>
        <w:rPr>
          <w:rFonts w:eastAsiaTheme="minorHAnsi"/>
          <w:sz w:val="24"/>
          <w:lang w:eastAsia="en-US"/>
        </w:rPr>
      </w:pPr>
      <w:r w:rsidRPr="0038338B">
        <w:rPr>
          <w:rFonts w:eastAsiaTheme="minorHAnsi" w:hint="cs"/>
          <w:sz w:val="24"/>
          <w:rtl/>
          <w:lang w:eastAsia="en-US"/>
        </w:rPr>
        <w:t>הערכת</w:t>
      </w:r>
      <w:r w:rsidRPr="0038338B">
        <w:rPr>
          <w:rFonts w:eastAsiaTheme="minorHAnsi"/>
          <w:sz w:val="24"/>
          <w:rtl/>
          <w:lang w:eastAsia="en-US"/>
        </w:rPr>
        <w:t xml:space="preserve"> תפקוד במקרה של ערעור על דחיית תביעה תבוצע על ידי מומח</w:t>
      </w:r>
      <w:r w:rsidRPr="0038338B">
        <w:rPr>
          <w:rFonts w:eastAsiaTheme="minorHAnsi" w:hint="cs"/>
          <w:sz w:val="24"/>
          <w:rtl/>
          <w:lang w:eastAsia="en-US"/>
        </w:rPr>
        <w:t>ה</w:t>
      </w:r>
      <w:r w:rsidRPr="0038338B">
        <w:rPr>
          <w:rFonts w:eastAsiaTheme="minorHAnsi"/>
          <w:sz w:val="24"/>
          <w:rtl/>
          <w:lang w:eastAsia="en-US"/>
        </w:rPr>
        <w:t xml:space="preserve"> </w:t>
      </w:r>
      <w:r w:rsidRPr="0038338B">
        <w:rPr>
          <w:rFonts w:eastAsiaTheme="minorHAnsi" w:hint="cs"/>
          <w:sz w:val="24"/>
          <w:rtl/>
          <w:lang w:eastAsia="en-US"/>
        </w:rPr>
        <w:t>שונה</w:t>
      </w:r>
      <w:r w:rsidRPr="0038338B">
        <w:rPr>
          <w:rFonts w:eastAsiaTheme="minorHAnsi"/>
          <w:sz w:val="24"/>
          <w:rtl/>
          <w:lang w:eastAsia="en-US"/>
        </w:rPr>
        <w:t xml:space="preserve"> </w:t>
      </w:r>
      <w:r w:rsidRPr="0038338B">
        <w:rPr>
          <w:rFonts w:eastAsiaTheme="minorHAnsi" w:hint="cs"/>
          <w:sz w:val="24"/>
          <w:rtl/>
          <w:lang w:eastAsia="en-US"/>
        </w:rPr>
        <w:t>מהמומחה</w:t>
      </w:r>
      <w:r w:rsidRPr="0038338B">
        <w:rPr>
          <w:rFonts w:eastAsiaTheme="minorHAnsi"/>
          <w:sz w:val="24"/>
          <w:rtl/>
          <w:lang w:eastAsia="en-US"/>
        </w:rPr>
        <w:t xml:space="preserve"> </w:t>
      </w:r>
      <w:r w:rsidRPr="0038338B">
        <w:rPr>
          <w:rFonts w:eastAsiaTheme="minorHAnsi" w:hint="cs"/>
          <w:sz w:val="24"/>
          <w:rtl/>
          <w:lang w:eastAsia="en-US"/>
        </w:rPr>
        <w:t>שביצע</w:t>
      </w:r>
      <w:r w:rsidRPr="0038338B">
        <w:rPr>
          <w:rFonts w:eastAsiaTheme="minorHAnsi"/>
          <w:sz w:val="24"/>
          <w:rtl/>
          <w:lang w:eastAsia="en-US"/>
        </w:rPr>
        <w:t xml:space="preserve"> </w:t>
      </w:r>
      <w:r w:rsidRPr="0038338B">
        <w:rPr>
          <w:rFonts w:eastAsiaTheme="minorHAnsi" w:hint="cs"/>
          <w:sz w:val="24"/>
          <w:rtl/>
          <w:lang w:eastAsia="en-US"/>
        </w:rPr>
        <w:t>את</w:t>
      </w:r>
      <w:r w:rsidRPr="0038338B">
        <w:rPr>
          <w:rFonts w:eastAsiaTheme="minorHAnsi"/>
          <w:sz w:val="24"/>
          <w:rtl/>
          <w:lang w:eastAsia="en-US"/>
        </w:rPr>
        <w:t xml:space="preserve"> </w:t>
      </w:r>
      <w:r w:rsidRPr="0038338B">
        <w:rPr>
          <w:rFonts w:eastAsiaTheme="minorHAnsi" w:hint="cs"/>
          <w:sz w:val="24"/>
          <w:rtl/>
          <w:lang w:eastAsia="en-US"/>
        </w:rPr>
        <w:t>ההערכה</w:t>
      </w:r>
      <w:r w:rsidRPr="0038338B">
        <w:rPr>
          <w:rFonts w:eastAsiaTheme="minorHAnsi"/>
          <w:sz w:val="24"/>
          <w:rtl/>
          <w:lang w:eastAsia="en-US"/>
        </w:rPr>
        <w:t xml:space="preserve"> </w:t>
      </w:r>
      <w:r w:rsidRPr="0038338B">
        <w:rPr>
          <w:rFonts w:eastAsiaTheme="minorHAnsi" w:hint="cs"/>
          <w:sz w:val="24"/>
          <w:rtl/>
          <w:lang w:eastAsia="en-US"/>
        </w:rPr>
        <w:t>הקודמת</w:t>
      </w:r>
      <w:r w:rsidRPr="0038338B">
        <w:rPr>
          <w:rFonts w:eastAsiaTheme="minorHAnsi"/>
          <w:sz w:val="24"/>
          <w:rtl/>
          <w:lang w:eastAsia="en-US"/>
        </w:rPr>
        <w:t xml:space="preserve">. </w:t>
      </w:r>
    </w:p>
    <w:p w:rsidR="0038338B" w:rsidRPr="0038338B" w:rsidRDefault="0038338B" w:rsidP="0038338B">
      <w:pPr>
        <w:numPr>
          <w:ilvl w:val="0"/>
          <w:numId w:val="31"/>
        </w:numPr>
        <w:overflowPunct/>
        <w:autoSpaceDE/>
        <w:autoSpaceDN/>
        <w:adjustRightInd/>
        <w:spacing w:line="360" w:lineRule="auto"/>
        <w:contextualSpacing/>
        <w:jc w:val="both"/>
        <w:textAlignment w:val="auto"/>
        <w:rPr>
          <w:rFonts w:eastAsiaTheme="minorHAnsi"/>
          <w:sz w:val="24"/>
          <w:lang w:eastAsia="en-US"/>
        </w:rPr>
      </w:pPr>
      <w:r w:rsidRPr="0038338B">
        <w:rPr>
          <w:rFonts w:eastAsiaTheme="minorHAnsi" w:hint="cs"/>
          <w:sz w:val="24"/>
          <w:rtl/>
          <w:lang w:eastAsia="en-US"/>
        </w:rPr>
        <w:t>ממצאי</w:t>
      </w:r>
      <w:r w:rsidRPr="0038338B">
        <w:rPr>
          <w:rFonts w:eastAsiaTheme="minorHAnsi"/>
          <w:sz w:val="24"/>
          <w:rtl/>
          <w:lang w:eastAsia="en-US"/>
        </w:rPr>
        <w:t xml:space="preserve"> </w:t>
      </w:r>
      <w:r w:rsidRPr="0038338B">
        <w:rPr>
          <w:rFonts w:eastAsiaTheme="minorHAnsi" w:hint="cs"/>
          <w:sz w:val="24"/>
          <w:rtl/>
          <w:lang w:eastAsia="en-US"/>
        </w:rPr>
        <w:t>הערכה</w:t>
      </w:r>
      <w:r w:rsidRPr="0038338B">
        <w:rPr>
          <w:rFonts w:eastAsiaTheme="minorHAnsi"/>
          <w:sz w:val="24"/>
          <w:rtl/>
          <w:lang w:eastAsia="en-US"/>
        </w:rPr>
        <w:t xml:space="preserve"> תפקודית או </w:t>
      </w:r>
      <w:r w:rsidRPr="0038338B">
        <w:rPr>
          <w:rFonts w:eastAsiaTheme="minorHAnsi" w:hint="cs"/>
          <w:sz w:val="24"/>
          <w:rtl/>
          <w:lang w:eastAsia="en-US"/>
        </w:rPr>
        <w:t>קוגניטיבית</w:t>
      </w:r>
      <w:r w:rsidRPr="0038338B">
        <w:rPr>
          <w:rFonts w:eastAsiaTheme="minorHAnsi"/>
          <w:sz w:val="24"/>
          <w:rtl/>
          <w:lang w:eastAsia="en-US"/>
        </w:rPr>
        <w:t xml:space="preserve"> </w:t>
      </w:r>
      <w:r w:rsidRPr="0038338B">
        <w:rPr>
          <w:rFonts w:eastAsiaTheme="minorHAnsi" w:hint="cs"/>
          <w:sz w:val="24"/>
          <w:rtl/>
          <w:lang w:eastAsia="en-US"/>
        </w:rPr>
        <w:t>שבוצעה</w:t>
      </w:r>
      <w:r w:rsidRPr="0038338B">
        <w:rPr>
          <w:rFonts w:eastAsiaTheme="minorHAnsi"/>
          <w:sz w:val="24"/>
          <w:rtl/>
          <w:lang w:eastAsia="en-US"/>
        </w:rPr>
        <w:t xml:space="preserve"> </w:t>
      </w:r>
      <w:r w:rsidRPr="0038338B">
        <w:rPr>
          <w:rFonts w:eastAsiaTheme="minorHAnsi" w:hint="cs"/>
          <w:sz w:val="24"/>
          <w:rtl/>
          <w:lang w:eastAsia="en-US"/>
        </w:rPr>
        <w:t>למבוטח</w:t>
      </w:r>
      <w:r w:rsidRPr="0038338B">
        <w:rPr>
          <w:rFonts w:eastAsiaTheme="minorHAnsi"/>
          <w:sz w:val="24"/>
          <w:rtl/>
          <w:lang w:eastAsia="en-US"/>
        </w:rPr>
        <w:t xml:space="preserve"> מטעם </w:t>
      </w:r>
      <w:r w:rsidRPr="0038338B">
        <w:rPr>
          <w:rFonts w:eastAsiaTheme="minorHAnsi" w:hint="cs"/>
          <w:sz w:val="24"/>
          <w:rtl/>
          <w:lang w:eastAsia="en-US"/>
        </w:rPr>
        <w:t>חברת</w:t>
      </w:r>
      <w:r w:rsidRPr="0038338B">
        <w:rPr>
          <w:rFonts w:eastAsiaTheme="minorHAnsi"/>
          <w:sz w:val="24"/>
          <w:rtl/>
          <w:lang w:eastAsia="en-US"/>
        </w:rPr>
        <w:t xml:space="preserve"> </w:t>
      </w:r>
      <w:r w:rsidRPr="0038338B">
        <w:rPr>
          <w:rFonts w:eastAsiaTheme="minorHAnsi" w:hint="cs"/>
          <w:sz w:val="24"/>
          <w:rtl/>
          <w:lang w:eastAsia="en-US"/>
        </w:rPr>
        <w:t>ביטוח</w:t>
      </w:r>
      <w:r w:rsidRPr="0038338B">
        <w:rPr>
          <w:rFonts w:eastAsiaTheme="minorHAnsi"/>
          <w:sz w:val="24"/>
          <w:rtl/>
          <w:lang w:eastAsia="en-US"/>
        </w:rPr>
        <w:t xml:space="preserve"> </w:t>
      </w:r>
      <w:r w:rsidRPr="0038338B">
        <w:rPr>
          <w:rFonts w:eastAsiaTheme="minorHAnsi" w:hint="cs"/>
          <w:sz w:val="24"/>
          <w:rtl/>
          <w:lang w:eastAsia="en-US"/>
        </w:rPr>
        <w:t>או</w:t>
      </w:r>
      <w:r w:rsidRPr="0038338B">
        <w:rPr>
          <w:rFonts w:eastAsiaTheme="minorHAnsi"/>
          <w:sz w:val="24"/>
          <w:rtl/>
          <w:lang w:eastAsia="en-US"/>
        </w:rPr>
        <w:t xml:space="preserve"> </w:t>
      </w:r>
      <w:r w:rsidRPr="0038338B">
        <w:rPr>
          <w:rFonts w:eastAsiaTheme="minorHAnsi" w:hint="cs"/>
          <w:sz w:val="24"/>
          <w:rtl/>
          <w:lang w:eastAsia="en-US"/>
        </w:rPr>
        <w:t>ממצאי</w:t>
      </w:r>
      <w:r w:rsidRPr="0038338B">
        <w:rPr>
          <w:rFonts w:eastAsiaTheme="minorHAnsi"/>
          <w:sz w:val="24"/>
          <w:rtl/>
          <w:lang w:eastAsia="en-US"/>
        </w:rPr>
        <w:t xml:space="preserve"> </w:t>
      </w:r>
      <w:r w:rsidRPr="0038338B">
        <w:rPr>
          <w:rFonts w:eastAsiaTheme="minorHAnsi" w:hint="cs"/>
          <w:sz w:val="24"/>
          <w:rtl/>
          <w:lang w:eastAsia="en-US"/>
        </w:rPr>
        <w:t>דוח</w:t>
      </w:r>
      <w:r w:rsidRPr="0038338B">
        <w:rPr>
          <w:rFonts w:eastAsiaTheme="minorHAnsi"/>
          <w:sz w:val="24"/>
          <w:rtl/>
          <w:lang w:eastAsia="en-US"/>
        </w:rPr>
        <w:t xml:space="preserve"> </w:t>
      </w:r>
      <w:r w:rsidRPr="0038338B">
        <w:rPr>
          <w:rFonts w:eastAsiaTheme="minorHAnsi" w:hint="cs"/>
          <w:sz w:val="24"/>
          <w:rtl/>
          <w:lang w:eastAsia="en-US"/>
        </w:rPr>
        <w:t>חקירה</w:t>
      </w:r>
      <w:r w:rsidRPr="0038338B">
        <w:rPr>
          <w:rFonts w:eastAsiaTheme="minorHAnsi"/>
          <w:sz w:val="24"/>
          <w:rtl/>
          <w:lang w:eastAsia="en-US"/>
        </w:rPr>
        <w:t xml:space="preserve"> </w:t>
      </w:r>
      <w:r w:rsidRPr="0038338B">
        <w:rPr>
          <w:rFonts w:eastAsiaTheme="minorHAnsi" w:hint="cs"/>
          <w:sz w:val="24"/>
          <w:rtl/>
          <w:lang w:eastAsia="en-US"/>
        </w:rPr>
        <w:t>לא</w:t>
      </w:r>
      <w:r w:rsidRPr="0038338B">
        <w:rPr>
          <w:rFonts w:eastAsiaTheme="minorHAnsi"/>
          <w:sz w:val="24"/>
          <w:rtl/>
          <w:lang w:eastAsia="en-US"/>
        </w:rPr>
        <w:t xml:space="preserve"> </w:t>
      </w:r>
      <w:r w:rsidRPr="0038338B">
        <w:rPr>
          <w:rFonts w:eastAsiaTheme="minorHAnsi" w:hint="cs"/>
          <w:sz w:val="24"/>
          <w:rtl/>
          <w:lang w:eastAsia="en-US"/>
        </w:rPr>
        <w:t>יועברו</w:t>
      </w:r>
      <w:r w:rsidRPr="0038338B">
        <w:rPr>
          <w:rFonts w:eastAsiaTheme="minorHAnsi"/>
          <w:sz w:val="24"/>
          <w:rtl/>
          <w:lang w:eastAsia="en-US"/>
        </w:rPr>
        <w:t xml:space="preserve"> </w:t>
      </w:r>
      <w:r w:rsidRPr="0038338B">
        <w:rPr>
          <w:rFonts w:eastAsiaTheme="minorHAnsi" w:hint="cs"/>
          <w:sz w:val="24"/>
          <w:rtl/>
          <w:lang w:eastAsia="en-US"/>
        </w:rPr>
        <w:t>לעיונו</w:t>
      </w:r>
      <w:r w:rsidRPr="0038338B">
        <w:rPr>
          <w:rFonts w:eastAsiaTheme="minorHAnsi"/>
          <w:sz w:val="24"/>
          <w:rtl/>
          <w:lang w:eastAsia="en-US"/>
        </w:rPr>
        <w:t xml:space="preserve"> </w:t>
      </w:r>
      <w:r w:rsidRPr="0038338B">
        <w:rPr>
          <w:rFonts w:eastAsiaTheme="minorHAnsi" w:hint="cs"/>
          <w:sz w:val="24"/>
          <w:rtl/>
          <w:lang w:eastAsia="en-US"/>
        </w:rPr>
        <w:t>של</w:t>
      </w:r>
      <w:r w:rsidRPr="0038338B">
        <w:rPr>
          <w:rFonts w:eastAsiaTheme="minorHAnsi"/>
          <w:sz w:val="24"/>
          <w:rtl/>
          <w:lang w:eastAsia="en-US"/>
        </w:rPr>
        <w:t xml:space="preserve"> </w:t>
      </w:r>
      <w:r w:rsidRPr="0038338B">
        <w:rPr>
          <w:rFonts w:eastAsiaTheme="minorHAnsi" w:hint="cs"/>
          <w:sz w:val="24"/>
          <w:rtl/>
          <w:lang w:eastAsia="en-US"/>
        </w:rPr>
        <w:t>מומחה</w:t>
      </w:r>
      <w:r w:rsidRPr="0038338B">
        <w:rPr>
          <w:rFonts w:eastAsiaTheme="minorHAnsi"/>
          <w:sz w:val="24"/>
          <w:rtl/>
          <w:lang w:eastAsia="en-US"/>
        </w:rPr>
        <w:t xml:space="preserve"> </w:t>
      </w:r>
      <w:r w:rsidRPr="0038338B">
        <w:rPr>
          <w:rFonts w:eastAsiaTheme="minorHAnsi" w:hint="cs"/>
          <w:sz w:val="24"/>
          <w:rtl/>
          <w:lang w:eastAsia="en-US"/>
        </w:rPr>
        <w:t>המבצע</w:t>
      </w:r>
      <w:r w:rsidRPr="0038338B">
        <w:rPr>
          <w:rFonts w:eastAsiaTheme="minorHAnsi"/>
          <w:sz w:val="24"/>
          <w:rtl/>
          <w:lang w:eastAsia="en-US"/>
        </w:rPr>
        <w:t xml:space="preserve"> </w:t>
      </w:r>
      <w:r w:rsidRPr="0038338B">
        <w:rPr>
          <w:rFonts w:eastAsiaTheme="minorHAnsi" w:hint="cs"/>
          <w:sz w:val="24"/>
          <w:rtl/>
          <w:lang w:eastAsia="en-US"/>
        </w:rPr>
        <w:t>הערכה</w:t>
      </w:r>
      <w:r w:rsidRPr="0038338B">
        <w:rPr>
          <w:rFonts w:eastAsiaTheme="minorHAnsi"/>
          <w:sz w:val="24"/>
          <w:rtl/>
          <w:lang w:eastAsia="en-US"/>
        </w:rPr>
        <w:t xml:space="preserve"> </w:t>
      </w:r>
      <w:r w:rsidRPr="0038338B">
        <w:rPr>
          <w:rFonts w:eastAsiaTheme="minorHAnsi" w:hint="cs"/>
          <w:sz w:val="24"/>
          <w:rtl/>
          <w:lang w:eastAsia="en-US"/>
        </w:rPr>
        <w:t>תפקודית</w:t>
      </w:r>
      <w:r w:rsidRPr="0038338B">
        <w:rPr>
          <w:rFonts w:eastAsiaTheme="minorHAnsi"/>
          <w:sz w:val="24"/>
          <w:rtl/>
          <w:lang w:eastAsia="en-US"/>
        </w:rPr>
        <w:t xml:space="preserve"> או קוגנ</w:t>
      </w:r>
      <w:r w:rsidRPr="0038338B">
        <w:rPr>
          <w:rFonts w:eastAsiaTheme="minorHAnsi" w:hint="cs"/>
          <w:sz w:val="24"/>
          <w:rtl/>
          <w:lang w:eastAsia="en-US"/>
        </w:rPr>
        <w:t>יטיבית</w:t>
      </w:r>
      <w:r w:rsidRPr="0038338B">
        <w:rPr>
          <w:rFonts w:eastAsiaTheme="minorHAnsi"/>
          <w:sz w:val="24"/>
          <w:rtl/>
          <w:lang w:eastAsia="en-US"/>
        </w:rPr>
        <w:t xml:space="preserve"> נוספת לאותו מבוטח, טרם ביצוע ההערכה </w:t>
      </w:r>
      <w:r w:rsidRPr="0038338B">
        <w:rPr>
          <w:rFonts w:eastAsiaTheme="minorHAnsi" w:hint="cs"/>
          <w:sz w:val="24"/>
          <w:rtl/>
          <w:lang w:eastAsia="en-US"/>
        </w:rPr>
        <w:t>הנוספת</w:t>
      </w:r>
      <w:r w:rsidRPr="0038338B">
        <w:rPr>
          <w:rFonts w:eastAsiaTheme="minorHAnsi"/>
          <w:sz w:val="24"/>
          <w:rtl/>
          <w:lang w:eastAsia="en-US"/>
        </w:rPr>
        <w:t xml:space="preserve">. </w:t>
      </w:r>
    </w:p>
    <w:p w:rsidR="0038338B" w:rsidRPr="0038338B" w:rsidRDefault="0038338B" w:rsidP="0038338B">
      <w:pPr>
        <w:overflowPunct/>
        <w:autoSpaceDE/>
        <w:autoSpaceDN/>
        <w:adjustRightInd/>
        <w:spacing w:line="360" w:lineRule="auto"/>
        <w:ind w:left="707"/>
        <w:contextualSpacing/>
        <w:jc w:val="both"/>
        <w:textAlignment w:val="auto"/>
        <w:rPr>
          <w:rFonts w:eastAsiaTheme="minorHAnsi" w:cs="FrankRuehl"/>
          <w:sz w:val="24"/>
          <w:szCs w:val="26"/>
          <w:lang w:eastAsia="en-US"/>
        </w:rPr>
      </w:pPr>
    </w:p>
    <w:p w:rsidR="0038338B" w:rsidRPr="0038338B" w:rsidRDefault="0038338B" w:rsidP="0038338B">
      <w:pPr>
        <w:numPr>
          <w:ilvl w:val="0"/>
          <w:numId w:val="25"/>
        </w:numPr>
        <w:overflowPunct/>
        <w:autoSpaceDE/>
        <w:autoSpaceDN/>
        <w:adjustRightInd/>
        <w:spacing w:line="360" w:lineRule="auto"/>
        <w:contextualSpacing/>
        <w:jc w:val="both"/>
        <w:textAlignment w:val="auto"/>
        <w:rPr>
          <w:rFonts w:eastAsiaTheme="minorHAnsi"/>
          <w:sz w:val="24"/>
          <w:u w:val="single"/>
          <w:rtl/>
          <w:lang w:eastAsia="en-US"/>
        </w:rPr>
      </w:pPr>
      <w:r w:rsidRPr="0038338B">
        <w:rPr>
          <w:rFonts w:eastAsiaTheme="minorHAnsi" w:hint="cs"/>
          <w:sz w:val="24"/>
          <w:u w:val="single"/>
          <w:rtl/>
          <w:lang w:eastAsia="en-US"/>
        </w:rPr>
        <w:t>דחיית</w:t>
      </w:r>
      <w:r w:rsidRPr="0038338B">
        <w:rPr>
          <w:rFonts w:eastAsiaTheme="minorHAnsi"/>
          <w:sz w:val="24"/>
          <w:u w:val="single"/>
          <w:rtl/>
          <w:lang w:eastAsia="en-US"/>
        </w:rPr>
        <w:t xml:space="preserve"> </w:t>
      </w:r>
      <w:r w:rsidRPr="0038338B">
        <w:rPr>
          <w:rFonts w:eastAsiaTheme="minorHAnsi" w:hint="cs"/>
          <w:sz w:val="24"/>
          <w:u w:val="single"/>
          <w:rtl/>
          <w:lang w:eastAsia="en-US"/>
        </w:rPr>
        <w:t>תביעה</w:t>
      </w:r>
    </w:p>
    <w:p w:rsidR="0038338B" w:rsidRPr="0038338B" w:rsidRDefault="0038338B" w:rsidP="0038338B">
      <w:pPr>
        <w:overflowPunct/>
        <w:autoSpaceDE/>
        <w:autoSpaceDN/>
        <w:adjustRightInd/>
        <w:spacing w:line="360" w:lineRule="auto"/>
        <w:ind w:left="360"/>
        <w:jc w:val="both"/>
        <w:textAlignment w:val="auto"/>
        <w:rPr>
          <w:sz w:val="24"/>
          <w:rtl/>
        </w:rPr>
      </w:pPr>
      <w:r w:rsidRPr="0038338B">
        <w:rPr>
          <w:rFonts w:hint="eastAsia"/>
          <w:sz w:val="24"/>
          <w:rtl/>
        </w:rPr>
        <w:t>במקרה</w:t>
      </w:r>
      <w:r w:rsidRPr="0038338B">
        <w:rPr>
          <w:sz w:val="24"/>
          <w:rtl/>
        </w:rPr>
        <w:t xml:space="preserve"> של </w:t>
      </w:r>
      <w:r w:rsidRPr="0038338B">
        <w:rPr>
          <w:rFonts w:eastAsia="Calibri"/>
          <w:sz w:val="24"/>
          <w:rtl/>
          <w:lang w:eastAsia="en-US"/>
        </w:rPr>
        <w:t>דחיי</w:t>
      </w:r>
      <w:r w:rsidRPr="0038338B">
        <w:rPr>
          <w:rFonts w:eastAsia="Calibri" w:hint="eastAsia"/>
          <w:sz w:val="24"/>
          <w:rtl/>
          <w:lang w:eastAsia="en-US"/>
        </w:rPr>
        <w:t>ת</w:t>
      </w:r>
      <w:r w:rsidRPr="0038338B">
        <w:rPr>
          <w:rFonts w:eastAsia="Calibri"/>
          <w:sz w:val="24"/>
          <w:rtl/>
          <w:lang w:eastAsia="en-US"/>
        </w:rPr>
        <w:t xml:space="preserve"> </w:t>
      </w:r>
      <w:r w:rsidRPr="0038338B">
        <w:rPr>
          <w:rFonts w:eastAsia="Calibri" w:hint="eastAsia"/>
          <w:sz w:val="24"/>
          <w:rtl/>
          <w:lang w:eastAsia="en-US"/>
        </w:rPr>
        <w:t>תביעה</w:t>
      </w:r>
      <w:r w:rsidRPr="0038338B">
        <w:rPr>
          <w:sz w:val="24"/>
          <w:rtl/>
        </w:rPr>
        <w:t xml:space="preserve"> בטענה שלא קרה מקרה הביטוח תציין חברת הביטוח </w:t>
      </w:r>
      <w:r w:rsidRPr="0038338B">
        <w:rPr>
          <w:rFonts w:hint="eastAsia"/>
          <w:sz w:val="24"/>
          <w:rtl/>
        </w:rPr>
        <w:t>בהודעת</w:t>
      </w:r>
      <w:r w:rsidRPr="0038338B">
        <w:rPr>
          <w:sz w:val="24"/>
          <w:rtl/>
        </w:rPr>
        <w:t xml:space="preserve"> הדחייה </w:t>
      </w:r>
      <w:r w:rsidRPr="0038338B">
        <w:rPr>
          <w:rFonts w:hint="eastAsia"/>
          <w:sz w:val="24"/>
          <w:rtl/>
        </w:rPr>
        <w:t>אילו</w:t>
      </w:r>
      <w:r w:rsidRPr="0038338B">
        <w:rPr>
          <w:sz w:val="24"/>
          <w:rtl/>
        </w:rPr>
        <w:t xml:space="preserve"> </w:t>
      </w:r>
      <w:r w:rsidRPr="0038338B">
        <w:rPr>
          <w:rFonts w:hint="eastAsia"/>
          <w:sz w:val="24"/>
          <w:rtl/>
        </w:rPr>
        <w:t>מהפעולות</w:t>
      </w:r>
      <w:r w:rsidRPr="0038338B">
        <w:rPr>
          <w:sz w:val="24"/>
          <w:rtl/>
        </w:rPr>
        <w:t xml:space="preserve"> </w:t>
      </w:r>
      <w:r w:rsidRPr="0038338B">
        <w:rPr>
          <w:rFonts w:hint="eastAsia"/>
          <w:sz w:val="24"/>
          <w:rtl/>
        </w:rPr>
        <w:t>המנויות</w:t>
      </w:r>
      <w:r w:rsidRPr="0038338B">
        <w:rPr>
          <w:sz w:val="24"/>
          <w:rtl/>
        </w:rPr>
        <w:t xml:space="preserve"> </w:t>
      </w:r>
      <w:r w:rsidRPr="0038338B">
        <w:rPr>
          <w:rFonts w:hint="eastAsia"/>
          <w:sz w:val="24"/>
          <w:rtl/>
        </w:rPr>
        <w:t>בחוזר</w:t>
      </w:r>
      <w:r w:rsidRPr="0038338B">
        <w:rPr>
          <w:sz w:val="24"/>
          <w:rtl/>
        </w:rPr>
        <w:t xml:space="preserve"> </w:t>
      </w:r>
      <w:r w:rsidRPr="0038338B">
        <w:rPr>
          <w:rFonts w:hint="eastAsia"/>
          <w:sz w:val="24"/>
          <w:rtl/>
        </w:rPr>
        <w:t>סיעוד</w:t>
      </w:r>
      <w:r w:rsidRPr="0038338B">
        <w:rPr>
          <w:sz w:val="24"/>
          <w:rtl/>
        </w:rPr>
        <w:t xml:space="preserve"> </w:t>
      </w:r>
      <w:r w:rsidRPr="0038338B">
        <w:rPr>
          <w:rFonts w:eastAsia="Calibri"/>
          <w:sz w:val="24"/>
          <w:rtl/>
          <w:lang w:eastAsia="en-US"/>
        </w:rPr>
        <w:t xml:space="preserve">נמצא כי התובע </w:t>
      </w:r>
      <w:r w:rsidRPr="0038338B">
        <w:rPr>
          <w:rFonts w:eastAsia="Calibri" w:hint="eastAsia"/>
          <w:sz w:val="24"/>
          <w:rtl/>
          <w:lang w:eastAsia="en-US"/>
        </w:rPr>
        <w:t>ל</w:t>
      </w:r>
      <w:r w:rsidRPr="0038338B">
        <w:rPr>
          <w:rFonts w:eastAsia="Calibri"/>
          <w:sz w:val="24"/>
          <w:rtl/>
          <w:lang w:eastAsia="en-US"/>
        </w:rPr>
        <w:t xml:space="preserve">א מסוגל </w:t>
      </w:r>
      <w:r w:rsidRPr="0038338B">
        <w:rPr>
          <w:sz w:val="24"/>
          <w:rtl/>
        </w:rPr>
        <w:t xml:space="preserve">לבצע בכוחות עצמו חלק מהותי (לפחות 50% מהפעולה) </w:t>
      </w:r>
      <w:r w:rsidRPr="0038338B">
        <w:rPr>
          <w:rFonts w:hint="eastAsia"/>
          <w:sz w:val="24"/>
          <w:rtl/>
        </w:rPr>
        <w:t>מ</w:t>
      </w:r>
      <w:r w:rsidRPr="0038338B">
        <w:rPr>
          <w:sz w:val="24"/>
          <w:rtl/>
        </w:rPr>
        <w:t xml:space="preserve">הן. </w:t>
      </w:r>
    </w:p>
    <w:p w:rsidR="00E34D1B" w:rsidRPr="0007311F" w:rsidRDefault="00E34D1B" w:rsidP="009435A5">
      <w:pPr>
        <w:spacing w:line="25" w:lineRule="atLeast"/>
        <w:jc w:val="both"/>
        <w:rPr>
          <w:szCs w:val="20"/>
          <w:rtl/>
        </w:rPr>
      </w:pPr>
    </w:p>
    <w:sectPr w:rsidR="00E34D1B" w:rsidRPr="0007311F" w:rsidSect="002973B2">
      <w:headerReference w:type="default" r:id="rId12"/>
      <w:footerReference w:type="even" r:id="rId13"/>
      <w:footerReference w:type="default" r:id="rId14"/>
      <w:headerReference w:type="first" r:id="rId15"/>
      <w:footerReference w:type="first" r:id="rId16"/>
      <w:endnotePr>
        <w:numFmt w:val="lowerLetter"/>
      </w:endnotePr>
      <w:pgSz w:w="11906" w:h="16838"/>
      <w:pgMar w:top="1418" w:right="1134" w:bottom="1418" w:left="1134" w:header="284" w:footer="0" w:gutter="0"/>
      <w:cols w:space="720"/>
      <w:titlePg/>
      <w:bidi/>
      <w:rtlGutter/>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C8E" w:rsidRDefault="00453C8E">
      <w:r>
        <w:separator/>
      </w:r>
    </w:p>
  </w:endnote>
  <w:endnote w:type="continuationSeparator" w:id="0">
    <w:p w:rsidR="00453C8E" w:rsidRDefault="00453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00A" w:rsidRPr="0074600A" w:rsidRDefault="0074600A" w:rsidP="0074600A">
    <w:pPr>
      <w:overflowPunct/>
      <w:autoSpaceDE/>
      <w:autoSpaceDN/>
      <w:adjustRightInd/>
      <w:jc w:val="center"/>
      <w:textAlignment w:val="auto"/>
      <w:rPr>
        <w:rFonts w:cs="FrankRuehl"/>
        <w:sz w:val="26"/>
        <w:szCs w:val="26"/>
        <w:rtl/>
      </w:rPr>
    </w:pPr>
    <w:r w:rsidRPr="0074600A">
      <w:rPr>
        <w:rFonts w:cs="FrankRuehl"/>
        <w:sz w:val="26"/>
        <w:szCs w:val="26"/>
      </w:rPr>
      <w:fldChar w:fldCharType="begin"/>
    </w:r>
    <w:r w:rsidRPr="0074600A">
      <w:rPr>
        <w:rFonts w:cs="FrankRuehl"/>
        <w:sz w:val="26"/>
        <w:szCs w:val="26"/>
      </w:rPr>
      <w:instrText xml:space="preserve"> NUMPAGES  \* MERGEFORMAT </w:instrText>
    </w:r>
    <w:r w:rsidRPr="0074600A">
      <w:rPr>
        <w:rFonts w:cs="FrankRuehl"/>
        <w:sz w:val="26"/>
        <w:szCs w:val="26"/>
      </w:rPr>
      <w:fldChar w:fldCharType="separate"/>
    </w:r>
    <w:r w:rsidR="001F56BA">
      <w:rPr>
        <w:rFonts w:cs="FrankRuehl"/>
        <w:noProof/>
        <w:sz w:val="26"/>
        <w:szCs w:val="26"/>
        <w:rtl/>
      </w:rPr>
      <w:t>18</w:t>
    </w:r>
    <w:r w:rsidRPr="0074600A">
      <w:rPr>
        <w:rFonts w:cs="FrankRuehl"/>
        <w:noProof/>
        <w:sz w:val="26"/>
        <w:szCs w:val="26"/>
      </w:rPr>
      <w:fldChar w:fldCharType="end"/>
    </w:r>
    <w:r w:rsidRPr="0074600A">
      <w:rPr>
        <w:rFonts w:cs="FrankRuehl" w:hint="cs"/>
        <w:sz w:val="26"/>
        <w:szCs w:val="26"/>
        <w:rtl/>
      </w:rPr>
      <w:t xml:space="preserve"> / </w:t>
    </w:r>
    <w:r w:rsidRPr="0074600A">
      <w:rPr>
        <w:rFonts w:cs="FrankRuehl"/>
        <w:sz w:val="26"/>
        <w:szCs w:val="26"/>
        <w:rtl/>
      </w:rPr>
      <w:fldChar w:fldCharType="begin"/>
    </w:r>
    <w:r w:rsidRPr="0074600A">
      <w:rPr>
        <w:rFonts w:cs="FrankRuehl"/>
        <w:sz w:val="26"/>
        <w:szCs w:val="26"/>
        <w:rtl/>
      </w:rPr>
      <w:instrText xml:space="preserve"> </w:instrText>
    </w:r>
    <w:r w:rsidRPr="0074600A">
      <w:rPr>
        <w:rFonts w:cs="FrankRuehl"/>
        <w:sz w:val="26"/>
        <w:szCs w:val="26"/>
      </w:rPr>
      <w:instrText>PAGE  \* MERGEFORMAT</w:instrText>
    </w:r>
    <w:r w:rsidRPr="0074600A">
      <w:rPr>
        <w:rFonts w:cs="FrankRuehl"/>
        <w:sz w:val="26"/>
        <w:szCs w:val="26"/>
        <w:rtl/>
      </w:rPr>
      <w:instrText xml:space="preserve"> </w:instrText>
    </w:r>
    <w:r w:rsidRPr="0074600A">
      <w:rPr>
        <w:rFonts w:cs="FrankRuehl"/>
        <w:sz w:val="26"/>
        <w:szCs w:val="26"/>
        <w:rtl/>
      </w:rPr>
      <w:fldChar w:fldCharType="separate"/>
    </w:r>
    <w:r w:rsidR="001F56BA">
      <w:rPr>
        <w:rFonts w:cs="FrankRuehl"/>
        <w:noProof/>
        <w:sz w:val="26"/>
        <w:szCs w:val="26"/>
        <w:rtl/>
      </w:rPr>
      <w:t>12</w:t>
    </w:r>
    <w:r w:rsidRPr="0074600A">
      <w:rPr>
        <w:rFonts w:cs="FrankRuehl"/>
        <w:sz w:val="26"/>
        <w:szCs w:val="26"/>
        <w:rtl/>
      </w:rPr>
      <w:fldChar w:fldCharType="end"/>
    </w:r>
  </w:p>
  <w:p w:rsidR="0074600A" w:rsidRPr="0074600A" w:rsidRDefault="0074600A" w:rsidP="0074600A">
    <w:pPr>
      <w:pBdr>
        <w:top w:val="single" w:sz="4" w:space="1" w:color="auto"/>
      </w:pBdr>
      <w:overflowPunct/>
      <w:autoSpaceDE/>
      <w:autoSpaceDN/>
      <w:adjustRightInd/>
      <w:jc w:val="both"/>
      <w:textAlignment w:val="auto"/>
      <w:rPr>
        <w:rFonts w:cs="FrankRuehl"/>
        <w:sz w:val="6"/>
        <w:szCs w:val="8"/>
        <w:rtl/>
      </w:rPr>
    </w:pPr>
    <w:r w:rsidRPr="0074600A">
      <w:rPr>
        <w:rFonts w:cs="FrankRuehl"/>
        <w:sz w:val="26"/>
        <w:szCs w:val="26"/>
        <w:rtl/>
      </w:rPr>
      <w:t xml:space="preserve">רח' </w:t>
    </w:r>
    <w:r w:rsidRPr="0074600A">
      <w:rPr>
        <w:rFonts w:cs="FrankRuehl" w:hint="cs"/>
        <w:sz w:val="26"/>
        <w:szCs w:val="26"/>
        <w:rtl/>
      </w:rPr>
      <w:t>עם ועולמו</w:t>
    </w:r>
    <w:r w:rsidRPr="0074600A">
      <w:rPr>
        <w:rFonts w:cs="FrankRuehl"/>
        <w:sz w:val="26"/>
        <w:szCs w:val="26"/>
        <w:rtl/>
      </w:rPr>
      <w:t xml:space="preserve"> </w:t>
    </w:r>
    <w:r w:rsidRPr="0074600A">
      <w:rPr>
        <w:rFonts w:cs="FrankRuehl" w:hint="cs"/>
        <w:sz w:val="26"/>
        <w:szCs w:val="26"/>
        <w:rtl/>
      </w:rPr>
      <w:t>4</w:t>
    </w:r>
    <w:r w:rsidRPr="0074600A">
      <w:rPr>
        <w:rFonts w:cs="FrankRuehl"/>
        <w:sz w:val="26"/>
        <w:szCs w:val="26"/>
        <w:rtl/>
      </w:rPr>
      <w:t xml:space="preserve">, ירושלים 9546304 טל' </w:t>
    </w:r>
    <w:r w:rsidRPr="0074600A">
      <w:rPr>
        <w:rFonts w:cs="FrankRuehl" w:hint="cs"/>
        <w:sz w:val="26"/>
        <w:szCs w:val="26"/>
        <w:rtl/>
      </w:rPr>
      <w:t>02-5317248</w:t>
    </w:r>
    <w:r w:rsidRPr="0074600A">
      <w:rPr>
        <w:rFonts w:cs="FrankRuehl"/>
        <w:sz w:val="26"/>
        <w:szCs w:val="26"/>
        <w:rtl/>
      </w:rPr>
      <w:t xml:space="preserve">  פקס'</w:t>
    </w:r>
    <w:r w:rsidRPr="0074600A">
      <w:rPr>
        <w:rFonts w:cs="FrankRuehl" w:hint="cs"/>
        <w:sz w:val="26"/>
        <w:szCs w:val="26"/>
        <w:rtl/>
      </w:rPr>
      <w:t xml:space="preserve"> 02-5695342</w:t>
    </w:r>
    <w:r w:rsidRPr="0074600A">
      <w:rPr>
        <w:rFonts w:cs="FrankRuehl"/>
        <w:sz w:val="26"/>
        <w:szCs w:val="26"/>
        <w:rtl/>
      </w:rPr>
      <w:t xml:space="preserve"> </w:t>
    </w:r>
    <w:r w:rsidRPr="0074600A">
      <w:rPr>
        <w:rFonts w:cs="FrankRuehl"/>
        <w:sz w:val="26"/>
        <w:szCs w:val="26"/>
        <w:rtl/>
      </w:rPr>
      <w:br/>
    </w:r>
  </w:p>
  <w:p w:rsidR="0074600A" w:rsidRPr="0074600A" w:rsidRDefault="00453C8E" w:rsidP="0074600A">
    <w:pPr>
      <w:overflowPunct/>
      <w:autoSpaceDE/>
      <w:autoSpaceDN/>
      <w:bidi w:val="0"/>
      <w:adjustRightInd/>
      <w:jc w:val="center"/>
      <w:textAlignment w:val="auto"/>
      <w:rPr>
        <w:rFonts w:cstheme="minorBidi"/>
        <w:sz w:val="26"/>
        <w:szCs w:val="26"/>
        <w:lang w:bidi="ar-SA"/>
      </w:rPr>
    </w:pPr>
    <w:hyperlink r:id="rId1" w:history="1">
      <w:r w:rsidR="0074600A" w:rsidRPr="0074600A">
        <w:rPr>
          <w:rFonts w:cs="FrankRuehl"/>
          <w:color w:val="0000FF"/>
          <w:sz w:val="26"/>
          <w:szCs w:val="28"/>
          <w:u w:val="single"/>
        </w:rPr>
        <w:t>www.mof.gov.il/hon</w:t>
      </w:r>
    </w:hyperlink>
    <w:r w:rsidR="0074600A" w:rsidRPr="0074600A">
      <w:rPr>
        <w:rFonts w:cs="FrankRuehl"/>
        <w:sz w:val="26"/>
        <w:szCs w:val="28"/>
      </w:rPr>
      <w:t xml:space="preserve"> </w:t>
    </w:r>
    <w:r w:rsidR="0074600A" w:rsidRPr="0074600A">
      <w:rPr>
        <w:rFonts w:cs="FrankRuehl" w:hint="cs"/>
        <w:sz w:val="26"/>
        <w:szCs w:val="26"/>
        <w:rtl/>
      </w:rPr>
      <w:t xml:space="preserve"> </w:t>
    </w:r>
  </w:p>
  <w:p w:rsidR="0038338B" w:rsidRDefault="0038338B" w:rsidP="00FC2615">
    <w:pPr>
      <w:pStyle w:val="aa"/>
      <w:jc w:val="center"/>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00A" w:rsidRPr="0074600A" w:rsidRDefault="0074600A" w:rsidP="0074600A">
    <w:pPr>
      <w:overflowPunct/>
      <w:autoSpaceDE/>
      <w:autoSpaceDN/>
      <w:adjustRightInd/>
      <w:jc w:val="center"/>
      <w:textAlignment w:val="auto"/>
      <w:rPr>
        <w:rFonts w:cs="FrankRuehl"/>
        <w:sz w:val="26"/>
        <w:szCs w:val="26"/>
        <w:rtl/>
      </w:rPr>
    </w:pPr>
    <w:r w:rsidRPr="0074600A">
      <w:rPr>
        <w:rFonts w:cs="FrankRuehl"/>
        <w:sz w:val="26"/>
        <w:szCs w:val="26"/>
      </w:rPr>
      <w:fldChar w:fldCharType="begin"/>
    </w:r>
    <w:r w:rsidRPr="0074600A">
      <w:rPr>
        <w:rFonts w:cs="FrankRuehl"/>
        <w:sz w:val="26"/>
        <w:szCs w:val="26"/>
      </w:rPr>
      <w:instrText xml:space="preserve"> NUMPAGES  \* MERGEFORMAT </w:instrText>
    </w:r>
    <w:r w:rsidRPr="0074600A">
      <w:rPr>
        <w:rFonts w:cs="FrankRuehl"/>
        <w:sz w:val="26"/>
        <w:szCs w:val="26"/>
      </w:rPr>
      <w:fldChar w:fldCharType="separate"/>
    </w:r>
    <w:r w:rsidR="001F56BA">
      <w:rPr>
        <w:rFonts w:cs="FrankRuehl"/>
        <w:noProof/>
        <w:sz w:val="26"/>
        <w:szCs w:val="26"/>
        <w:rtl/>
      </w:rPr>
      <w:t>18</w:t>
    </w:r>
    <w:r w:rsidRPr="0074600A">
      <w:rPr>
        <w:rFonts w:cs="FrankRuehl"/>
        <w:noProof/>
        <w:sz w:val="26"/>
        <w:szCs w:val="26"/>
      </w:rPr>
      <w:fldChar w:fldCharType="end"/>
    </w:r>
    <w:r w:rsidRPr="0074600A">
      <w:rPr>
        <w:rFonts w:cs="FrankRuehl" w:hint="cs"/>
        <w:sz w:val="26"/>
        <w:szCs w:val="26"/>
        <w:rtl/>
      </w:rPr>
      <w:t xml:space="preserve"> / </w:t>
    </w:r>
    <w:r w:rsidRPr="0074600A">
      <w:rPr>
        <w:rFonts w:cs="FrankRuehl"/>
        <w:sz w:val="26"/>
        <w:szCs w:val="26"/>
        <w:rtl/>
      </w:rPr>
      <w:fldChar w:fldCharType="begin"/>
    </w:r>
    <w:r w:rsidRPr="0074600A">
      <w:rPr>
        <w:rFonts w:cs="FrankRuehl"/>
        <w:sz w:val="26"/>
        <w:szCs w:val="26"/>
        <w:rtl/>
      </w:rPr>
      <w:instrText xml:space="preserve"> </w:instrText>
    </w:r>
    <w:r w:rsidRPr="0074600A">
      <w:rPr>
        <w:rFonts w:cs="FrankRuehl"/>
        <w:sz w:val="26"/>
        <w:szCs w:val="26"/>
      </w:rPr>
      <w:instrText>PAGE  \* MERGEFORMAT</w:instrText>
    </w:r>
    <w:r w:rsidRPr="0074600A">
      <w:rPr>
        <w:rFonts w:cs="FrankRuehl"/>
        <w:sz w:val="26"/>
        <w:szCs w:val="26"/>
        <w:rtl/>
      </w:rPr>
      <w:instrText xml:space="preserve"> </w:instrText>
    </w:r>
    <w:r w:rsidRPr="0074600A">
      <w:rPr>
        <w:rFonts w:cs="FrankRuehl"/>
        <w:sz w:val="26"/>
        <w:szCs w:val="26"/>
        <w:rtl/>
      </w:rPr>
      <w:fldChar w:fldCharType="separate"/>
    </w:r>
    <w:r w:rsidR="001F56BA">
      <w:rPr>
        <w:rFonts w:cs="FrankRuehl"/>
        <w:noProof/>
        <w:sz w:val="26"/>
        <w:szCs w:val="26"/>
        <w:rtl/>
      </w:rPr>
      <w:t>13</w:t>
    </w:r>
    <w:r w:rsidRPr="0074600A">
      <w:rPr>
        <w:rFonts w:cs="FrankRuehl"/>
        <w:sz w:val="26"/>
        <w:szCs w:val="26"/>
        <w:rtl/>
      </w:rPr>
      <w:fldChar w:fldCharType="end"/>
    </w:r>
  </w:p>
  <w:p w:rsidR="0074600A" w:rsidRPr="0074600A" w:rsidRDefault="0074600A" w:rsidP="0074600A">
    <w:pPr>
      <w:pBdr>
        <w:top w:val="single" w:sz="4" w:space="1" w:color="auto"/>
      </w:pBdr>
      <w:overflowPunct/>
      <w:autoSpaceDE/>
      <w:autoSpaceDN/>
      <w:adjustRightInd/>
      <w:jc w:val="both"/>
      <w:textAlignment w:val="auto"/>
      <w:rPr>
        <w:rFonts w:cs="FrankRuehl"/>
        <w:sz w:val="6"/>
        <w:szCs w:val="8"/>
        <w:rtl/>
      </w:rPr>
    </w:pPr>
    <w:r w:rsidRPr="0074600A">
      <w:rPr>
        <w:rFonts w:cs="FrankRuehl"/>
        <w:sz w:val="26"/>
        <w:szCs w:val="26"/>
        <w:rtl/>
      </w:rPr>
      <w:t xml:space="preserve">רח' </w:t>
    </w:r>
    <w:r w:rsidRPr="0074600A">
      <w:rPr>
        <w:rFonts w:cs="FrankRuehl" w:hint="cs"/>
        <w:sz w:val="26"/>
        <w:szCs w:val="26"/>
        <w:rtl/>
      </w:rPr>
      <w:t>עם ועולמו</w:t>
    </w:r>
    <w:r w:rsidRPr="0074600A">
      <w:rPr>
        <w:rFonts w:cs="FrankRuehl"/>
        <w:sz w:val="26"/>
        <w:szCs w:val="26"/>
        <w:rtl/>
      </w:rPr>
      <w:t xml:space="preserve"> </w:t>
    </w:r>
    <w:r w:rsidRPr="0074600A">
      <w:rPr>
        <w:rFonts w:cs="FrankRuehl" w:hint="cs"/>
        <w:sz w:val="26"/>
        <w:szCs w:val="26"/>
        <w:rtl/>
      </w:rPr>
      <w:t>4</w:t>
    </w:r>
    <w:r w:rsidRPr="0074600A">
      <w:rPr>
        <w:rFonts w:cs="FrankRuehl"/>
        <w:sz w:val="26"/>
        <w:szCs w:val="26"/>
        <w:rtl/>
      </w:rPr>
      <w:t xml:space="preserve">, ירושלים 9546304 טל' </w:t>
    </w:r>
    <w:r w:rsidRPr="0074600A">
      <w:rPr>
        <w:rFonts w:cs="FrankRuehl" w:hint="cs"/>
        <w:sz w:val="26"/>
        <w:szCs w:val="26"/>
        <w:rtl/>
      </w:rPr>
      <w:t>02-5317248</w:t>
    </w:r>
    <w:r w:rsidRPr="0074600A">
      <w:rPr>
        <w:rFonts w:cs="FrankRuehl"/>
        <w:sz w:val="26"/>
        <w:szCs w:val="26"/>
        <w:rtl/>
      </w:rPr>
      <w:t xml:space="preserve">  פקס'</w:t>
    </w:r>
    <w:r w:rsidRPr="0074600A">
      <w:rPr>
        <w:rFonts w:cs="FrankRuehl" w:hint="cs"/>
        <w:sz w:val="26"/>
        <w:szCs w:val="26"/>
        <w:rtl/>
      </w:rPr>
      <w:t xml:space="preserve"> 02-5695342</w:t>
    </w:r>
    <w:r w:rsidRPr="0074600A">
      <w:rPr>
        <w:rFonts w:cs="FrankRuehl"/>
        <w:sz w:val="26"/>
        <w:szCs w:val="26"/>
        <w:rtl/>
      </w:rPr>
      <w:t xml:space="preserve"> </w:t>
    </w:r>
    <w:r w:rsidRPr="0074600A">
      <w:rPr>
        <w:rFonts w:cs="FrankRuehl"/>
        <w:sz w:val="26"/>
        <w:szCs w:val="26"/>
        <w:rtl/>
      </w:rPr>
      <w:br/>
    </w:r>
  </w:p>
  <w:p w:rsidR="0074600A" w:rsidRPr="0074600A" w:rsidRDefault="00453C8E" w:rsidP="0074600A">
    <w:pPr>
      <w:overflowPunct/>
      <w:autoSpaceDE/>
      <w:autoSpaceDN/>
      <w:bidi w:val="0"/>
      <w:adjustRightInd/>
      <w:jc w:val="center"/>
      <w:textAlignment w:val="auto"/>
      <w:rPr>
        <w:rFonts w:cstheme="minorBidi"/>
        <w:sz w:val="26"/>
        <w:szCs w:val="26"/>
        <w:lang w:bidi="ar-SA"/>
      </w:rPr>
    </w:pPr>
    <w:hyperlink r:id="rId1" w:history="1">
      <w:r w:rsidR="0074600A" w:rsidRPr="0074600A">
        <w:rPr>
          <w:rFonts w:cs="FrankRuehl"/>
          <w:color w:val="0000FF"/>
          <w:sz w:val="26"/>
          <w:szCs w:val="28"/>
          <w:u w:val="single"/>
        </w:rPr>
        <w:t>www.mof.gov.il/hon</w:t>
      </w:r>
    </w:hyperlink>
    <w:r w:rsidR="0074600A" w:rsidRPr="0074600A">
      <w:rPr>
        <w:rFonts w:cs="FrankRuehl"/>
        <w:sz w:val="26"/>
        <w:szCs w:val="28"/>
      </w:rPr>
      <w:t xml:space="preserve"> </w:t>
    </w:r>
    <w:r w:rsidR="0074600A" w:rsidRPr="0074600A">
      <w:rPr>
        <w:rFonts w:cs="FrankRuehl" w:hint="cs"/>
        <w:sz w:val="26"/>
        <w:szCs w:val="26"/>
        <w:rtl/>
      </w:rPr>
      <w:t xml:space="preserve"> </w:t>
    </w:r>
  </w:p>
  <w:p w:rsidR="0038338B" w:rsidRDefault="0038338B" w:rsidP="00FC2615">
    <w:pPr>
      <w:jc w:val="center"/>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B" w:rsidRDefault="009435A5">
    <w:pPr>
      <w:pStyle w:val="aa"/>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BE67FB" w:rsidRDefault="00453C8E">
    <w:pPr>
      <w:pStyle w:val="aa"/>
      <w:rPr>
        <w:rtl/>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C8E" w:rsidRDefault="00453C8E">
      <w:r>
        <w:separator/>
      </w:r>
    </w:p>
  </w:footnote>
  <w:footnote w:type="continuationSeparator" w:id="0">
    <w:p w:rsidR="00453C8E" w:rsidRDefault="00453C8E">
      <w:r>
        <w:continuationSeparator/>
      </w:r>
    </w:p>
  </w:footnote>
  <w:footnote w:id="1">
    <w:p w:rsidR="0074600A" w:rsidRDefault="0074600A" w:rsidP="003D1DA1">
      <w:pPr>
        <w:pStyle w:val="af5"/>
        <w:rPr>
          <w:rtl/>
        </w:rPr>
      </w:pPr>
      <w:r w:rsidRPr="002158DE">
        <w:rPr>
          <w:rStyle w:val="af7"/>
        </w:rPr>
        <w:footnoteRef/>
      </w:r>
      <w:r w:rsidRPr="002158DE">
        <w:rPr>
          <w:rtl/>
        </w:rPr>
        <w:t xml:space="preserve"> </w:t>
      </w:r>
      <w:r w:rsidRPr="002158DE">
        <w:rPr>
          <w:rFonts w:hint="eastAsia"/>
          <w:rtl/>
        </w:rPr>
        <w:t>ביום</w:t>
      </w:r>
      <w:r w:rsidRPr="002158DE">
        <w:rPr>
          <w:rtl/>
        </w:rPr>
        <w:t xml:space="preserve"> 1 </w:t>
      </w:r>
      <w:r w:rsidRPr="002158DE">
        <w:rPr>
          <w:rFonts w:hint="eastAsia"/>
          <w:rtl/>
        </w:rPr>
        <w:t>במר</w:t>
      </w:r>
      <w:r w:rsidR="007A4923" w:rsidRPr="002158DE">
        <w:rPr>
          <w:rFonts w:hint="eastAsia"/>
          <w:rtl/>
        </w:rPr>
        <w:t>ץ</w:t>
      </w:r>
      <w:r w:rsidRPr="002158DE">
        <w:rPr>
          <w:rtl/>
        </w:rPr>
        <w:t xml:space="preserve"> 2017 פורסם חוזר</w:t>
      </w:r>
      <w:r w:rsidR="003D1DA1">
        <w:rPr>
          <w:rFonts w:hint="cs"/>
          <w:rtl/>
        </w:rPr>
        <w:t xml:space="preserve"> </w:t>
      </w:r>
      <w:r w:rsidR="007A4923" w:rsidRPr="002158DE">
        <w:rPr>
          <w:rFonts w:hint="eastAsia"/>
          <w:rtl/>
        </w:rPr>
        <w:t>גופים</w:t>
      </w:r>
      <w:r w:rsidR="007A4923" w:rsidRPr="002158DE">
        <w:rPr>
          <w:rtl/>
        </w:rPr>
        <w:t xml:space="preserve"> </w:t>
      </w:r>
      <w:r w:rsidR="007A4923" w:rsidRPr="002158DE">
        <w:rPr>
          <w:rFonts w:hint="eastAsia"/>
          <w:rtl/>
        </w:rPr>
        <w:t>מוסדיים</w:t>
      </w:r>
      <w:r w:rsidR="003D1DA1" w:rsidRPr="002158DE">
        <w:rPr>
          <w:rtl/>
        </w:rPr>
        <w:t xml:space="preserve"> 2017-9-5 </w:t>
      </w:r>
      <w:r w:rsidR="007A4923" w:rsidRPr="002158DE">
        <w:rPr>
          <w:rFonts w:hint="eastAsia"/>
          <w:rtl/>
        </w:rPr>
        <w:t>יישוב</w:t>
      </w:r>
      <w:r w:rsidR="007A4923" w:rsidRPr="002158DE">
        <w:rPr>
          <w:rtl/>
        </w:rPr>
        <w:t xml:space="preserve"> תביעות וטיפול בפניות ציבור (תיקון) </w:t>
      </w:r>
      <w:r w:rsidRPr="002158DE">
        <w:rPr>
          <w:rtl/>
        </w:rPr>
        <w:t xml:space="preserve"> שעדכן הוראות חוזר זה. תאריכי תחילת ה</w:t>
      </w:r>
      <w:r w:rsidR="00030376" w:rsidRPr="002158DE">
        <w:rPr>
          <w:rFonts w:hint="eastAsia"/>
          <w:rtl/>
        </w:rPr>
        <w:t>עדכון</w:t>
      </w:r>
      <w:r w:rsidR="00030376" w:rsidRPr="002158DE">
        <w:rPr>
          <w:rtl/>
        </w:rPr>
        <w:t xml:space="preserve"> </w:t>
      </w:r>
      <w:r w:rsidR="00030376" w:rsidRPr="002158DE">
        <w:rPr>
          <w:rFonts w:hint="eastAsia"/>
          <w:rtl/>
        </w:rPr>
        <w:t>מפורטים</w:t>
      </w:r>
      <w:r w:rsidR="00030376" w:rsidRPr="002158DE">
        <w:rPr>
          <w:rtl/>
        </w:rPr>
        <w:t xml:space="preserve"> </w:t>
      </w:r>
      <w:r w:rsidR="00030376" w:rsidRPr="002158DE">
        <w:rPr>
          <w:rFonts w:hint="eastAsia"/>
          <w:rtl/>
        </w:rPr>
        <w:t>בחוזר</w:t>
      </w:r>
      <w:r w:rsidR="00030376" w:rsidRPr="002158DE">
        <w:rPr>
          <w:rtl/>
        </w:rPr>
        <w:t xml:space="preserve"> </w:t>
      </w:r>
      <w:r w:rsidR="00030376" w:rsidRPr="002158DE">
        <w:rPr>
          <w:rFonts w:hint="eastAsia"/>
          <w:rtl/>
        </w:rPr>
        <w:t>המתקן</w:t>
      </w:r>
      <w:r w:rsidR="00030376" w:rsidRPr="002158DE">
        <w:rPr>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7DE" w:rsidRPr="008017DE" w:rsidRDefault="008017DE" w:rsidP="008017DE">
    <w:pPr>
      <w:tabs>
        <w:tab w:val="center" w:pos="4153"/>
        <w:tab w:val="right" w:pos="8306"/>
      </w:tabs>
      <w:overflowPunct/>
      <w:autoSpaceDE/>
      <w:autoSpaceDN/>
      <w:adjustRightInd/>
      <w:jc w:val="center"/>
      <w:textAlignment w:val="auto"/>
      <w:rPr>
        <w:rFonts w:cs="FrankRuehl"/>
        <w:b/>
        <w:bCs/>
        <w:sz w:val="26"/>
        <w:szCs w:val="36"/>
        <w:rtl/>
      </w:rPr>
    </w:pPr>
    <w:r w:rsidRPr="008017DE">
      <w:rPr>
        <w:rFonts w:cs="FrankRuehl"/>
        <w:noProof/>
        <w:sz w:val="26"/>
        <w:szCs w:val="26"/>
        <w:rtl/>
        <w:lang w:eastAsia="en-US"/>
      </w:rPr>
      <w:drawing>
        <wp:inline distT="0" distB="0" distL="0" distR="0" wp14:anchorId="0DDD22DD" wp14:editId="778F3A85">
          <wp:extent cx="482498" cy="343814"/>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9830" t="20856" r="9117" b="21389"/>
                  <a:stretch/>
                </pic:blipFill>
                <pic:spPr bwMode="auto">
                  <a:xfrm>
                    <a:off x="0" y="0"/>
                    <a:ext cx="480878" cy="342659"/>
                  </a:xfrm>
                  <a:prstGeom prst="rect">
                    <a:avLst/>
                  </a:prstGeom>
                  <a:noFill/>
                  <a:ln>
                    <a:noFill/>
                  </a:ln>
                  <a:extLst>
                    <a:ext uri="{53640926-AAD7-44D8-BBD7-CCE9431645EC}">
                      <a14:shadowObscured xmlns:a14="http://schemas.microsoft.com/office/drawing/2010/main"/>
                    </a:ext>
                  </a:extLst>
                </pic:spPr>
              </pic:pic>
            </a:graphicData>
          </a:graphic>
        </wp:inline>
      </w:drawing>
    </w:r>
  </w:p>
  <w:p w:rsidR="008017DE" w:rsidRPr="008017DE" w:rsidRDefault="008017DE" w:rsidP="008017DE">
    <w:pPr>
      <w:tabs>
        <w:tab w:val="center" w:pos="4153"/>
        <w:tab w:val="right" w:pos="8306"/>
      </w:tabs>
      <w:overflowPunct/>
      <w:autoSpaceDE/>
      <w:autoSpaceDN/>
      <w:adjustRightInd/>
      <w:jc w:val="center"/>
      <w:textAlignment w:val="auto"/>
      <w:rPr>
        <w:rFonts w:cs="FrankRuehl"/>
        <w:b/>
        <w:bCs/>
        <w:sz w:val="26"/>
        <w:szCs w:val="36"/>
        <w:rtl/>
      </w:rPr>
    </w:pPr>
    <w:r w:rsidRPr="008017DE">
      <w:rPr>
        <w:rFonts w:cs="FrankRuehl"/>
        <w:b/>
        <w:bCs/>
        <w:sz w:val="26"/>
        <w:szCs w:val="36"/>
        <w:rtl/>
      </w:rPr>
      <w:t>מדינת ישראל</w:t>
    </w:r>
  </w:p>
  <w:p w:rsidR="008017DE" w:rsidRPr="008017DE" w:rsidRDefault="008017DE" w:rsidP="008017DE">
    <w:pPr>
      <w:tabs>
        <w:tab w:val="center" w:pos="4153"/>
        <w:tab w:val="right" w:pos="8306"/>
      </w:tabs>
      <w:overflowPunct/>
      <w:autoSpaceDE/>
      <w:autoSpaceDN/>
      <w:adjustRightInd/>
      <w:jc w:val="center"/>
      <w:textAlignment w:val="auto"/>
      <w:rPr>
        <w:rFonts w:cs="FrankRuehl"/>
        <w:sz w:val="26"/>
        <w:szCs w:val="26"/>
        <w:rtl/>
      </w:rPr>
    </w:pPr>
    <w:r w:rsidRPr="008017DE">
      <w:rPr>
        <w:rFonts w:cs="FrankRuehl" w:hint="cs"/>
        <w:sz w:val="26"/>
        <w:szCs w:val="32"/>
        <w:rtl/>
      </w:rPr>
      <w:t>רשות</w:t>
    </w:r>
    <w:r w:rsidRPr="008017DE">
      <w:rPr>
        <w:rFonts w:cs="FrankRuehl"/>
        <w:sz w:val="26"/>
        <w:szCs w:val="32"/>
        <w:rtl/>
      </w:rPr>
      <w:t xml:space="preserve"> שוק ההון, ביטוח וח</w:t>
    </w:r>
    <w:r w:rsidRPr="008017DE">
      <w:rPr>
        <w:rFonts w:cs="FrankRuehl" w:hint="cs"/>
        <w:sz w:val="26"/>
        <w:szCs w:val="32"/>
        <w:rtl/>
      </w:rPr>
      <w:t>י</w:t>
    </w:r>
    <w:r w:rsidRPr="008017DE">
      <w:rPr>
        <w:rFonts w:cs="FrankRuehl"/>
        <w:sz w:val="26"/>
        <w:szCs w:val="32"/>
        <w:rtl/>
      </w:rPr>
      <w:t>סכון</w:t>
    </w:r>
  </w:p>
  <w:p w:rsidR="0038338B" w:rsidRDefault="0038338B" w:rsidP="00FC2615">
    <w:pPr>
      <w:pStyle w:val="a8"/>
      <w:jc w:val="center"/>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69651144"/>
      <w:docPartObj>
        <w:docPartGallery w:val="Page Numbers (Top of Page)"/>
        <w:docPartUnique/>
      </w:docPartObj>
    </w:sdtPr>
    <w:sdtEndPr>
      <w:rPr>
        <w:cs/>
      </w:rPr>
    </w:sdtEndPr>
    <w:sdtContent>
      <w:p w:rsidR="0007311F" w:rsidRDefault="009435A5">
        <w:pPr>
          <w:pStyle w:val="a8"/>
          <w:jc w:val="center"/>
          <w:rPr>
            <w:rtl/>
            <w:cs/>
          </w:rPr>
        </w:pPr>
        <w:r>
          <w:fldChar w:fldCharType="begin"/>
        </w:r>
        <w:r>
          <w:rPr>
            <w:rtl/>
            <w:cs/>
          </w:rPr>
          <w:instrText>PAGE   \* MERGEFORMAT</w:instrText>
        </w:r>
        <w:r>
          <w:fldChar w:fldCharType="separate"/>
        </w:r>
        <w:r w:rsidR="001F56BA" w:rsidRPr="001F56BA">
          <w:rPr>
            <w:noProof/>
            <w:rtl/>
            <w:lang w:val="he-IL"/>
          </w:rPr>
          <w:t>16</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3B2" w:rsidRDefault="002973B2" w:rsidP="002973B2">
    <w:pPr>
      <w:pStyle w:val="a8"/>
      <w:jc w:val="center"/>
      <w:rPr>
        <w:b/>
        <w:bCs/>
        <w:szCs w:val="36"/>
        <w:rtl/>
      </w:rPr>
    </w:pPr>
    <w:r>
      <w:rPr>
        <w:rFonts w:hint="cs"/>
        <w:b/>
        <w:bCs/>
        <w:noProof/>
        <w:szCs w:val="36"/>
        <w:lang w:eastAsia="en-US"/>
      </w:rPr>
      <w:drawing>
        <wp:inline distT="0" distB="0" distL="0" distR="0" wp14:anchorId="3F791A82" wp14:editId="23FAB370">
          <wp:extent cx="563056" cy="446228"/>
          <wp:effectExtent l="0" t="0" r="0" b="0"/>
          <wp:docPr id="9" name="תמונה 9" descr="C:\Users\Shabed\Desktop\לוגו-ללא-טקסט.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276B14" w:rsidRDefault="00276B14" w:rsidP="002973B2">
    <w:pPr>
      <w:pStyle w:val="a8"/>
      <w:pBdr>
        <w:bottom w:val="single" w:sz="12" w:space="1" w:color="auto"/>
      </w:pBdr>
      <w:jc w:val="center"/>
      <w:rPr>
        <w:b/>
        <w:bCs/>
        <w:szCs w:val="32"/>
        <w:rtl/>
      </w:rPr>
    </w:pPr>
    <w:r>
      <w:rPr>
        <w:rFonts w:hint="cs"/>
        <w:b/>
        <w:bCs/>
        <w:szCs w:val="32"/>
        <w:rtl/>
      </w:rPr>
      <w:t>מדינת ישראל</w:t>
    </w:r>
  </w:p>
  <w:p w:rsidR="002973B2" w:rsidRDefault="002973B2" w:rsidP="002973B2">
    <w:pPr>
      <w:pStyle w:val="a8"/>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82797"/>
    <w:multiLevelType w:val="multilevel"/>
    <w:tmpl w:val="CB2CFB36"/>
    <w:numStyleLink w:val="-"/>
  </w:abstractNum>
  <w:abstractNum w:abstractNumId="1">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27579A"/>
    <w:multiLevelType w:val="multilevel"/>
    <w:tmpl w:val="FAC88422"/>
    <w:lvl w:ilvl="0">
      <w:start w:val="1"/>
      <w:numFmt w:val="decimal"/>
      <w:lvlText w:val="%1)"/>
      <w:lvlJc w:val="left"/>
      <w:pPr>
        <w:ind w:left="1452" w:hanging="360"/>
      </w:pPr>
      <w:rPr>
        <w:rFonts w:hint="default"/>
        <w:lang w:bidi="he-IL"/>
      </w:rPr>
    </w:lvl>
    <w:lvl w:ilvl="1">
      <w:start w:val="1"/>
      <w:numFmt w:val="hebrew1"/>
      <w:lvlText w:val="%2."/>
      <w:lvlJc w:val="center"/>
      <w:pPr>
        <w:ind w:left="1812" w:hanging="360"/>
      </w:pPr>
    </w:lvl>
    <w:lvl w:ilvl="2">
      <w:start w:val="1"/>
      <w:numFmt w:val="hebrew1"/>
      <w:lvlText w:val="%3."/>
      <w:lvlJc w:val="center"/>
      <w:pPr>
        <w:ind w:left="2172" w:hanging="360"/>
      </w:pPr>
    </w:lvl>
    <w:lvl w:ilvl="3">
      <w:start w:val="1"/>
      <w:numFmt w:val="decimal"/>
      <w:lvlText w:val="%1.%2.%3.%4."/>
      <w:lvlJc w:val="center"/>
      <w:pPr>
        <w:ind w:left="2532" w:hanging="360"/>
      </w:pPr>
    </w:lvl>
    <w:lvl w:ilvl="4">
      <w:start w:val="1"/>
      <w:numFmt w:val="hebrew1"/>
      <w:lvlText w:val="%1.%2.%3.%4.%5."/>
      <w:lvlJc w:val="center"/>
      <w:pPr>
        <w:ind w:left="2892" w:hanging="360"/>
      </w:pPr>
    </w:lvl>
    <w:lvl w:ilvl="5">
      <w:start w:val="1"/>
      <w:numFmt w:val="decimal"/>
      <w:lvlText w:val="%1.%2.%3.%4.%5.%6."/>
      <w:lvlJc w:val="center"/>
      <w:pPr>
        <w:ind w:left="3252" w:hanging="360"/>
      </w:pPr>
    </w:lvl>
    <w:lvl w:ilvl="6">
      <w:start w:val="1"/>
      <w:numFmt w:val="hebrew1"/>
      <w:lvlText w:val="%1.%2.%3.%4.%5.%6.%7."/>
      <w:lvlJc w:val="center"/>
      <w:pPr>
        <w:ind w:left="3612" w:hanging="360"/>
      </w:pPr>
    </w:lvl>
    <w:lvl w:ilvl="7">
      <w:start w:val="1"/>
      <w:numFmt w:val="decimal"/>
      <w:lvlText w:val="%1.%2.%3.%4.%5.%6.%7.%8."/>
      <w:lvlJc w:val="center"/>
      <w:pPr>
        <w:ind w:left="3972" w:hanging="360"/>
      </w:pPr>
    </w:lvl>
    <w:lvl w:ilvl="8">
      <w:start w:val="1"/>
      <w:numFmt w:val="hebrew1"/>
      <w:lvlText w:val="%1.%2.%3.%4.%5.%6.%7.%8.%9."/>
      <w:lvlJc w:val="center"/>
      <w:pPr>
        <w:ind w:left="4332" w:hanging="360"/>
      </w:pPr>
    </w:lvl>
  </w:abstractNum>
  <w:abstractNum w:abstractNumId="4">
    <w:nsid w:val="1BF07206"/>
    <w:multiLevelType w:val="multilevel"/>
    <w:tmpl w:val="F4E460B4"/>
    <w:lvl w:ilvl="0">
      <w:start w:val="9"/>
      <w:numFmt w:val="decimal"/>
      <w:lvlRestart w:val="0"/>
      <w:lvlText w:val="%1 ."/>
      <w:lvlJc w:val="left"/>
      <w:pPr>
        <w:tabs>
          <w:tab w:val="num" w:pos="397"/>
        </w:tabs>
        <w:ind w:left="397" w:hanging="397"/>
      </w:pPr>
      <w:rPr>
        <w:rFonts w:hint="default"/>
        <w:b/>
        <w:bCs/>
      </w:rPr>
    </w:lvl>
    <w:lvl w:ilvl="1">
      <w:start w:val="14"/>
      <w:numFmt w:val="hebrew1"/>
      <w:lvlText w:val="%2."/>
      <w:lvlJc w:val="left"/>
      <w:pPr>
        <w:tabs>
          <w:tab w:val="num" w:pos="794"/>
        </w:tabs>
        <w:ind w:left="794" w:hanging="397"/>
      </w:pPr>
      <w:rPr>
        <w:rFonts w:hint="default"/>
      </w:rPr>
    </w:lvl>
    <w:lvl w:ilvl="2">
      <w:start w:val="1"/>
      <w:numFmt w:val="decimal"/>
      <w:lvlText w:val="%3)"/>
      <w:lvlJc w:val="left"/>
      <w:pPr>
        <w:tabs>
          <w:tab w:val="num" w:pos="1533"/>
        </w:tabs>
        <w:ind w:left="1533" w:hanging="453"/>
      </w:pPr>
      <w:rPr>
        <w:rFonts w:cs="David" w:hint="default"/>
        <w:b w:val="0"/>
        <w:bCs w:val="0"/>
      </w:rPr>
    </w:lvl>
    <w:lvl w:ilvl="3">
      <w:start w:val="1"/>
      <w:numFmt w:val="decimal"/>
      <w:lvlText w:val="(%4)."/>
      <w:lvlJc w:val="center"/>
      <w:pPr>
        <w:tabs>
          <w:tab w:val="num" w:pos="1440"/>
        </w:tabs>
        <w:ind w:left="1440" w:hanging="360"/>
      </w:pPr>
      <w:rPr>
        <w:rFonts w:hint="default"/>
        <w:b w:val="0"/>
        <w:bCs w:val="0"/>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5">
    <w:nsid w:val="2373315C"/>
    <w:multiLevelType w:val="multilevel"/>
    <w:tmpl w:val="3F4CB2F0"/>
    <w:lvl w:ilvl="0">
      <w:start w:val="1"/>
      <w:numFmt w:val="hebrew1"/>
      <w:lvlText w:val="%1."/>
      <w:lvlJc w:val="center"/>
      <w:pPr>
        <w:ind w:left="849" w:hanging="360"/>
      </w:pPr>
      <w:rPr>
        <w:rFonts w:hint="default"/>
        <w:lang w:val="en-US" w:bidi="he-IL"/>
      </w:rPr>
    </w:lvl>
    <w:lvl w:ilvl="1">
      <w:start w:val="1"/>
      <w:numFmt w:val="decimal"/>
      <w:lvlText w:val="%1.%2."/>
      <w:lvlJc w:val="center"/>
      <w:pPr>
        <w:ind w:left="1209" w:hanging="360"/>
      </w:pPr>
    </w:lvl>
    <w:lvl w:ilvl="2">
      <w:start w:val="1"/>
      <w:numFmt w:val="hebrew1"/>
      <w:lvlText w:val="%1.%2.%3."/>
      <w:lvlJc w:val="center"/>
      <w:pPr>
        <w:ind w:left="1569" w:hanging="360"/>
      </w:pPr>
    </w:lvl>
    <w:lvl w:ilvl="3">
      <w:start w:val="1"/>
      <w:numFmt w:val="decimal"/>
      <w:lvlText w:val="%1.%2.%3.%4."/>
      <w:lvlJc w:val="center"/>
      <w:pPr>
        <w:ind w:left="1929" w:hanging="360"/>
      </w:pPr>
    </w:lvl>
    <w:lvl w:ilvl="4">
      <w:start w:val="1"/>
      <w:numFmt w:val="hebrew1"/>
      <w:lvlText w:val="%1.%2.%3.%4.%5."/>
      <w:lvlJc w:val="center"/>
      <w:pPr>
        <w:ind w:left="2289" w:hanging="360"/>
      </w:pPr>
    </w:lvl>
    <w:lvl w:ilvl="5">
      <w:start w:val="1"/>
      <w:numFmt w:val="decimal"/>
      <w:lvlText w:val="%1.%2.%3.%4.%5.%6."/>
      <w:lvlJc w:val="center"/>
      <w:pPr>
        <w:ind w:left="2649" w:hanging="360"/>
      </w:pPr>
    </w:lvl>
    <w:lvl w:ilvl="6">
      <w:start w:val="1"/>
      <w:numFmt w:val="hebrew1"/>
      <w:lvlText w:val="%1.%2.%3.%4.%5.%6.%7."/>
      <w:lvlJc w:val="center"/>
      <w:pPr>
        <w:ind w:left="3009" w:hanging="360"/>
      </w:pPr>
    </w:lvl>
    <w:lvl w:ilvl="7">
      <w:start w:val="1"/>
      <w:numFmt w:val="decimal"/>
      <w:lvlText w:val="%1.%2.%3.%4.%5.%6.%7.%8."/>
      <w:lvlJc w:val="center"/>
      <w:pPr>
        <w:ind w:left="3369" w:hanging="360"/>
      </w:pPr>
    </w:lvl>
    <w:lvl w:ilvl="8">
      <w:start w:val="1"/>
      <w:numFmt w:val="hebrew1"/>
      <w:lvlText w:val="%1.%2.%3.%4.%5.%6.%7.%8.%9."/>
      <w:lvlJc w:val="center"/>
      <w:pPr>
        <w:ind w:left="3729" w:hanging="360"/>
      </w:pPr>
    </w:lvl>
  </w:abstractNum>
  <w:abstractNum w:abstractNumId="6">
    <w:nsid w:val="23BD3FC3"/>
    <w:multiLevelType w:val="multilevel"/>
    <w:tmpl w:val="1B6EC0AC"/>
    <w:lvl w:ilvl="0">
      <w:start w:val="1"/>
      <w:numFmt w:val="decimal"/>
      <w:lvlRestart w:val="0"/>
      <w:lvlText w:val="%1 ."/>
      <w:lvlJc w:val="left"/>
      <w:pPr>
        <w:tabs>
          <w:tab w:val="num" w:pos="397"/>
        </w:tabs>
        <w:ind w:left="397" w:hanging="397"/>
      </w:pPr>
      <w:rPr>
        <w:rFonts w:hint="default"/>
        <w:b/>
        <w:bCs/>
      </w:rPr>
    </w:lvl>
    <w:lvl w:ilvl="1">
      <w:start w:val="1"/>
      <w:numFmt w:val="hebrew1"/>
      <w:lvlText w:val="%2."/>
      <w:lvlJc w:val="left"/>
      <w:pPr>
        <w:tabs>
          <w:tab w:val="num" w:pos="794"/>
        </w:tabs>
        <w:ind w:left="794" w:hanging="397"/>
      </w:pPr>
      <w:rPr>
        <w:rFonts w:hint="default"/>
        <w:lang w:val="en-US"/>
      </w:rPr>
    </w:lvl>
    <w:lvl w:ilvl="2">
      <w:start w:val="1"/>
      <w:numFmt w:val="decimal"/>
      <w:lvlText w:val="%3)"/>
      <w:lvlJc w:val="left"/>
      <w:pPr>
        <w:tabs>
          <w:tab w:val="num" w:pos="878"/>
        </w:tabs>
        <w:ind w:left="878" w:hanging="453"/>
      </w:pPr>
      <w:rPr>
        <w:rFonts w:cs="David" w:hint="default"/>
        <w:b w:val="0"/>
        <w:bCs w:val="0"/>
        <w:lang w:bidi="he-IL"/>
      </w:rPr>
    </w:lvl>
    <w:lvl w:ilvl="3">
      <w:start w:val="1"/>
      <w:numFmt w:val="hebrew1"/>
      <w:lvlText w:val="(%4)"/>
      <w:lvlJc w:val="center"/>
      <w:pPr>
        <w:tabs>
          <w:tab w:val="num" w:pos="1440"/>
        </w:tabs>
        <w:ind w:left="1440" w:hanging="360"/>
      </w:pPr>
      <w:rPr>
        <w:rFonts w:hint="default"/>
        <w:b/>
        <w:bCs/>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7">
    <w:nsid w:val="24690D37"/>
    <w:multiLevelType w:val="multilevel"/>
    <w:tmpl w:val="2C7611E6"/>
    <w:numStyleLink w:val="-0"/>
  </w:abstractNum>
  <w:abstractNum w:abstractNumId="8">
    <w:nsid w:val="25C76CAB"/>
    <w:multiLevelType w:val="multilevel"/>
    <w:tmpl w:val="1B6EC0AC"/>
    <w:lvl w:ilvl="0">
      <w:start w:val="1"/>
      <w:numFmt w:val="decimal"/>
      <w:lvlRestart w:val="0"/>
      <w:lvlText w:val="%1 ."/>
      <w:lvlJc w:val="left"/>
      <w:pPr>
        <w:tabs>
          <w:tab w:val="num" w:pos="397"/>
        </w:tabs>
        <w:ind w:left="397" w:hanging="397"/>
      </w:pPr>
      <w:rPr>
        <w:rFonts w:hint="default"/>
        <w:b/>
        <w:bCs/>
      </w:rPr>
    </w:lvl>
    <w:lvl w:ilvl="1">
      <w:start w:val="1"/>
      <w:numFmt w:val="hebrew1"/>
      <w:lvlText w:val="%2."/>
      <w:lvlJc w:val="left"/>
      <w:pPr>
        <w:tabs>
          <w:tab w:val="num" w:pos="794"/>
        </w:tabs>
        <w:ind w:left="794" w:hanging="397"/>
      </w:pPr>
      <w:rPr>
        <w:rFonts w:hint="default"/>
        <w:lang w:val="en-US"/>
      </w:rPr>
    </w:lvl>
    <w:lvl w:ilvl="2">
      <w:start w:val="1"/>
      <w:numFmt w:val="decimal"/>
      <w:lvlText w:val="%3)"/>
      <w:lvlJc w:val="left"/>
      <w:pPr>
        <w:tabs>
          <w:tab w:val="num" w:pos="878"/>
        </w:tabs>
        <w:ind w:left="878" w:hanging="453"/>
      </w:pPr>
      <w:rPr>
        <w:rFonts w:cs="David" w:hint="default"/>
        <w:b w:val="0"/>
        <w:bCs w:val="0"/>
        <w:lang w:bidi="he-IL"/>
      </w:rPr>
    </w:lvl>
    <w:lvl w:ilvl="3">
      <w:start w:val="1"/>
      <w:numFmt w:val="hebrew1"/>
      <w:lvlText w:val="(%4)"/>
      <w:lvlJc w:val="center"/>
      <w:pPr>
        <w:tabs>
          <w:tab w:val="num" w:pos="1440"/>
        </w:tabs>
        <w:ind w:left="1440" w:hanging="360"/>
      </w:pPr>
      <w:rPr>
        <w:rFonts w:hint="default"/>
        <w:b/>
        <w:bCs/>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9">
    <w:nsid w:val="2CD23F7B"/>
    <w:multiLevelType w:val="multilevel"/>
    <w:tmpl w:val="1B6EC0AC"/>
    <w:lvl w:ilvl="0">
      <w:start w:val="1"/>
      <w:numFmt w:val="decimal"/>
      <w:lvlRestart w:val="0"/>
      <w:lvlText w:val="%1 ."/>
      <w:lvlJc w:val="left"/>
      <w:pPr>
        <w:tabs>
          <w:tab w:val="num" w:pos="397"/>
        </w:tabs>
        <w:ind w:left="397" w:hanging="397"/>
      </w:pPr>
      <w:rPr>
        <w:rFonts w:hint="default"/>
        <w:b/>
        <w:bCs/>
      </w:rPr>
    </w:lvl>
    <w:lvl w:ilvl="1">
      <w:start w:val="1"/>
      <w:numFmt w:val="hebrew1"/>
      <w:lvlText w:val="%2."/>
      <w:lvlJc w:val="left"/>
      <w:pPr>
        <w:tabs>
          <w:tab w:val="num" w:pos="794"/>
        </w:tabs>
        <w:ind w:left="794" w:hanging="397"/>
      </w:pPr>
      <w:rPr>
        <w:rFonts w:hint="default"/>
        <w:lang w:val="en-US"/>
      </w:rPr>
    </w:lvl>
    <w:lvl w:ilvl="2">
      <w:start w:val="1"/>
      <w:numFmt w:val="decimal"/>
      <w:lvlText w:val="%3)"/>
      <w:lvlJc w:val="left"/>
      <w:pPr>
        <w:tabs>
          <w:tab w:val="num" w:pos="878"/>
        </w:tabs>
        <w:ind w:left="878" w:hanging="453"/>
      </w:pPr>
      <w:rPr>
        <w:rFonts w:cs="David" w:hint="default"/>
        <w:b w:val="0"/>
        <w:bCs w:val="0"/>
        <w:lang w:bidi="he-IL"/>
      </w:rPr>
    </w:lvl>
    <w:lvl w:ilvl="3">
      <w:start w:val="1"/>
      <w:numFmt w:val="hebrew1"/>
      <w:lvlText w:val="(%4)"/>
      <w:lvlJc w:val="center"/>
      <w:pPr>
        <w:tabs>
          <w:tab w:val="num" w:pos="1440"/>
        </w:tabs>
        <w:ind w:left="1440" w:hanging="360"/>
      </w:pPr>
      <w:rPr>
        <w:rFonts w:hint="default"/>
        <w:b/>
        <w:bCs/>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10">
    <w:nsid w:val="2F1B6AD1"/>
    <w:multiLevelType w:val="hybridMultilevel"/>
    <w:tmpl w:val="3022D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085295C"/>
    <w:multiLevelType w:val="hybridMultilevel"/>
    <w:tmpl w:val="DED8893E"/>
    <w:lvl w:ilvl="0" w:tplc="E1447AC6">
      <w:start w:val="1"/>
      <w:numFmt w:val="hebrew1"/>
      <w:lvlText w:val="(%1)"/>
      <w:lvlJc w:val="left"/>
      <w:pPr>
        <w:tabs>
          <w:tab w:val="num" w:pos="1800"/>
        </w:tabs>
        <w:ind w:left="180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nsid w:val="33F44469"/>
    <w:multiLevelType w:val="multilevel"/>
    <w:tmpl w:val="04090021"/>
    <w:lvl w:ilvl="0">
      <w:start w:val="1"/>
      <w:numFmt w:val="hebrew1"/>
      <w:lvlText w:val="%1."/>
      <w:lvlJc w:val="center"/>
      <w:pPr>
        <w:ind w:left="785" w:hanging="360"/>
      </w:pPr>
      <w:rPr>
        <w:rFonts w:hint="default"/>
        <w:lang w:bidi="he-IL"/>
      </w:rPr>
    </w:lvl>
    <w:lvl w:ilvl="1">
      <w:start w:val="1"/>
      <w:numFmt w:val="decimal"/>
      <w:lvlText w:val="%1.%2."/>
      <w:lvlJc w:val="center"/>
      <w:pPr>
        <w:ind w:left="1080" w:hanging="360"/>
      </w:pPr>
    </w:lvl>
    <w:lvl w:ilvl="2">
      <w:start w:val="1"/>
      <w:numFmt w:val="hebrew1"/>
      <w:lvlText w:val="%1.%2.%3."/>
      <w:lvlJc w:val="center"/>
      <w:pPr>
        <w:ind w:left="1440" w:hanging="360"/>
      </w:pPr>
    </w:lvl>
    <w:lvl w:ilvl="3">
      <w:start w:val="1"/>
      <w:numFmt w:val="decimal"/>
      <w:lvlText w:val="%1.%2.%3.%4."/>
      <w:lvlJc w:val="center"/>
      <w:pPr>
        <w:ind w:left="1800" w:hanging="360"/>
      </w:pPr>
    </w:lvl>
    <w:lvl w:ilvl="4">
      <w:start w:val="1"/>
      <w:numFmt w:val="hebrew1"/>
      <w:lvlText w:val="%1.%2.%3.%4.%5."/>
      <w:lvlJc w:val="center"/>
      <w:pPr>
        <w:ind w:left="2160" w:hanging="360"/>
      </w:pPr>
    </w:lvl>
    <w:lvl w:ilvl="5">
      <w:start w:val="1"/>
      <w:numFmt w:val="decimal"/>
      <w:lvlText w:val="%1.%2.%3.%4.%5.%6."/>
      <w:lvlJc w:val="center"/>
      <w:pPr>
        <w:ind w:left="2520" w:hanging="360"/>
      </w:pPr>
    </w:lvl>
    <w:lvl w:ilvl="6">
      <w:start w:val="1"/>
      <w:numFmt w:val="hebrew1"/>
      <w:lvlText w:val="%1.%2.%3.%4.%5.%6.%7."/>
      <w:lvlJc w:val="center"/>
      <w:pPr>
        <w:ind w:left="2880" w:hanging="360"/>
      </w:pPr>
    </w:lvl>
    <w:lvl w:ilvl="7">
      <w:start w:val="1"/>
      <w:numFmt w:val="decimal"/>
      <w:lvlText w:val="%1.%2.%3.%4.%5.%6.%7.%8."/>
      <w:lvlJc w:val="center"/>
      <w:pPr>
        <w:ind w:left="3240" w:hanging="360"/>
      </w:pPr>
    </w:lvl>
    <w:lvl w:ilvl="8">
      <w:start w:val="1"/>
      <w:numFmt w:val="hebrew1"/>
      <w:lvlText w:val="%1.%2.%3.%4.%5.%6.%7.%8.%9."/>
      <w:lvlJc w:val="center"/>
      <w:pPr>
        <w:ind w:left="3600" w:hanging="360"/>
      </w:pPr>
    </w:lvl>
  </w:abstractNum>
  <w:abstractNum w:abstractNumId="13">
    <w:nsid w:val="3B1F44CD"/>
    <w:multiLevelType w:val="multilevel"/>
    <w:tmpl w:val="216EF2E8"/>
    <w:lvl w:ilvl="0">
      <w:start w:val="1"/>
      <w:numFmt w:val="decimal"/>
      <w:lvlRestart w:val="0"/>
      <w:lvlText w:val="%1 ."/>
      <w:lvlJc w:val="left"/>
      <w:pPr>
        <w:tabs>
          <w:tab w:val="num" w:pos="397"/>
        </w:tabs>
        <w:ind w:left="397" w:hanging="397"/>
      </w:pPr>
      <w:rPr>
        <w:rFonts w:hint="default"/>
        <w:b/>
        <w:bCs/>
      </w:rPr>
    </w:lvl>
    <w:lvl w:ilvl="1">
      <w:start w:val="1"/>
      <w:numFmt w:val="hebrew1"/>
      <w:lvlText w:val="%2."/>
      <w:lvlJc w:val="left"/>
      <w:pPr>
        <w:tabs>
          <w:tab w:val="num" w:pos="794"/>
        </w:tabs>
        <w:ind w:left="794" w:hanging="397"/>
      </w:pPr>
      <w:rPr>
        <w:rFonts w:hint="default"/>
        <w:lang w:val="en-US"/>
      </w:rPr>
    </w:lvl>
    <w:lvl w:ilvl="2">
      <w:start w:val="1"/>
      <w:numFmt w:val="decimal"/>
      <w:lvlText w:val="%3)"/>
      <w:lvlJc w:val="left"/>
      <w:pPr>
        <w:tabs>
          <w:tab w:val="num" w:pos="878"/>
        </w:tabs>
        <w:ind w:left="878" w:hanging="453"/>
      </w:pPr>
      <w:rPr>
        <w:rFonts w:cs="David" w:hint="default"/>
        <w:b w:val="0"/>
        <w:bCs w:val="0"/>
        <w:lang w:bidi="he-IL"/>
      </w:rPr>
    </w:lvl>
    <w:lvl w:ilvl="3">
      <w:start w:val="1"/>
      <w:numFmt w:val="hebrew1"/>
      <w:lvlText w:val="(%4)"/>
      <w:lvlJc w:val="center"/>
      <w:pPr>
        <w:tabs>
          <w:tab w:val="num" w:pos="1440"/>
        </w:tabs>
        <w:ind w:left="1440" w:hanging="360"/>
      </w:pPr>
      <w:rPr>
        <w:rFonts w:hint="default"/>
        <w:b/>
        <w:bCs/>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14">
    <w:nsid w:val="3C1D5433"/>
    <w:multiLevelType w:val="multilevel"/>
    <w:tmpl w:val="1B6EC0AC"/>
    <w:lvl w:ilvl="0">
      <w:start w:val="1"/>
      <w:numFmt w:val="decimal"/>
      <w:lvlRestart w:val="0"/>
      <w:lvlText w:val="%1 ."/>
      <w:lvlJc w:val="left"/>
      <w:pPr>
        <w:tabs>
          <w:tab w:val="num" w:pos="397"/>
        </w:tabs>
        <w:ind w:left="397" w:hanging="397"/>
      </w:pPr>
      <w:rPr>
        <w:rFonts w:hint="default"/>
        <w:b/>
        <w:bCs/>
      </w:rPr>
    </w:lvl>
    <w:lvl w:ilvl="1">
      <w:start w:val="1"/>
      <w:numFmt w:val="hebrew1"/>
      <w:lvlText w:val="%2."/>
      <w:lvlJc w:val="left"/>
      <w:pPr>
        <w:tabs>
          <w:tab w:val="num" w:pos="794"/>
        </w:tabs>
        <w:ind w:left="794" w:hanging="397"/>
      </w:pPr>
      <w:rPr>
        <w:rFonts w:hint="default"/>
        <w:lang w:val="en-US"/>
      </w:rPr>
    </w:lvl>
    <w:lvl w:ilvl="2">
      <w:start w:val="1"/>
      <w:numFmt w:val="decimal"/>
      <w:lvlText w:val="%3)"/>
      <w:lvlJc w:val="left"/>
      <w:pPr>
        <w:tabs>
          <w:tab w:val="num" w:pos="878"/>
        </w:tabs>
        <w:ind w:left="878" w:hanging="453"/>
      </w:pPr>
      <w:rPr>
        <w:rFonts w:cs="David" w:hint="default"/>
        <w:b w:val="0"/>
        <w:bCs w:val="0"/>
        <w:lang w:bidi="he-IL"/>
      </w:rPr>
    </w:lvl>
    <w:lvl w:ilvl="3">
      <w:start w:val="1"/>
      <w:numFmt w:val="hebrew1"/>
      <w:lvlText w:val="(%4)"/>
      <w:lvlJc w:val="center"/>
      <w:pPr>
        <w:tabs>
          <w:tab w:val="num" w:pos="1440"/>
        </w:tabs>
        <w:ind w:left="1440" w:hanging="360"/>
      </w:pPr>
      <w:rPr>
        <w:rFonts w:hint="default"/>
        <w:b/>
        <w:bCs/>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15">
    <w:nsid w:val="3C513048"/>
    <w:multiLevelType w:val="multilevel"/>
    <w:tmpl w:val="3F4CB2F0"/>
    <w:lvl w:ilvl="0">
      <w:start w:val="1"/>
      <w:numFmt w:val="hebrew1"/>
      <w:lvlText w:val="%1."/>
      <w:lvlJc w:val="center"/>
      <w:pPr>
        <w:ind w:left="849" w:hanging="360"/>
      </w:pPr>
      <w:rPr>
        <w:rFonts w:hint="default"/>
        <w:lang w:val="en-US" w:bidi="he-IL"/>
      </w:rPr>
    </w:lvl>
    <w:lvl w:ilvl="1">
      <w:start w:val="1"/>
      <w:numFmt w:val="decimal"/>
      <w:lvlText w:val="%1.%2."/>
      <w:lvlJc w:val="center"/>
      <w:pPr>
        <w:ind w:left="1209" w:hanging="360"/>
      </w:pPr>
    </w:lvl>
    <w:lvl w:ilvl="2">
      <w:start w:val="1"/>
      <w:numFmt w:val="hebrew1"/>
      <w:lvlText w:val="%1.%2.%3."/>
      <w:lvlJc w:val="center"/>
      <w:pPr>
        <w:ind w:left="1569" w:hanging="360"/>
      </w:pPr>
    </w:lvl>
    <w:lvl w:ilvl="3">
      <w:start w:val="1"/>
      <w:numFmt w:val="decimal"/>
      <w:lvlText w:val="%1.%2.%3.%4."/>
      <w:lvlJc w:val="center"/>
      <w:pPr>
        <w:ind w:left="1929" w:hanging="360"/>
      </w:pPr>
    </w:lvl>
    <w:lvl w:ilvl="4">
      <w:start w:val="1"/>
      <w:numFmt w:val="hebrew1"/>
      <w:lvlText w:val="%1.%2.%3.%4.%5."/>
      <w:lvlJc w:val="center"/>
      <w:pPr>
        <w:ind w:left="2289" w:hanging="360"/>
      </w:pPr>
    </w:lvl>
    <w:lvl w:ilvl="5">
      <w:start w:val="1"/>
      <w:numFmt w:val="decimal"/>
      <w:lvlText w:val="%1.%2.%3.%4.%5.%6."/>
      <w:lvlJc w:val="center"/>
      <w:pPr>
        <w:ind w:left="2649" w:hanging="360"/>
      </w:pPr>
    </w:lvl>
    <w:lvl w:ilvl="6">
      <w:start w:val="1"/>
      <w:numFmt w:val="hebrew1"/>
      <w:lvlText w:val="%1.%2.%3.%4.%5.%6.%7."/>
      <w:lvlJc w:val="center"/>
      <w:pPr>
        <w:ind w:left="3009" w:hanging="360"/>
      </w:pPr>
    </w:lvl>
    <w:lvl w:ilvl="7">
      <w:start w:val="1"/>
      <w:numFmt w:val="decimal"/>
      <w:lvlText w:val="%1.%2.%3.%4.%5.%6.%7.%8."/>
      <w:lvlJc w:val="center"/>
      <w:pPr>
        <w:ind w:left="3369" w:hanging="360"/>
      </w:pPr>
    </w:lvl>
    <w:lvl w:ilvl="8">
      <w:start w:val="1"/>
      <w:numFmt w:val="hebrew1"/>
      <w:lvlText w:val="%1.%2.%3.%4.%5.%6.%7.%8.%9."/>
      <w:lvlJc w:val="center"/>
      <w:pPr>
        <w:ind w:left="3729" w:hanging="360"/>
      </w:pPr>
    </w:lvl>
  </w:abstractNum>
  <w:abstractNum w:abstractNumId="16">
    <w:nsid w:val="3DF65555"/>
    <w:multiLevelType w:val="multilevel"/>
    <w:tmpl w:val="E92251F4"/>
    <w:lvl w:ilvl="0">
      <w:start w:val="1"/>
      <w:numFmt w:val="hebrew1"/>
      <w:lvlText w:val="%1."/>
      <w:lvlJc w:val="center"/>
      <w:pPr>
        <w:ind w:left="849" w:hanging="360"/>
      </w:pPr>
      <w:rPr>
        <w:rFonts w:hint="default"/>
        <w:lang w:val="en-US" w:bidi="he-IL"/>
      </w:rPr>
    </w:lvl>
    <w:lvl w:ilvl="1">
      <w:start w:val="1"/>
      <w:numFmt w:val="decimal"/>
      <w:lvlText w:val="%1.%2."/>
      <w:lvlJc w:val="center"/>
      <w:pPr>
        <w:ind w:left="1144" w:hanging="360"/>
      </w:pPr>
    </w:lvl>
    <w:lvl w:ilvl="2">
      <w:start w:val="1"/>
      <w:numFmt w:val="hebrew1"/>
      <w:lvlText w:val="%1.%2.%3."/>
      <w:lvlJc w:val="center"/>
      <w:pPr>
        <w:ind w:left="1504" w:hanging="360"/>
      </w:pPr>
    </w:lvl>
    <w:lvl w:ilvl="3">
      <w:start w:val="1"/>
      <w:numFmt w:val="decimal"/>
      <w:lvlText w:val="%1.%2.%3.%4."/>
      <w:lvlJc w:val="center"/>
      <w:pPr>
        <w:ind w:left="1864" w:hanging="360"/>
      </w:pPr>
    </w:lvl>
    <w:lvl w:ilvl="4">
      <w:start w:val="1"/>
      <w:numFmt w:val="hebrew1"/>
      <w:lvlText w:val="%1.%2.%3.%4.%5."/>
      <w:lvlJc w:val="center"/>
      <w:pPr>
        <w:ind w:left="2224" w:hanging="360"/>
      </w:pPr>
    </w:lvl>
    <w:lvl w:ilvl="5">
      <w:start w:val="1"/>
      <w:numFmt w:val="decimal"/>
      <w:lvlText w:val="%1.%2.%3.%4.%5.%6."/>
      <w:lvlJc w:val="center"/>
      <w:pPr>
        <w:ind w:left="2584" w:hanging="360"/>
      </w:pPr>
    </w:lvl>
    <w:lvl w:ilvl="6">
      <w:start w:val="1"/>
      <w:numFmt w:val="hebrew1"/>
      <w:lvlText w:val="%1.%2.%3.%4.%5.%6.%7."/>
      <w:lvlJc w:val="center"/>
      <w:pPr>
        <w:ind w:left="2944" w:hanging="360"/>
      </w:pPr>
    </w:lvl>
    <w:lvl w:ilvl="7">
      <w:start w:val="1"/>
      <w:numFmt w:val="decimal"/>
      <w:lvlText w:val="%1.%2.%3.%4.%5.%6.%7.%8."/>
      <w:lvlJc w:val="center"/>
      <w:pPr>
        <w:ind w:left="3304" w:hanging="360"/>
      </w:pPr>
    </w:lvl>
    <w:lvl w:ilvl="8">
      <w:start w:val="1"/>
      <w:numFmt w:val="hebrew1"/>
      <w:lvlText w:val="%1.%2.%3.%4.%5.%6.%7.%8.%9."/>
      <w:lvlJc w:val="center"/>
      <w:pPr>
        <w:ind w:left="3664" w:hanging="360"/>
      </w:pPr>
    </w:lvl>
  </w:abstractNum>
  <w:abstractNum w:abstractNumId="17">
    <w:nsid w:val="40720B74"/>
    <w:multiLevelType w:val="multilevel"/>
    <w:tmpl w:val="164A9B28"/>
    <w:lvl w:ilvl="0">
      <w:start w:val="12"/>
      <w:numFmt w:val="decimal"/>
      <w:lvlRestart w:val="0"/>
      <w:lvlText w:val="%1 ."/>
      <w:lvlJc w:val="left"/>
      <w:pPr>
        <w:tabs>
          <w:tab w:val="num" w:pos="397"/>
        </w:tabs>
        <w:ind w:left="397" w:hanging="397"/>
      </w:pPr>
      <w:rPr>
        <w:rFonts w:hint="default"/>
        <w:b/>
        <w:bCs/>
      </w:rPr>
    </w:lvl>
    <w:lvl w:ilvl="1">
      <w:start w:val="14"/>
      <w:numFmt w:val="hebrew1"/>
      <w:lvlText w:val="%2."/>
      <w:lvlJc w:val="left"/>
      <w:pPr>
        <w:tabs>
          <w:tab w:val="num" w:pos="794"/>
        </w:tabs>
        <w:ind w:left="794" w:hanging="397"/>
      </w:pPr>
      <w:rPr>
        <w:rFonts w:hint="default"/>
      </w:rPr>
    </w:lvl>
    <w:lvl w:ilvl="2">
      <w:start w:val="1"/>
      <w:numFmt w:val="decimal"/>
      <w:lvlText w:val="%3)"/>
      <w:lvlJc w:val="left"/>
      <w:pPr>
        <w:tabs>
          <w:tab w:val="num" w:pos="1533"/>
        </w:tabs>
        <w:ind w:left="1533" w:hanging="453"/>
      </w:pPr>
      <w:rPr>
        <w:rFonts w:cs="David" w:hint="default"/>
        <w:b w:val="0"/>
        <w:bCs w:val="0"/>
      </w:rPr>
    </w:lvl>
    <w:lvl w:ilvl="3">
      <w:start w:val="1"/>
      <w:numFmt w:val="decimal"/>
      <w:lvlText w:val="(%4)."/>
      <w:lvlJc w:val="center"/>
      <w:pPr>
        <w:tabs>
          <w:tab w:val="num" w:pos="1440"/>
        </w:tabs>
        <w:ind w:left="1440" w:hanging="360"/>
      </w:pPr>
      <w:rPr>
        <w:rFonts w:hint="default"/>
        <w:b w:val="0"/>
        <w:bCs w:val="0"/>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18">
    <w:nsid w:val="432763BF"/>
    <w:multiLevelType w:val="multilevel"/>
    <w:tmpl w:val="1B6EC0AC"/>
    <w:lvl w:ilvl="0">
      <w:start w:val="1"/>
      <w:numFmt w:val="decimal"/>
      <w:lvlRestart w:val="0"/>
      <w:lvlText w:val="%1 ."/>
      <w:lvlJc w:val="left"/>
      <w:pPr>
        <w:tabs>
          <w:tab w:val="num" w:pos="397"/>
        </w:tabs>
        <w:ind w:left="397" w:hanging="397"/>
      </w:pPr>
      <w:rPr>
        <w:rFonts w:hint="default"/>
        <w:b/>
        <w:bCs/>
      </w:rPr>
    </w:lvl>
    <w:lvl w:ilvl="1">
      <w:start w:val="1"/>
      <w:numFmt w:val="hebrew1"/>
      <w:lvlText w:val="%2."/>
      <w:lvlJc w:val="left"/>
      <w:pPr>
        <w:tabs>
          <w:tab w:val="num" w:pos="794"/>
        </w:tabs>
        <w:ind w:left="794" w:hanging="397"/>
      </w:pPr>
      <w:rPr>
        <w:rFonts w:hint="default"/>
        <w:lang w:val="en-US"/>
      </w:rPr>
    </w:lvl>
    <w:lvl w:ilvl="2">
      <w:start w:val="1"/>
      <w:numFmt w:val="decimal"/>
      <w:lvlText w:val="%3)"/>
      <w:lvlJc w:val="left"/>
      <w:pPr>
        <w:tabs>
          <w:tab w:val="num" w:pos="878"/>
        </w:tabs>
        <w:ind w:left="878" w:hanging="453"/>
      </w:pPr>
      <w:rPr>
        <w:rFonts w:cs="David" w:hint="default"/>
        <w:b w:val="0"/>
        <w:bCs w:val="0"/>
        <w:lang w:bidi="he-IL"/>
      </w:rPr>
    </w:lvl>
    <w:lvl w:ilvl="3">
      <w:start w:val="1"/>
      <w:numFmt w:val="hebrew1"/>
      <w:lvlText w:val="(%4)"/>
      <w:lvlJc w:val="center"/>
      <w:pPr>
        <w:tabs>
          <w:tab w:val="num" w:pos="1440"/>
        </w:tabs>
        <w:ind w:left="1440" w:hanging="360"/>
      </w:pPr>
      <w:rPr>
        <w:rFonts w:hint="default"/>
        <w:b/>
        <w:bCs/>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19">
    <w:nsid w:val="477D4CEE"/>
    <w:multiLevelType w:val="multilevel"/>
    <w:tmpl w:val="2C7611E6"/>
    <w:numStyleLink w:val="-0"/>
  </w:abstractNum>
  <w:abstractNum w:abstractNumId="20">
    <w:nsid w:val="4973129A"/>
    <w:multiLevelType w:val="multilevel"/>
    <w:tmpl w:val="3F4CB2F0"/>
    <w:lvl w:ilvl="0">
      <w:start w:val="1"/>
      <w:numFmt w:val="hebrew1"/>
      <w:lvlText w:val="%1."/>
      <w:lvlJc w:val="center"/>
      <w:pPr>
        <w:ind w:left="720" w:hanging="360"/>
      </w:pPr>
      <w:rPr>
        <w:rFonts w:hint="default"/>
        <w:lang w:val="en-US" w:bidi="he-IL"/>
      </w:rPr>
    </w:lvl>
    <w:lvl w:ilvl="1">
      <w:start w:val="1"/>
      <w:numFmt w:val="decimal"/>
      <w:lvlText w:val="%1.%2."/>
      <w:lvlJc w:val="center"/>
      <w:pPr>
        <w:ind w:left="1080" w:hanging="360"/>
      </w:pPr>
    </w:lvl>
    <w:lvl w:ilvl="2">
      <w:start w:val="1"/>
      <w:numFmt w:val="hebrew1"/>
      <w:lvlText w:val="%1.%2.%3."/>
      <w:lvlJc w:val="center"/>
      <w:pPr>
        <w:ind w:left="1440" w:hanging="360"/>
      </w:pPr>
    </w:lvl>
    <w:lvl w:ilvl="3">
      <w:start w:val="1"/>
      <w:numFmt w:val="decimal"/>
      <w:lvlText w:val="%1.%2.%3.%4."/>
      <w:lvlJc w:val="center"/>
      <w:pPr>
        <w:ind w:left="1800" w:hanging="360"/>
      </w:pPr>
    </w:lvl>
    <w:lvl w:ilvl="4">
      <w:start w:val="1"/>
      <w:numFmt w:val="hebrew1"/>
      <w:lvlText w:val="%1.%2.%3.%4.%5."/>
      <w:lvlJc w:val="center"/>
      <w:pPr>
        <w:ind w:left="2160" w:hanging="360"/>
      </w:pPr>
    </w:lvl>
    <w:lvl w:ilvl="5">
      <w:start w:val="1"/>
      <w:numFmt w:val="decimal"/>
      <w:lvlText w:val="%1.%2.%3.%4.%5.%6."/>
      <w:lvlJc w:val="center"/>
      <w:pPr>
        <w:ind w:left="2520" w:hanging="360"/>
      </w:pPr>
    </w:lvl>
    <w:lvl w:ilvl="6">
      <w:start w:val="1"/>
      <w:numFmt w:val="hebrew1"/>
      <w:lvlText w:val="%1.%2.%3.%4.%5.%6.%7."/>
      <w:lvlJc w:val="center"/>
      <w:pPr>
        <w:ind w:left="2880" w:hanging="360"/>
      </w:pPr>
    </w:lvl>
    <w:lvl w:ilvl="7">
      <w:start w:val="1"/>
      <w:numFmt w:val="decimal"/>
      <w:lvlText w:val="%1.%2.%3.%4.%5.%6.%7.%8."/>
      <w:lvlJc w:val="center"/>
      <w:pPr>
        <w:ind w:left="3240" w:hanging="360"/>
      </w:pPr>
    </w:lvl>
    <w:lvl w:ilvl="8">
      <w:start w:val="1"/>
      <w:numFmt w:val="hebrew1"/>
      <w:lvlText w:val="%1.%2.%3.%4.%5.%6.%7.%8.%9."/>
      <w:lvlJc w:val="center"/>
      <w:pPr>
        <w:ind w:left="3600" w:hanging="360"/>
      </w:pPr>
    </w:lvl>
  </w:abstractNum>
  <w:abstractNum w:abstractNumId="21">
    <w:nsid w:val="4A793C0F"/>
    <w:multiLevelType w:val="hybridMultilevel"/>
    <w:tmpl w:val="11BCD5DC"/>
    <w:lvl w:ilvl="0" w:tplc="0409000F">
      <w:start w:val="1"/>
      <w:numFmt w:val="decimal"/>
      <w:lvlText w:val="%1."/>
      <w:lvlJc w:val="left"/>
      <w:pPr>
        <w:ind w:left="360" w:hanging="360"/>
      </w:pPr>
      <w:rPr>
        <w:rFonts w:hint="default"/>
        <w:lang w:bidi="he-IL"/>
      </w:rPr>
    </w:lvl>
    <w:lvl w:ilvl="1" w:tplc="E4C27748">
      <w:start w:val="1"/>
      <w:numFmt w:val="hebrew1"/>
      <w:lvlText w:val="%2."/>
      <w:lvlJc w:val="left"/>
      <w:pPr>
        <w:ind w:left="1080" w:hanging="360"/>
      </w:pPr>
      <w:rPr>
        <w:rFonts w:ascii="Times New Roman" w:eastAsia="Times New Roman" w:hAnsi="Times New Roman" w:cs="David"/>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EA14B39"/>
    <w:multiLevelType w:val="multilevel"/>
    <w:tmpl w:val="1B6EC0AC"/>
    <w:lvl w:ilvl="0">
      <w:start w:val="1"/>
      <w:numFmt w:val="decimal"/>
      <w:lvlRestart w:val="0"/>
      <w:lvlText w:val="%1 ."/>
      <w:lvlJc w:val="left"/>
      <w:pPr>
        <w:tabs>
          <w:tab w:val="num" w:pos="397"/>
        </w:tabs>
        <w:ind w:left="397" w:hanging="397"/>
      </w:pPr>
      <w:rPr>
        <w:rFonts w:hint="default"/>
        <w:b/>
        <w:bCs/>
      </w:rPr>
    </w:lvl>
    <w:lvl w:ilvl="1">
      <w:start w:val="1"/>
      <w:numFmt w:val="hebrew1"/>
      <w:lvlText w:val="%2."/>
      <w:lvlJc w:val="left"/>
      <w:pPr>
        <w:tabs>
          <w:tab w:val="num" w:pos="794"/>
        </w:tabs>
        <w:ind w:left="794" w:hanging="397"/>
      </w:pPr>
      <w:rPr>
        <w:rFonts w:hint="default"/>
        <w:lang w:val="en-US"/>
      </w:rPr>
    </w:lvl>
    <w:lvl w:ilvl="2">
      <w:start w:val="1"/>
      <w:numFmt w:val="decimal"/>
      <w:lvlText w:val="%3)"/>
      <w:lvlJc w:val="left"/>
      <w:pPr>
        <w:tabs>
          <w:tab w:val="num" w:pos="878"/>
        </w:tabs>
        <w:ind w:left="878" w:hanging="453"/>
      </w:pPr>
      <w:rPr>
        <w:rFonts w:cs="David" w:hint="default"/>
        <w:b w:val="0"/>
        <w:bCs w:val="0"/>
        <w:lang w:bidi="he-IL"/>
      </w:rPr>
    </w:lvl>
    <w:lvl w:ilvl="3">
      <w:start w:val="1"/>
      <w:numFmt w:val="hebrew1"/>
      <w:lvlText w:val="(%4)"/>
      <w:lvlJc w:val="center"/>
      <w:pPr>
        <w:tabs>
          <w:tab w:val="num" w:pos="1440"/>
        </w:tabs>
        <w:ind w:left="1440" w:hanging="360"/>
      </w:pPr>
      <w:rPr>
        <w:rFonts w:hint="default"/>
        <w:b/>
        <w:bCs/>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23">
    <w:nsid w:val="4EBA02D1"/>
    <w:multiLevelType w:val="multilevel"/>
    <w:tmpl w:val="1ED42E4A"/>
    <w:lvl w:ilvl="0">
      <w:start w:val="1"/>
      <w:numFmt w:val="hebrew1"/>
      <w:lvlText w:val="%1."/>
      <w:lvlJc w:val="center"/>
      <w:pPr>
        <w:ind w:left="785" w:hanging="360"/>
      </w:pPr>
      <w:rPr>
        <w:rFonts w:hint="default"/>
        <w:lang w:val="en-US" w:bidi="he-IL"/>
      </w:rPr>
    </w:lvl>
    <w:lvl w:ilvl="1">
      <w:start w:val="1"/>
      <w:numFmt w:val="decimal"/>
      <w:lvlText w:val="%1.%2."/>
      <w:lvlJc w:val="center"/>
      <w:pPr>
        <w:ind w:left="1080" w:hanging="360"/>
      </w:pPr>
    </w:lvl>
    <w:lvl w:ilvl="2">
      <w:start w:val="1"/>
      <w:numFmt w:val="hebrew1"/>
      <w:lvlText w:val="%1.%2.%3."/>
      <w:lvlJc w:val="center"/>
      <w:pPr>
        <w:ind w:left="1440" w:hanging="360"/>
      </w:pPr>
    </w:lvl>
    <w:lvl w:ilvl="3">
      <w:start w:val="1"/>
      <w:numFmt w:val="decimal"/>
      <w:lvlText w:val="%1.%2.%3.%4."/>
      <w:lvlJc w:val="center"/>
      <w:pPr>
        <w:ind w:left="1800" w:hanging="360"/>
      </w:pPr>
    </w:lvl>
    <w:lvl w:ilvl="4">
      <w:start w:val="1"/>
      <w:numFmt w:val="hebrew1"/>
      <w:lvlText w:val="%1.%2.%3.%4.%5."/>
      <w:lvlJc w:val="center"/>
      <w:pPr>
        <w:ind w:left="2160" w:hanging="360"/>
      </w:pPr>
    </w:lvl>
    <w:lvl w:ilvl="5">
      <w:start w:val="1"/>
      <w:numFmt w:val="decimal"/>
      <w:lvlText w:val="%1.%2.%3.%4.%5.%6."/>
      <w:lvlJc w:val="center"/>
      <w:pPr>
        <w:ind w:left="2520" w:hanging="360"/>
      </w:pPr>
    </w:lvl>
    <w:lvl w:ilvl="6">
      <w:start w:val="1"/>
      <w:numFmt w:val="hebrew1"/>
      <w:lvlText w:val="%1.%2.%3.%4.%5.%6.%7."/>
      <w:lvlJc w:val="center"/>
      <w:pPr>
        <w:ind w:left="2880" w:hanging="360"/>
      </w:pPr>
    </w:lvl>
    <w:lvl w:ilvl="7">
      <w:start w:val="1"/>
      <w:numFmt w:val="decimal"/>
      <w:lvlText w:val="%1.%2.%3.%4.%5.%6.%7.%8."/>
      <w:lvlJc w:val="center"/>
      <w:pPr>
        <w:ind w:left="3240" w:hanging="360"/>
      </w:pPr>
    </w:lvl>
    <w:lvl w:ilvl="8">
      <w:start w:val="1"/>
      <w:numFmt w:val="hebrew1"/>
      <w:lvlText w:val="%1.%2.%3.%4.%5.%6.%7.%8.%9."/>
      <w:lvlJc w:val="center"/>
      <w:pPr>
        <w:ind w:left="3600" w:hanging="360"/>
      </w:pPr>
    </w:lvl>
  </w:abstractNum>
  <w:abstractNum w:abstractNumId="24">
    <w:nsid w:val="52507D77"/>
    <w:multiLevelType w:val="multilevel"/>
    <w:tmpl w:val="1ED42E4A"/>
    <w:lvl w:ilvl="0">
      <w:start w:val="1"/>
      <w:numFmt w:val="hebrew1"/>
      <w:lvlText w:val="%1."/>
      <w:lvlJc w:val="center"/>
      <w:pPr>
        <w:ind w:left="785" w:hanging="360"/>
      </w:pPr>
      <w:rPr>
        <w:rFonts w:hint="default"/>
        <w:lang w:val="en-US" w:bidi="he-IL"/>
      </w:rPr>
    </w:lvl>
    <w:lvl w:ilvl="1">
      <w:start w:val="1"/>
      <w:numFmt w:val="decimal"/>
      <w:lvlText w:val="%1.%2."/>
      <w:lvlJc w:val="center"/>
      <w:pPr>
        <w:ind w:left="1080" w:hanging="360"/>
      </w:pPr>
    </w:lvl>
    <w:lvl w:ilvl="2">
      <w:start w:val="1"/>
      <w:numFmt w:val="hebrew1"/>
      <w:lvlText w:val="%1.%2.%3."/>
      <w:lvlJc w:val="center"/>
      <w:pPr>
        <w:ind w:left="1440" w:hanging="360"/>
      </w:pPr>
    </w:lvl>
    <w:lvl w:ilvl="3">
      <w:start w:val="1"/>
      <w:numFmt w:val="decimal"/>
      <w:lvlText w:val="%1.%2.%3.%4."/>
      <w:lvlJc w:val="center"/>
      <w:pPr>
        <w:ind w:left="1800" w:hanging="360"/>
      </w:pPr>
    </w:lvl>
    <w:lvl w:ilvl="4">
      <w:start w:val="1"/>
      <w:numFmt w:val="hebrew1"/>
      <w:lvlText w:val="%1.%2.%3.%4.%5."/>
      <w:lvlJc w:val="center"/>
      <w:pPr>
        <w:ind w:left="2160" w:hanging="360"/>
      </w:pPr>
    </w:lvl>
    <w:lvl w:ilvl="5">
      <w:start w:val="1"/>
      <w:numFmt w:val="decimal"/>
      <w:lvlText w:val="%1.%2.%3.%4.%5.%6."/>
      <w:lvlJc w:val="center"/>
      <w:pPr>
        <w:ind w:left="2520" w:hanging="360"/>
      </w:pPr>
    </w:lvl>
    <w:lvl w:ilvl="6">
      <w:start w:val="1"/>
      <w:numFmt w:val="hebrew1"/>
      <w:lvlText w:val="%1.%2.%3.%4.%5.%6.%7."/>
      <w:lvlJc w:val="center"/>
      <w:pPr>
        <w:ind w:left="2880" w:hanging="360"/>
      </w:pPr>
    </w:lvl>
    <w:lvl w:ilvl="7">
      <w:start w:val="1"/>
      <w:numFmt w:val="decimal"/>
      <w:lvlText w:val="%1.%2.%3.%4.%5.%6.%7.%8."/>
      <w:lvlJc w:val="center"/>
      <w:pPr>
        <w:ind w:left="3240" w:hanging="360"/>
      </w:pPr>
    </w:lvl>
    <w:lvl w:ilvl="8">
      <w:start w:val="1"/>
      <w:numFmt w:val="hebrew1"/>
      <w:lvlText w:val="%1.%2.%3.%4.%5.%6.%7.%8.%9."/>
      <w:lvlJc w:val="center"/>
      <w:pPr>
        <w:ind w:left="3600" w:hanging="360"/>
      </w:pPr>
    </w:lvl>
  </w:abstractNum>
  <w:abstractNum w:abstractNumId="25">
    <w:nsid w:val="52C63965"/>
    <w:multiLevelType w:val="multilevel"/>
    <w:tmpl w:val="CB2CFB36"/>
    <w:numStyleLink w:val="-"/>
  </w:abstractNum>
  <w:abstractNum w:abstractNumId="26">
    <w:nsid w:val="55EA2FEE"/>
    <w:multiLevelType w:val="multilevel"/>
    <w:tmpl w:val="4258A3A4"/>
    <w:lvl w:ilvl="0">
      <w:start w:val="1"/>
      <w:numFmt w:val="hebrew1"/>
      <w:lvlText w:val="%1."/>
      <w:lvlJc w:val="center"/>
      <w:pPr>
        <w:ind w:left="785" w:hanging="360"/>
      </w:pPr>
      <w:rPr>
        <w:rFonts w:hint="default"/>
        <w:lang w:val="en-US" w:bidi="he-IL"/>
      </w:rPr>
    </w:lvl>
    <w:lvl w:ilvl="1">
      <w:start w:val="1"/>
      <w:numFmt w:val="decimal"/>
      <w:lvlText w:val="%1.%2."/>
      <w:lvlJc w:val="center"/>
      <w:pPr>
        <w:ind w:left="1080" w:hanging="360"/>
      </w:pPr>
    </w:lvl>
    <w:lvl w:ilvl="2">
      <w:start w:val="1"/>
      <w:numFmt w:val="hebrew1"/>
      <w:lvlText w:val="%1.%2.%3."/>
      <w:lvlJc w:val="center"/>
      <w:pPr>
        <w:ind w:left="1440" w:hanging="360"/>
      </w:pPr>
    </w:lvl>
    <w:lvl w:ilvl="3">
      <w:start w:val="1"/>
      <w:numFmt w:val="decimal"/>
      <w:lvlText w:val="%1.%2.%3.%4."/>
      <w:lvlJc w:val="center"/>
      <w:pPr>
        <w:ind w:left="1800" w:hanging="360"/>
      </w:pPr>
    </w:lvl>
    <w:lvl w:ilvl="4">
      <w:start w:val="1"/>
      <w:numFmt w:val="hebrew1"/>
      <w:lvlText w:val="%1.%2.%3.%4.%5."/>
      <w:lvlJc w:val="center"/>
      <w:pPr>
        <w:ind w:left="2160" w:hanging="360"/>
      </w:pPr>
    </w:lvl>
    <w:lvl w:ilvl="5">
      <w:start w:val="1"/>
      <w:numFmt w:val="decimal"/>
      <w:lvlText w:val="%1.%2.%3.%4.%5.%6."/>
      <w:lvlJc w:val="center"/>
      <w:pPr>
        <w:ind w:left="2520" w:hanging="360"/>
      </w:pPr>
    </w:lvl>
    <w:lvl w:ilvl="6">
      <w:start w:val="1"/>
      <w:numFmt w:val="hebrew1"/>
      <w:lvlText w:val="%1.%2.%3.%4.%5.%6.%7."/>
      <w:lvlJc w:val="center"/>
      <w:pPr>
        <w:ind w:left="2880" w:hanging="360"/>
      </w:pPr>
    </w:lvl>
    <w:lvl w:ilvl="7">
      <w:start w:val="1"/>
      <w:numFmt w:val="decimal"/>
      <w:lvlText w:val="%1.%2.%3.%4.%5.%6.%7.%8."/>
      <w:lvlJc w:val="center"/>
      <w:pPr>
        <w:ind w:left="3240" w:hanging="360"/>
      </w:pPr>
    </w:lvl>
    <w:lvl w:ilvl="8">
      <w:start w:val="1"/>
      <w:numFmt w:val="hebrew1"/>
      <w:lvlText w:val="%1.%2.%3.%4.%5.%6.%7.%8.%9."/>
      <w:lvlJc w:val="center"/>
      <w:pPr>
        <w:ind w:left="3600" w:hanging="360"/>
      </w:pPr>
    </w:lvl>
  </w:abstractNum>
  <w:abstractNum w:abstractNumId="27">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8">
    <w:nsid w:val="5F1F6DFD"/>
    <w:multiLevelType w:val="multilevel"/>
    <w:tmpl w:val="1B6EC0AC"/>
    <w:lvl w:ilvl="0">
      <w:start w:val="1"/>
      <w:numFmt w:val="decimal"/>
      <w:lvlRestart w:val="0"/>
      <w:lvlText w:val="%1 ."/>
      <w:lvlJc w:val="left"/>
      <w:pPr>
        <w:tabs>
          <w:tab w:val="num" w:pos="397"/>
        </w:tabs>
        <w:ind w:left="397" w:hanging="397"/>
      </w:pPr>
      <w:rPr>
        <w:rFonts w:hint="default"/>
        <w:b/>
        <w:bCs/>
      </w:rPr>
    </w:lvl>
    <w:lvl w:ilvl="1">
      <w:start w:val="1"/>
      <w:numFmt w:val="hebrew1"/>
      <w:lvlText w:val="%2."/>
      <w:lvlJc w:val="left"/>
      <w:pPr>
        <w:tabs>
          <w:tab w:val="num" w:pos="794"/>
        </w:tabs>
        <w:ind w:left="794" w:hanging="397"/>
      </w:pPr>
      <w:rPr>
        <w:rFonts w:hint="default"/>
        <w:lang w:val="en-US"/>
      </w:rPr>
    </w:lvl>
    <w:lvl w:ilvl="2">
      <w:start w:val="1"/>
      <w:numFmt w:val="decimal"/>
      <w:lvlText w:val="%3)"/>
      <w:lvlJc w:val="left"/>
      <w:pPr>
        <w:tabs>
          <w:tab w:val="num" w:pos="878"/>
        </w:tabs>
        <w:ind w:left="878" w:hanging="453"/>
      </w:pPr>
      <w:rPr>
        <w:rFonts w:cs="David" w:hint="default"/>
        <w:b w:val="0"/>
        <w:bCs w:val="0"/>
        <w:lang w:bidi="he-IL"/>
      </w:rPr>
    </w:lvl>
    <w:lvl w:ilvl="3">
      <w:start w:val="1"/>
      <w:numFmt w:val="hebrew1"/>
      <w:lvlText w:val="(%4)"/>
      <w:lvlJc w:val="center"/>
      <w:pPr>
        <w:tabs>
          <w:tab w:val="num" w:pos="1440"/>
        </w:tabs>
        <w:ind w:left="1440" w:hanging="360"/>
      </w:pPr>
      <w:rPr>
        <w:rFonts w:hint="default"/>
        <w:b/>
        <w:bCs/>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29">
    <w:nsid w:val="64BA7E4C"/>
    <w:multiLevelType w:val="multilevel"/>
    <w:tmpl w:val="8912FA4C"/>
    <w:lvl w:ilvl="0">
      <w:start w:val="1"/>
      <w:numFmt w:val="decimal"/>
      <w:lvlRestart w:val="0"/>
      <w:lvlText w:val="%1 ."/>
      <w:lvlJc w:val="left"/>
      <w:pPr>
        <w:tabs>
          <w:tab w:val="num" w:pos="397"/>
        </w:tabs>
        <w:ind w:left="397" w:hanging="397"/>
      </w:pPr>
      <w:rPr>
        <w:rFonts w:hint="default"/>
        <w:b/>
        <w:bCs/>
      </w:rPr>
    </w:lvl>
    <w:lvl w:ilvl="1">
      <w:start w:val="1"/>
      <w:numFmt w:val="hebrew1"/>
      <w:lvlText w:val="%2."/>
      <w:lvlJc w:val="left"/>
      <w:pPr>
        <w:tabs>
          <w:tab w:val="num" w:pos="794"/>
        </w:tabs>
        <w:ind w:left="794" w:hanging="397"/>
      </w:pPr>
      <w:rPr>
        <w:rFonts w:hint="default"/>
        <w:lang w:val="en-US"/>
      </w:rPr>
    </w:lvl>
    <w:lvl w:ilvl="2">
      <w:start w:val="1"/>
      <w:numFmt w:val="decimal"/>
      <w:lvlText w:val="%3)"/>
      <w:lvlJc w:val="left"/>
      <w:pPr>
        <w:tabs>
          <w:tab w:val="num" w:pos="878"/>
        </w:tabs>
        <w:ind w:left="878" w:hanging="453"/>
      </w:pPr>
      <w:rPr>
        <w:rFonts w:cs="David" w:hint="default"/>
        <w:b w:val="0"/>
        <w:bCs w:val="0"/>
        <w:lang w:bidi="he-IL"/>
      </w:rPr>
    </w:lvl>
    <w:lvl w:ilvl="3">
      <w:start w:val="1"/>
      <w:numFmt w:val="hebrew1"/>
      <w:lvlText w:val="(%4)"/>
      <w:lvlJc w:val="center"/>
      <w:pPr>
        <w:tabs>
          <w:tab w:val="num" w:pos="1440"/>
        </w:tabs>
        <w:ind w:left="1440" w:hanging="360"/>
      </w:pPr>
      <w:rPr>
        <w:rFonts w:hint="default"/>
        <w:b w:val="0"/>
        <w:bCs w:val="0"/>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30">
    <w:nsid w:val="6B4635CD"/>
    <w:multiLevelType w:val="multilevel"/>
    <w:tmpl w:val="1B6EC0AC"/>
    <w:lvl w:ilvl="0">
      <w:start w:val="1"/>
      <w:numFmt w:val="decimal"/>
      <w:lvlRestart w:val="0"/>
      <w:lvlText w:val="%1 ."/>
      <w:lvlJc w:val="left"/>
      <w:pPr>
        <w:tabs>
          <w:tab w:val="num" w:pos="397"/>
        </w:tabs>
        <w:ind w:left="397" w:hanging="397"/>
      </w:pPr>
      <w:rPr>
        <w:rFonts w:hint="default"/>
        <w:b/>
        <w:bCs/>
      </w:rPr>
    </w:lvl>
    <w:lvl w:ilvl="1">
      <w:start w:val="1"/>
      <w:numFmt w:val="hebrew1"/>
      <w:lvlText w:val="%2."/>
      <w:lvlJc w:val="left"/>
      <w:pPr>
        <w:tabs>
          <w:tab w:val="num" w:pos="794"/>
        </w:tabs>
        <w:ind w:left="794" w:hanging="397"/>
      </w:pPr>
      <w:rPr>
        <w:rFonts w:hint="default"/>
        <w:lang w:val="en-US"/>
      </w:rPr>
    </w:lvl>
    <w:lvl w:ilvl="2">
      <w:start w:val="1"/>
      <w:numFmt w:val="decimal"/>
      <w:lvlText w:val="%3)"/>
      <w:lvlJc w:val="left"/>
      <w:pPr>
        <w:tabs>
          <w:tab w:val="num" w:pos="878"/>
        </w:tabs>
        <w:ind w:left="878" w:hanging="453"/>
      </w:pPr>
      <w:rPr>
        <w:rFonts w:cs="David" w:hint="default"/>
        <w:b w:val="0"/>
        <w:bCs w:val="0"/>
        <w:lang w:bidi="he-IL"/>
      </w:rPr>
    </w:lvl>
    <w:lvl w:ilvl="3">
      <w:start w:val="1"/>
      <w:numFmt w:val="hebrew1"/>
      <w:lvlText w:val="(%4)"/>
      <w:lvlJc w:val="center"/>
      <w:pPr>
        <w:tabs>
          <w:tab w:val="num" w:pos="1440"/>
        </w:tabs>
        <w:ind w:left="1440" w:hanging="360"/>
      </w:pPr>
      <w:rPr>
        <w:rFonts w:hint="default"/>
        <w:b/>
        <w:bCs/>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31">
    <w:nsid w:val="6C7B0960"/>
    <w:multiLevelType w:val="multilevel"/>
    <w:tmpl w:val="1B6EC0AC"/>
    <w:lvl w:ilvl="0">
      <w:start w:val="1"/>
      <w:numFmt w:val="decimal"/>
      <w:lvlRestart w:val="0"/>
      <w:lvlText w:val="%1 ."/>
      <w:lvlJc w:val="left"/>
      <w:pPr>
        <w:tabs>
          <w:tab w:val="num" w:pos="397"/>
        </w:tabs>
        <w:ind w:left="397" w:hanging="397"/>
      </w:pPr>
      <w:rPr>
        <w:rFonts w:hint="default"/>
        <w:b/>
        <w:bCs/>
      </w:rPr>
    </w:lvl>
    <w:lvl w:ilvl="1">
      <w:start w:val="1"/>
      <w:numFmt w:val="hebrew1"/>
      <w:lvlText w:val="%2."/>
      <w:lvlJc w:val="left"/>
      <w:pPr>
        <w:tabs>
          <w:tab w:val="num" w:pos="794"/>
        </w:tabs>
        <w:ind w:left="794" w:hanging="397"/>
      </w:pPr>
      <w:rPr>
        <w:rFonts w:hint="default"/>
        <w:lang w:val="en-US"/>
      </w:rPr>
    </w:lvl>
    <w:lvl w:ilvl="2">
      <w:start w:val="1"/>
      <w:numFmt w:val="decimal"/>
      <w:lvlText w:val="%3)"/>
      <w:lvlJc w:val="left"/>
      <w:pPr>
        <w:tabs>
          <w:tab w:val="num" w:pos="878"/>
        </w:tabs>
        <w:ind w:left="878" w:hanging="453"/>
      </w:pPr>
      <w:rPr>
        <w:rFonts w:cs="David" w:hint="default"/>
        <w:b w:val="0"/>
        <w:bCs w:val="0"/>
        <w:lang w:bidi="he-IL"/>
      </w:rPr>
    </w:lvl>
    <w:lvl w:ilvl="3">
      <w:start w:val="1"/>
      <w:numFmt w:val="hebrew1"/>
      <w:lvlText w:val="(%4)"/>
      <w:lvlJc w:val="center"/>
      <w:pPr>
        <w:tabs>
          <w:tab w:val="num" w:pos="1440"/>
        </w:tabs>
        <w:ind w:left="1440" w:hanging="360"/>
      </w:pPr>
      <w:rPr>
        <w:rFonts w:hint="default"/>
        <w:b/>
        <w:bCs/>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32">
    <w:nsid w:val="72A56F0C"/>
    <w:multiLevelType w:val="multilevel"/>
    <w:tmpl w:val="1B6EC0AC"/>
    <w:lvl w:ilvl="0">
      <w:start w:val="1"/>
      <w:numFmt w:val="decimal"/>
      <w:lvlRestart w:val="0"/>
      <w:lvlText w:val="%1 ."/>
      <w:lvlJc w:val="left"/>
      <w:pPr>
        <w:tabs>
          <w:tab w:val="num" w:pos="397"/>
        </w:tabs>
        <w:ind w:left="397" w:hanging="397"/>
      </w:pPr>
      <w:rPr>
        <w:rFonts w:hint="default"/>
        <w:b/>
        <w:bCs/>
      </w:rPr>
    </w:lvl>
    <w:lvl w:ilvl="1">
      <w:start w:val="1"/>
      <w:numFmt w:val="hebrew1"/>
      <w:lvlText w:val="%2."/>
      <w:lvlJc w:val="left"/>
      <w:pPr>
        <w:tabs>
          <w:tab w:val="num" w:pos="794"/>
        </w:tabs>
        <w:ind w:left="794" w:hanging="397"/>
      </w:pPr>
      <w:rPr>
        <w:rFonts w:hint="default"/>
        <w:lang w:val="en-US"/>
      </w:rPr>
    </w:lvl>
    <w:lvl w:ilvl="2">
      <w:start w:val="1"/>
      <w:numFmt w:val="decimal"/>
      <w:lvlText w:val="%3)"/>
      <w:lvlJc w:val="left"/>
      <w:pPr>
        <w:tabs>
          <w:tab w:val="num" w:pos="878"/>
        </w:tabs>
        <w:ind w:left="878" w:hanging="453"/>
      </w:pPr>
      <w:rPr>
        <w:rFonts w:cs="David" w:hint="default"/>
        <w:b w:val="0"/>
        <w:bCs w:val="0"/>
        <w:lang w:bidi="he-IL"/>
      </w:rPr>
    </w:lvl>
    <w:lvl w:ilvl="3">
      <w:start w:val="1"/>
      <w:numFmt w:val="hebrew1"/>
      <w:lvlText w:val="(%4)"/>
      <w:lvlJc w:val="center"/>
      <w:pPr>
        <w:tabs>
          <w:tab w:val="num" w:pos="1440"/>
        </w:tabs>
        <w:ind w:left="1440" w:hanging="360"/>
      </w:pPr>
      <w:rPr>
        <w:rFonts w:hint="default"/>
        <w:b/>
        <w:bCs/>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33">
    <w:nsid w:val="7C966617"/>
    <w:multiLevelType w:val="multilevel"/>
    <w:tmpl w:val="D1E27FBA"/>
    <w:lvl w:ilvl="0">
      <w:start w:val="1"/>
      <w:numFmt w:val="decimal"/>
      <w:lvlText w:val="%1."/>
      <w:lvlJc w:val="left"/>
      <w:pPr>
        <w:ind w:left="360" w:hanging="360"/>
      </w:pPr>
      <w:rPr>
        <w:rFonts w:hint="default"/>
        <w:sz w:val="24"/>
      </w:r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EB2355E"/>
    <w:multiLevelType w:val="multilevel"/>
    <w:tmpl w:val="79C048A2"/>
    <w:lvl w:ilvl="0">
      <w:start w:val="1"/>
      <w:numFmt w:val="decimal"/>
      <w:lvlRestart w:val="0"/>
      <w:lvlText w:val="%1 ."/>
      <w:lvlJc w:val="left"/>
      <w:pPr>
        <w:tabs>
          <w:tab w:val="num" w:pos="397"/>
        </w:tabs>
        <w:ind w:left="397" w:hanging="397"/>
      </w:pPr>
      <w:rPr>
        <w:rFonts w:hint="default"/>
        <w:b/>
        <w:bCs/>
      </w:rPr>
    </w:lvl>
    <w:lvl w:ilvl="1">
      <w:start w:val="1"/>
      <w:numFmt w:val="hebrew1"/>
      <w:lvlText w:val="%2."/>
      <w:lvlJc w:val="left"/>
      <w:pPr>
        <w:tabs>
          <w:tab w:val="num" w:pos="794"/>
        </w:tabs>
        <w:ind w:left="794" w:hanging="397"/>
      </w:pPr>
      <w:rPr>
        <w:rFonts w:hint="default"/>
        <w:b/>
        <w:bCs/>
        <w:lang w:val="en-US"/>
      </w:rPr>
    </w:lvl>
    <w:lvl w:ilvl="2">
      <w:start w:val="1"/>
      <w:numFmt w:val="decimal"/>
      <w:lvlText w:val="%3)"/>
      <w:lvlJc w:val="left"/>
      <w:pPr>
        <w:tabs>
          <w:tab w:val="num" w:pos="878"/>
        </w:tabs>
        <w:ind w:left="878" w:hanging="453"/>
      </w:pPr>
      <w:rPr>
        <w:rFonts w:cs="David" w:hint="default"/>
        <w:b w:val="0"/>
        <w:bCs w:val="0"/>
        <w:lang w:bidi="he-IL"/>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35">
    <w:nsid w:val="7FE9718B"/>
    <w:multiLevelType w:val="multilevel"/>
    <w:tmpl w:val="BCEE7B8A"/>
    <w:lvl w:ilvl="0">
      <w:start w:val="1"/>
      <w:numFmt w:val="decimal"/>
      <w:lvlRestart w:val="0"/>
      <w:lvlText w:val="%1 ."/>
      <w:lvlJc w:val="left"/>
      <w:pPr>
        <w:tabs>
          <w:tab w:val="num" w:pos="397"/>
        </w:tabs>
        <w:ind w:left="397" w:hanging="397"/>
      </w:pPr>
      <w:rPr>
        <w:rFonts w:hint="default"/>
        <w:b/>
        <w:bCs/>
      </w:rPr>
    </w:lvl>
    <w:lvl w:ilvl="1">
      <w:start w:val="1"/>
      <w:numFmt w:val="hebrew1"/>
      <w:lvlText w:val="%2."/>
      <w:lvlJc w:val="left"/>
      <w:pPr>
        <w:tabs>
          <w:tab w:val="num" w:pos="794"/>
        </w:tabs>
        <w:ind w:left="794" w:hanging="397"/>
      </w:pPr>
      <w:rPr>
        <w:rFonts w:hint="default"/>
        <w:lang w:val="en-US"/>
      </w:rPr>
    </w:lvl>
    <w:lvl w:ilvl="2">
      <w:start w:val="1"/>
      <w:numFmt w:val="decimal"/>
      <w:lvlText w:val="%3)"/>
      <w:lvlJc w:val="left"/>
      <w:pPr>
        <w:tabs>
          <w:tab w:val="num" w:pos="878"/>
        </w:tabs>
        <w:ind w:left="878" w:hanging="453"/>
      </w:pPr>
      <w:rPr>
        <w:rFonts w:cs="David" w:hint="default"/>
        <w:b w:val="0"/>
        <w:bCs w:val="0"/>
        <w:lang w:bidi="he-IL"/>
      </w:rPr>
    </w:lvl>
    <w:lvl w:ilvl="3">
      <w:start w:val="1"/>
      <w:numFmt w:val="decimal"/>
      <w:lvlText w:val="%4)"/>
      <w:lvlJc w:val="left"/>
      <w:pPr>
        <w:tabs>
          <w:tab w:val="num" w:pos="1440"/>
        </w:tabs>
        <w:ind w:left="1440" w:hanging="360"/>
      </w:pPr>
      <w:rPr>
        <w:rFonts w:hint="default"/>
        <w:b w:val="0"/>
        <w:bCs w:val="0"/>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num w:numId="1">
    <w:abstractNumId w:val="7"/>
  </w:num>
  <w:num w:numId="2">
    <w:abstractNumId w:val="27"/>
  </w:num>
  <w:num w:numId="3">
    <w:abstractNumId w:val="1"/>
  </w:num>
  <w:num w:numId="4">
    <w:abstractNumId w:val="2"/>
  </w:num>
  <w:num w:numId="5">
    <w:abstractNumId w:val="0"/>
  </w:num>
  <w:num w:numId="6">
    <w:abstractNumId w:val="19"/>
  </w:num>
  <w:num w:numId="7">
    <w:abstractNumId w:val="25"/>
  </w:num>
  <w:num w:numId="8">
    <w:abstractNumId w:val="34"/>
  </w:num>
  <w:num w:numId="9">
    <w:abstractNumId w:val="11"/>
  </w:num>
  <w:num w:numId="10">
    <w:abstractNumId w:val="29"/>
  </w:num>
  <w:num w:numId="11">
    <w:abstractNumId w:val="6"/>
  </w:num>
  <w:num w:numId="12">
    <w:abstractNumId w:val="18"/>
  </w:num>
  <w:num w:numId="13">
    <w:abstractNumId w:val="8"/>
  </w:num>
  <w:num w:numId="14">
    <w:abstractNumId w:val="30"/>
  </w:num>
  <w:num w:numId="15">
    <w:abstractNumId w:val="22"/>
  </w:num>
  <w:num w:numId="16">
    <w:abstractNumId w:val="32"/>
  </w:num>
  <w:num w:numId="17">
    <w:abstractNumId w:val="28"/>
  </w:num>
  <w:num w:numId="18">
    <w:abstractNumId w:val="13"/>
  </w:num>
  <w:num w:numId="19">
    <w:abstractNumId w:val="14"/>
  </w:num>
  <w:num w:numId="20">
    <w:abstractNumId w:val="31"/>
  </w:num>
  <w:num w:numId="21">
    <w:abstractNumId w:val="35"/>
  </w:num>
  <w:num w:numId="22">
    <w:abstractNumId w:val="17"/>
  </w:num>
  <w:num w:numId="23">
    <w:abstractNumId w:val="9"/>
  </w:num>
  <w:num w:numId="24">
    <w:abstractNumId w:val="4"/>
  </w:num>
  <w:num w:numId="25">
    <w:abstractNumId w:val="21"/>
  </w:num>
  <w:num w:numId="26">
    <w:abstractNumId w:val="20"/>
  </w:num>
  <w:num w:numId="27">
    <w:abstractNumId w:val="33"/>
  </w:num>
  <w:num w:numId="28">
    <w:abstractNumId w:val="16"/>
  </w:num>
  <w:num w:numId="29">
    <w:abstractNumId w:val="3"/>
  </w:num>
  <w:num w:numId="30">
    <w:abstractNumId w:val="12"/>
  </w:num>
  <w:num w:numId="31">
    <w:abstractNumId w:val="26"/>
  </w:num>
  <w:num w:numId="32">
    <w:abstractNumId w:val="24"/>
  </w:num>
  <w:num w:numId="33">
    <w:abstractNumId w:val="23"/>
  </w:num>
  <w:num w:numId="34">
    <w:abstractNumId w:val="15"/>
  </w:num>
  <w:num w:numId="35">
    <w:abstractNumId w:val="10"/>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5A5"/>
    <w:rsid w:val="0001129C"/>
    <w:rsid w:val="00014182"/>
    <w:rsid w:val="000168BA"/>
    <w:rsid w:val="00030376"/>
    <w:rsid w:val="000336AB"/>
    <w:rsid w:val="00047C97"/>
    <w:rsid w:val="000520B7"/>
    <w:rsid w:val="000568CE"/>
    <w:rsid w:val="00066383"/>
    <w:rsid w:val="000834CB"/>
    <w:rsid w:val="00093B9D"/>
    <w:rsid w:val="000C04AE"/>
    <w:rsid w:val="000C1B22"/>
    <w:rsid w:val="000E49D1"/>
    <w:rsid w:val="000E6098"/>
    <w:rsid w:val="000E632C"/>
    <w:rsid w:val="0010326C"/>
    <w:rsid w:val="0015613D"/>
    <w:rsid w:val="001611C6"/>
    <w:rsid w:val="00164B30"/>
    <w:rsid w:val="0018292D"/>
    <w:rsid w:val="001950E2"/>
    <w:rsid w:val="001A7C42"/>
    <w:rsid w:val="001B35A1"/>
    <w:rsid w:val="001C4F6D"/>
    <w:rsid w:val="001D55DD"/>
    <w:rsid w:val="001E548A"/>
    <w:rsid w:val="001F280F"/>
    <w:rsid w:val="001F56BA"/>
    <w:rsid w:val="002158DE"/>
    <w:rsid w:val="00224209"/>
    <w:rsid w:val="00232A23"/>
    <w:rsid w:val="00275887"/>
    <w:rsid w:val="00276B14"/>
    <w:rsid w:val="002973B2"/>
    <w:rsid w:val="002A54A3"/>
    <w:rsid w:val="002A6A26"/>
    <w:rsid w:val="002A7FEA"/>
    <w:rsid w:val="002E1414"/>
    <w:rsid w:val="002E38F4"/>
    <w:rsid w:val="002F197C"/>
    <w:rsid w:val="00314D66"/>
    <w:rsid w:val="00325E01"/>
    <w:rsid w:val="00332CC8"/>
    <w:rsid w:val="003424AE"/>
    <w:rsid w:val="003522AB"/>
    <w:rsid w:val="00352E10"/>
    <w:rsid w:val="00354399"/>
    <w:rsid w:val="00356AEF"/>
    <w:rsid w:val="00361114"/>
    <w:rsid w:val="0038338B"/>
    <w:rsid w:val="003840FE"/>
    <w:rsid w:val="00393C6A"/>
    <w:rsid w:val="003A1D7A"/>
    <w:rsid w:val="003A6F91"/>
    <w:rsid w:val="003B297A"/>
    <w:rsid w:val="003C3A5C"/>
    <w:rsid w:val="003D1DA1"/>
    <w:rsid w:val="003F1396"/>
    <w:rsid w:val="0040055E"/>
    <w:rsid w:val="00423D6A"/>
    <w:rsid w:val="00426E0E"/>
    <w:rsid w:val="004323EF"/>
    <w:rsid w:val="004410DE"/>
    <w:rsid w:val="0044663B"/>
    <w:rsid w:val="00451F2E"/>
    <w:rsid w:val="004523EB"/>
    <w:rsid w:val="00452D7A"/>
    <w:rsid w:val="00453C8E"/>
    <w:rsid w:val="004C127D"/>
    <w:rsid w:val="004C4F88"/>
    <w:rsid w:val="004C5538"/>
    <w:rsid w:val="004D65A1"/>
    <w:rsid w:val="004E479D"/>
    <w:rsid w:val="004F3773"/>
    <w:rsid w:val="005028F9"/>
    <w:rsid w:val="00505D36"/>
    <w:rsid w:val="00507C7F"/>
    <w:rsid w:val="005101E5"/>
    <w:rsid w:val="00515321"/>
    <w:rsid w:val="00515E5C"/>
    <w:rsid w:val="00534452"/>
    <w:rsid w:val="005371D8"/>
    <w:rsid w:val="00556BE2"/>
    <w:rsid w:val="00561A04"/>
    <w:rsid w:val="005B1A58"/>
    <w:rsid w:val="005B719D"/>
    <w:rsid w:val="005D42E4"/>
    <w:rsid w:val="00600BFA"/>
    <w:rsid w:val="00600F1F"/>
    <w:rsid w:val="00602DAD"/>
    <w:rsid w:val="006309B0"/>
    <w:rsid w:val="00633445"/>
    <w:rsid w:val="00663C18"/>
    <w:rsid w:val="0066664E"/>
    <w:rsid w:val="006901DA"/>
    <w:rsid w:val="00692C69"/>
    <w:rsid w:val="006952CA"/>
    <w:rsid w:val="00697EC5"/>
    <w:rsid w:val="006A13C9"/>
    <w:rsid w:val="006A2503"/>
    <w:rsid w:val="006A5446"/>
    <w:rsid w:val="006B33C1"/>
    <w:rsid w:val="006B352E"/>
    <w:rsid w:val="006C55AF"/>
    <w:rsid w:val="006D0744"/>
    <w:rsid w:val="006D686D"/>
    <w:rsid w:val="006E368B"/>
    <w:rsid w:val="006E5942"/>
    <w:rsid w:val="00706164"/>
    <w:rsid w:val="00731737"/>
    <w:rsid w:val="00735D55"/>
    <w:rsid w:val="00743491"/>
    <w:rsid w:val="00743847"/>
    <w:rsid w:val="0074600A"/>
    <w:rsid w:val="00751B50"/>
    <w:rsid w:val="00754411"/>
    <w:rsid w:val="00757313"/>
    <w:rsid w:val="00757879"/>
    <w:rsid w:val="007611DA"/>
    <w:rsid w:val="007765EA"/>
    <w:rsid w:val="00793E5C"/>
    <w:rsid w:val="007A149B"/>
    <w:rsid w:val="007A373A"/>
    <w:rsid w:val="007A4923"/>
    <w:rsid w:val="007D4118"/>
    <w:rsid w:val="007E2692"/>
    <w:rsid w:val="007F6F02"/>
    <w:rsid w:val="0080160A"/>
    <w:rsid w:val="008017DE"/>
    <w:rsid w:val="0081150D"/>
    <w:rsid w:val="00814E02"/>
    <w:rsid w:val="0082739B"/>
    <w:rsid w:val="008408C4"/>
    <w:rsid w:val="0084517B"/>
    <w:rsid w:val="00864DB3"/>
    <w:rsid w:val="00867AE5"/>
    <w:rsid w:val="00870D8A"/>
    <w:rsid w:val="00884C53"/>
    <w:rsid w:val="008B39D7"/>
    <w:rsid w:val="008E77BE"/>
    <w:rsid w:val="00910BC9"/>
    <w:rsid w:val="00914623"/>
    <w:rsid w:val="00915C9A"/>
    <w:rsid w:val="00935E81"/>
    <w:rsid w:val="00936032"/>
    <w:rsid w:val="009435A5"/>
    <w:rsid w:val="009640A5"/>
    <w:rsid w:val="00986444"/>
    <w:rsid w:val="00990A24"/>
    <w:rsid w:val="009957A5"/>
    <w:rsid w:val="009B2807"/>
    <w:rsid w:val="009B64FE"/>
    <w:rsid w:val="009D280C"/>
    <w:rsid w:val="009E52B5"/>
    <w:rsid w:val="009F7F7A"/>
    <w:rsid w:val="00A107C5"/>
    <w:rsid w:val="00A15876"/>
    <w:rsid w:val="00A15D5D"/>
    <w:rsid w:val="00A30921"/>
    <w:rsid w:val="00A34327"/>
    <w:rsid w:val="00A52461"/>
    <w:rsid w:val="00A5751E"/>
    <w:rsid w:val="00A67A4F"/>
    <w:rsid w:val="00A7396A"/>
    <w:rsid w:val="00A73972"/>
    <w:rsid w:val="00A84333"/>
    <w:rsid w:val="00A84591"/>
    <w:rsid w:val="00A84658"/>
    <w:rsid w:val="00AA4752"/>
    <w:rsid w:val="00AB679D"/>
    <w:rsid w:val="00AD0167"/>
    <w:rsid w:val="00AD7B1F"/>
    <w:rsid w:val="00AF1C47"/>
    <w:rsid w:val="00B03E2B"/>
    <w:rsid w:val="00B041F7"/>
    <w:rsid w:val="00B311D4"/>
    <w:rsid w:val="00B429D7"/>
    <w:rsid w:val="00B60EE6"/>
    <w:rsid w:val="00B67385"/>
    <w:rsid w:val="00B93390"/>
    <w:rsid w:val="00B93A25"/>
    <w:rsid w:val="00BB3047"/>
    <w:rsid w:val="00BB393A"/>
    <w:rsid w:val="00BB3A2F"/>
    <w:rsid w:val="00BD67E7"/>
    <w:rsid w:val="00C01906"/>
    <w:rsid w:val="00C171DC"/>
    <w:rsid w:val="00C24D54"/>
    <w:rsid w:val="00C27AC8"/>
    <w:rsid w:val="00C37F33"/>
    <w:rsid w:val="00C51E16"/>
    <w:rsid w:val="00C8311A"/>
    <w:rsid w:val="00C84ABA"/>
    <w:rsid w:val="00CA61AF"/>
    <w:rsid w:val="00CB40A4"/>
    <w:rsid w:val="00CC31FA"/>
    <w:rsid w:val="00CC356E"/>
    <w:rsid w:val="00CD6DB8"/>
    <w:rsid w:val="00CE0517"/>
    <w:rsid w:val="00CF44BB"/>
    <w:rsid w:val="00CF47FC"/>
    <w:rsid w:val="00D04970"/>
    <w:rsid w:val="00D33979"/>
    <w:rsid w:val="00D40E00"/>
    <w:rsid w:val="00D66453"/>
    <w:rsid w:val="00D731DA"/>
    <w:rsid w:val="00D969C1"/>
    <w:rsid w:val="00DD5320"/>
    <w:rsid w:val="00DE069A"/>
    <w:rsid w:val="00DE5E5C"/>
    <w:rsid w:val="00DE7CC8"/>
    <w:rsid w:val="00DF59E7"/>
    <w:rsid w:val="00DF73FF"/>
    <w:rsid w:val="00E11610"/>
    <w:rsid w:val="00E25AA4"/>
    <w:rsid w:val="00E34D1B"/>
    <w:rsid w:val="00E41B31"/>
    <w:rsid w:val="00E50DEF"/>
    <w:rsid w:val="00E56588"/>
    <w:rsid w:val="00E95EEF"/>
    <w:rsid w:val="00EA6729"/>
    <w:rsid w:val="00EA6C2C"/>
    <w:rsid w:val="00EC303E"/>
    <w:rsid w:val="00EF71D7"/>
    <w:rsid w:val="00F00D41"/>
    <w:rsid w:val="00F0592A"/>
    <w:rsid w:val="00F05FE9"/>
    <w:rsid w:val="00F16E3B"/>
    <w:rsid w:val="00F25ABF"/>
    <w:rsid w:val="00F509E4"/>
    <w:rsid w:val="00F74EF7"/>
    <w:rsid w:val="00F77EB9"/>
    <w:rsid w:val="00F80DA7"/>
    <w:rsid w:val="00F852EE"/>
    <w:rsid w:val="00F975CB"/>
    <w:rsid w:val="00FD7A54"/>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Balloon Text" w:uiPriority="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9435A5"/>
    <w:pPr>
      <w:tabs>
        <w:tab w:val="center" w:pos="4320"/>
        <w:tab w:val="right" w:pos="8640"/>
      </w:tabs>
    </w:pPr>
  </w:style>
  <w:style w:type="character" w:customStyle="1" w:styleId="a9">
    <w:name w:val="כותרת עליונה תו"/>
    <w:basedOn w:val="a0"/>
    <w:link w:val="a8"/>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 w:type="numbering" w:customStyle="1" w:styleId="11">
    <w:name w:val="ללא רשימה1"/>
    <w:next w:val="a2"/>
    <w:uiPriority w:val="99"/>
    <w:semiHidden/>
    <w:unhideWhenUsed/>
    <w:rsid w:val="0038338B"/>
  </w:style>
  <w:style w:type="numbering" w:customStyle="1" w:styleId="-1">
    <w:name w:val="משרד האוצר - מדורג1"/>
    <w:uiPriority w:val="99"/>
    <w:rsid w:val="0038338B"/>
  </w:style>
  <w:style w:type="numbering" w:customStyle="1" w:styleId="-10">
    <w:name w:val="משרד האוצר - מדורג קצר1"/>
    <w:uiPriority w:val="99"/>
    <w:rsid w:val="0038338B"/>
  </w:style>
  <w:style w:type="character" w:customStyle="1" w:styleId="default">
    <w:name w:val="default"/>
    <w:rsid w:val="0038338B"/>
    <w:rPr>
      <w:rFonts w:ascii="Times New Roman" w:hAnsi="Times New Roman" w:cs="Times New Roman"/>
      <w:sz w:val="26"/>
      <w:szCs w:val="26"/>
    </w:rPr>
  </w:style>
  <w:style w:type="paragraph" w:customStyle="1" w:styleId="P00">
    <w:name w:val="P00"/>
    <w:rsid w:val="0038338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styleId="FollowedHyperlink">
    <w:name w:val="FollowedHyperlink"/>
    <w:uiPriority w:val="99"/>
    <w:semiHidden/>
    <w:unhideWhenUsed/>
    <w:rsid w:val="0038338B"/>
    <w:rPr>
      <w:color w:val="800080"/>
      <w:u w:val="single"/>
    </w:rPr>
  </w:style>
  <w:style w:type="character" w:styleId="af">
    <w:name w:val="annotation reference"/>
    <w:uiPriority w:val="99"/>
    <w:semiHidden/>
    <w:unhideWhenUsed/>
    <w:rsid w:val="0038338B"/>
    <w:rPr>
      <w:sz w:val="16"/>
      <w:szCs w:val="16"/>
    </w:rPr>
  </w:style>
  <w:style w:type="paragraph" w:styleId="af0">
    <w:name w:val="annotation text"/>
    <w:basedOn w:val="a"/>
    <w:link w:val="af1"/>
    <w:uiPriority w:val="99"/>
    <w:semiHidden/>
    <w:unhideWhenUsed/>
    <w:rsid w:val="0038338B"/>
    <w:pPr>
      <w:overflowPunct/>
      <w:autoSpaceDE/>
      <w:autoSpaceDN/>
      <w:adjustRightInd/>
      <w:jc w:val="both"/>
      <w:textAlignment w:val="auto"/>
    </w:pPr>
    <w:rPr>
      <w:rFonts w:cs="FrankRuehl"/>
      <w:szCs w:val="20"/>
    </w:rPr>
  </w:style>
  <w:style w:type="character" w:customStyle="1" w:styleId="af1">
    <w:name w:val="טקסט הערה תו"/>
    <w:basedOn w:val="a0"/>
    <w:link w:val="af0"/>
    <w:uiPriority w:val="99"/>
    <w:semiHidden/>
    <w:rsid w:val="0038338B"/>
    <w:rPr>
      <w:rFonts w:ascii="Times New Roman" w:eastAsia="Times New Roman" w:hAnsi="Times New Roman" w:cs="FrankRuehl"/>
      <w:sz w:val="20"/>
      <w:szCs w:val="20"/>
      <w:lang w:eastAsia="he-IL"/>
    </w:rPr>
  </w:style>
  <w:style w:type="paragraph" w:styleId="af2">
    <w:name w:val="annotation subject"/>
    <w:basedOn w:val="af0"/>
    <w:next w:val="af0"/>
    <w:link w:val="af3"/>
    <w:uiPriority w:val="99"/>
    <w:semiHidden/>
    <w:unhideWhenUsed/>
    <w:rsid w:val="006E368B"/>
    <w:pPr>
      <w:overflowPunct w:val="0"/>
      <w:autoSpaceDE w:val="0"/>
      <w:autoSpaceDN w:val="0"/>
      <w:adjustRightInd w:val="0"/>
      <w:jc w:val="left"/>
      <w:textAlignment w:val="baseline"/>
    </w:pPr>
    <w:rPr>
      <w:rFonts w:cs="David"/>
      <w:b/>
      <w:bCs/>
    </w:rPr>
  </w:style>
  <w:style w:type="character" w:customStyle="1" w:styleId="af3">
    <w:name w:val="נושא הערה תו"/>
    <w:basedOn w:val="af1"/>
    <w:link w:val="af2"/>
    <w:uiPriority w:val="99"/>
    <w:semiHidden/>
    <w:rsid w:val="006E368B"/>
    <w:rPr>
      <w:rFonts w:ascii="Times New Roman" w:eastAsia="Times New Roman" w:hAnsi="Times New Roman" w:cs="David"/>
      <w:b/>
      <w:bCs/>
      <w:sz w:val="20"/>
      <w:szCs w:val="20"/>
      <w:lang w:eastAsia="he-IL"/>
    </w:rPr>
  </w:style>
  <w:style w:type="paragraph" w:styleId="af4">
    <w:name w:val="Revision"/>
    <w:hidden/>
    <w:uiPriority w:val="99"/>
    <w:semiHidden/>
    <w:rsid w:val="008017DE"/>
    <w:pPr>
      <w:spacing w:before="0" w:after="0" w:line="240" w:lineRule="auto"/>
    </w:pPr>
    <w:rPr>
      <w:rFonts w:ascii="Times New Roman" w:eastAsia="Times New Roman" w:hAnsi="Times New Roman" w:cs="David"/>
      <w:sz w:val="20"/>
      <w:szCs w:val="24"/>
      <w:lang w:eastAsia="he-IL"/>
    </w:rPr>
  </w:style>
  <w:style w:type="paragraph" w:styleId="af5">
    <w:name w:val="footnote text"/>
    <w:basedOn w:val="a"/>
    <w:link w:val="af6"/>
    <w:uiPriority w:val="99"/>
    <w:semiHidden/>
    <w:unhideWhenUsed/>
    <w:rsid w:val="0074600A"/>
    <w:rPr>
      <w:szCs w:val="20"/>
    </w:rPr>
  </w:style>
  <w:style w:type="character" w:customStyle="1" w:styleId="af6">
    <w:name w:val="טקסט הערת שוליים תו"/>
    <w:basedOn w:val="a0"/>
    <w:link w:val="af5"/>
    <w:uiPriority w:val="99"/>
    <w:semiHidden/>
    <w:rsid w:val="0074600A"/>
    <w:rPr>
      <w:rFonts w:ascii="Times New Roman" w:eastAsia="Times New Roman" w:hAnsi="Times New Roman" w:cs="David"/>
      <w:sz w:val="20"/>
      <w:szCs w:val="20"/>
      <w:lang w:eastAsia="he-IL"/>
    </w:rPr>
  </w:style>
  <w:style w:type="character" w:styleId="af7">
    <w:name w:val="footnote reference"/>
    <w:basedOn w:val="a0"/>
    <w:uiPriority w:val="99"/>
    <w:semiHidden/>
    <w:unhideWhenUsed/>
    <w:rsid w:val="0074600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Balloon Text" w:uiPriority="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9435A5"/>
    <w:pPr>
      <w:tabs>
        <w:tab w:val="center" w:pos="4320"/>
        <w:tab w:val="right" w:pos="8640"/>
      </w:tabs>
    </w:pPr>
  </w:style>
  <w:style w:type="character" w:customStyle="1" w:styleId="a9">
    <w:name w:val="כותרת עליונה תו"/>
    <w:basedOn w:val="a0"/>
    <w:link w:val="a8"/>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 w:type="numbering" w:customStyle="1" w:styleId="11">
    <w:name w:val="ללא רשימה1"/>
    <w:next w:val="a2"/>
    <w:uiPriority w:val="99"/>
    <w:semiHidden/>
    <w:unhideWhenUsed/>
    <w:rsid w:val="0038338B"/>
  </w:style>
  <w:style w:type="numbering" w:customStyle="1" w:styleId="-1">
    <w:name w:val="משרד האוצר - מדורג1"/>
    <w:uiPriority w:val="99"/>
    <w:rsid w:val="0038338B"/>
  </w:style>
  <w:style w:type="numbering" w:customStyle="1" w:styleId="-10">
    <w:name w:val="משרד האוצר - מדורג קצר1"/>
    <w:uiPriority w:val="99"/>
    <w:rsid w:val="0038338B"/>
  </w:style>
  <w:style w:type="character" w:customStyle="1" w:styleId="default">
    <w:name w:val="default"/>
    <w:rsid w:val="0038338B"/>
    <w:rPr>
      <w:rFonts w:ascii="Times New Roman" w:hAnsi="Times New Roman" w:cs="Times New Roman"/>
      <w:sz w:val="26"/>
      <w:szCs w:val="26"/>
    </w:rPr>
  </w:style>
  <w:style w:type="paragraph" w:customStyle="1" w:styleId="P00">
    <w:name w:val="P00"/>
    <w:rsid w:val="0038338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styleId="FollowedHyperlink">
    <w:name w:val="FollowedHyperlink"/>
    <w:uiPriority w:val="99"/>
    <w:semiHidden/>
    <w:unhideWhenUsed/>
    <w:rsid w:val="0038338B"/>
    <w:rPr>
      <w:color w:val="800080"/>
      <w:u w:val="single"/>
    </w:rPr>
  </w:style>
  <w:style w:type="character" w:styleId="af">
    <w:name w:val="annotation reference"/>
    <w:uiPriority w:val="99"/>
    <w:semiHidden/>
    <w:unhideWhenUsed/>
    <w:rsid w:val="0038338B"/>
    <w:rPr>
      <w:sz w:val="16"/>
      <w:szCs w:val="16"/>
    </w:rPr>
  </w:style>
  <w:style w:type="paragraph" w:styleId="af0">
    <w:name w:val="annotation text"/>
    <w:basedOn w:val="a"/>
    <w:link w:val="af1"/>
    <w:uiPriority w:val="99"/>
    <w:semiHidden/>
    <w:unhideWhenUsed/>
    <w:rsid w:val="0038338B"/>
    <w:pPr>
      <w:overflowPunct/>
      <w:autoSpaceDE/>
      <w:autoSpaceDN/>
      <w:adjustRightInd/>
      <w:jc w:val="both"/>
      <w:textAlignment w:val="auto"/>
    </w:pPr>
    <w:rPr>
      <w:rFonts w:cs="FrankRuehl"/>
      <w:szCs w:val="20"/>
    </w:rPr>
  </w:style>
  <w:style w:type="character" w:customStyle="1" w:styleId="af1">
    <w:name w:val="טקסט הערה תו"/>
    <w:basedOn w:val="a0"/>
    <w:link w:val="af0"/>
    <w:uiPriority w:val="99"/>
    <w:semiHidden/>
    <w:rsid w:val="0038338B"/>
    <w:rPr>
      <w:rFonts w:ascii="Times New Roman" w:eastAsia="Times New Roman" w:hAnsi="Times New Roman" w:cs="FrankRuehl"/>
      <w:sz w:val="20"/>
      <w:szCs w:val="20"/>
      <w:lang w:eastAsia="he-IL"/>
    </w:rPr>
  </w:style>
  <w:style w:type="paragraph" w:styleId="af2">
    <w:name w:val="annotation subject"/>
    <w:basedOn w:val="af0"/>
    <w:next w:val="af0"/>
    <w:link w:val="af3"/>
    <w:uiPriority w:val="99"/>
    <w:semiHidden/>
    <w:unhideWhenUsed/>
    <w:rsid w:val="006E368B"/>
    <w:pPr>
      <w:overflowPunct w:val="0"/>
      <w:autoSpaceDE w:val="0"/>
      <w:autoSpaceDN w:val="0"/>
      <w:adjustRightInd w:val="0"/>
      <w:jc w:val="left"/>
      <w:textAlignment w:val="baseline"/>
    </w:pPr>
    <w:rPr>
      <w:rFonts w:cs="David"/>
      <w:b/>
      <w:bCs/>
    </w:rPr>
  </w:style>
  <w:style w:type="character" w:customStyle="1" w:styleId="af3">
    <w:name w:val="נושא הערה תו"/>
    <w:basedOn w:val="af1"/>
    <w:link w:val="af2"/>
    <w:uiPriority w:val="99"/>
    <w:semiHidden/>
    <w:rsid w:val="006E368B"/>
    <w:rPr>
      <w:rFonts w:ascii="Times New Roman" w:eastAsia="Times New Roman" w:hAnsi="Times New Roman" w:cs="David"/>
      <w:b/>
      <w:bCs/>
      <w:sz w:val="20"/>
      <w:szCs w:val="20"/>
      <w:lang w:eastAsia="he-IL"/>
    </w:rPr>
  </w:style>
  <w:style w:type="paragraph" w:styleId="af4">
    <w:name w:val="Revision"/>
    <w:hidden/>
    <w:uiPriority w:val="99"/>
    <w:semiHidden/>
    <w:rsid w:val="008017DE"/>
    <w:pPr>
      <w:spacing w:before="0" w:after="0" w:line="240" w:lineRule="auto"/>
    </w:pPr>
    <w:rPr>
      <w:rFonts w:ascii="Times New Roman" w:eastAsia="Times New Roman" w:hAnsi="Times New Roman" w:cs="David"/>
      <w:sz w:val="20"/>
      <w:szCs w:val="24"/>
      <w:lang w:eastAsia="he-IL"/>
    </w:rPr>
  </w:style>
  <w:style w:type="paragraph" w:styleId="af5">
    <w:name w:val="footnote text"/>
    <w:basedOn w:val="a"/>
    <w:link w:val="af6"/>
    <w:uiPriority w:val="99"/>
    <w:semiHidden/>
    <w:unhideWhenUsed/>
    <w:rsid w:val="0074600A"/>
    <w:rPr>
      <w:szCs w:val="20"/>
    </w:rPr>
  </w:style>
  <w:style w:type="character" w:customStyle="1" w:styleId="af6">
    <w:name w:val="טקסט הערת שוליים תו"/>
    <w:basedOn w:val="a0"/>
    <w:link w:val="af5"/>
    <w:uiPriority w:val="99"/>
    <w:semiHidden/>
    <w:rsid w:val="0074600A"/>
    <w:rPr>
      <w:rFonts w:ascii="Times New Roman" w:eastAsia="Times New Roman" w:hAnsi="Times New Roman" w:cs="David"/>
      <w:sz w:val="20"/>
      <w:szCs w:val="20"/>
      <w:lang w:eastAsia="he-IL"/>
    </w:rPr>
  </w:style>
  <w:style w:type="character" w:styleId="af7">
    <w:name w:val="footnote reference"/>
    <w:basedOn w:val="a0"/>
    <w:uiPriority w:val="99"/>
    <w:semiHidden/>
    <w:unhideWhenUsed/>
    <w:rsid w:val="007460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6FDA8B39079CB64BAC559E1752826592" ma:contentTypeVersion="4" ma:contentTypeDescription="צור מסמך חדש." ma:contentTypeScope="" ma:versionID="8ff6c565afecc61bbf55733b550bf441">
  <xsd:schema xmlns:xsd="http://www.w3.org/2001/XMLSchema" xmlns:xs="http://www.w3.org/2001/XMLSchema" xmlns:p="http://schemas.microsoft.com/office/2006/metadata/properties" xmlns:ns1="http://schemas.microsoft.com/sharepoint/v3" xmlns:ns2="a46656d4-8850-49b3-aebd-68bd05f7f43d" targetNamespace="http://schemas.microsoft.com/office/2006/metadata/properties" ma:root="true" ma:fieldsID="dd568f90d89ff33af41bf918545bb213" ns1:_="" ns2:_="">
    <xsd:import namespace="http://schemas.microsoft.com/sharepoint/v3"/>
    <xsd:import namespace="a46656d4-8850-49b3-aebd-68bd05f7f43d"/>
    <xsd:element name="properties">
      <xsd:complexType>
        <xsd:sequence>
          <xsd:element name="documentManagement">
            <xsd:complexType>
              <xsd:all>
                <xsd:element ref="ns2:ia53b9f18d984e01914f4b79710425b7" minOccurs="0"/>
                <xsd:element ref="ns2:TaxCatchAll" minOccurs="0"/>
                <xsd:element ref="ns2:TaxCatchAllLabel" minOccurs="0"/>
                <xsd:element ref="ns2:e4b5484c9c824b148c38bfcb2bd74c0d" minOccurs="0"/>
                <xsd:element ref="ns2:kb4cc1381c4248d7a2dfa3f1be0c86c0" minOccurs="0"/>
                <xsd:element ref="ns2:o80fb9e8b9d445b0bb174fdcd68ee89c" minOccurs="0"/>
                <xsd:element ref="ns2:l34dc5595392493c8311535275827f74" minOccurs="0"/>
                <xsd:element ref="ns2:j92457fac7d145f98e698f5712f6a6a4" minOccurs="0"/>
                <xsd:element ref="ns2:o68cd33f8d3a45abb273b6e406faee3d" minOccurs="0"/>
                <xsd:element ref="ns2:b76e59bb9f5947a781773f53cc6e9460" minOccurs="0"/>
                <xsd:element ref="ns2:e09eddfac2354f9ab04a226e27f86f1f" minOccurs="0"/>
                <xsd:element ref="ns2:aa1c885e8039426686f6c49672b09953" minOccurs="0"/>
                <xsd:element ref="ns2:n612d9597dc7466f957352ce79be86f3"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32"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33"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ia53b9f18d984e01914f4b79710425b7" ma:index="8" nillable="true" ma:taxonomy="true" ma:internalName="ia53b9f18d984e01914f4b79710425b7" ma:taxonomyFieldName="MMDAudience" ma:displayName="MMDAudience" ma:default="" ma:fieldId="{2a53b9f1-8d98-4e01-914f-4b79710425b7}" ma:taxonomyMulti="true" ma:sspId="d827811f-dea7-4a29-b54a-c9228db73c39" ma:termSetId="81e45943-23c2-4109-8875-059bec4079da" ma:anchorId="34070f2b-4092-41f2-8b6e-c220ee347e21" ma:open="false" ma:isKeyword="false">
      <xsd:complexType>
        <xsd:sequence>
          <xsd:element ref="pc:Terms" minOccurs="0" maxOccurs="1"/>
        </xsd:sequence>
      </xsd:complexType>
    </xsd:element>
    <xsd:element name="TaxCatchAll" ma:index="9" nillable="true" ma:displayName="עמודת 'תפוס הכל' של טקסונומיה" ma:description=""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עמודת 'תפוס הכל' של טקסונומיה1" ma:description=""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e4b5484c9c824b148c38bfcb2bd74c0d" ma:index="12" nillable="true" ma:taxonomy="true" ma:internalName="e4b5484c9c824b148c38bfcb2bd74c0d" ma:taxonomyFieldName="MMDJobDescription" ma:displayName="MMDJobDescription" ma:default="" ma:fieldId="{e4b5484c-9c82-4b14-8c38-bfcb2bd74c0d}" ma:sspId="d827811f-dea7-4a29-b54a-c9228db73c39" ma:termSetId="81e45943-23c2-4109-8875-059bec4079da" ma:anchorId="1a909479-0b01-4d8f-8fb7-cbbc1687e8f1" ma:open="false" ma:isKeyword="false">
      <xsd:complexType>
        <xsd:sequence>
          <xsd:element ref="pc:Terms" minOccurs="0" maxOccurs="1"/>
        </xsd:sequence>
      </xsd:complexType>
    </xsd:element>
    <xsd:element name="kb4cc1381c4248d7a2dfa3f1be0c86c0" ma:index="14" nillable="true" ma:taxonomy="true" ma:internalName="kb4cc1381c4248d7a2dfa3f1be0c86c0" ma:taxonomyFieldName="MMDKeywords" ma:displayName="MMDKeywords" ma:default="" ma:fieldId="{4b4cc138-1c42-48d7-a2df-a3f1be0c86c0}" ma:taxonomyMulti="true" ma:sspId="d827811f-dea7-4a29-b54a-c9228db73c39" ma:termSetId="81e45943-23c2-4109-8875-059bec4079da" ma:anchorId="15d331fa-6baa-448e-8759-7c342d8402ea" ma:open="false" ma:isKeyword="false">
      <xsd:complexType>
        <xsd:sequence>
          <xsd:element ref="pc:Terms" minOccurs="0" maxOccurs="1"/>
        </xsd:sequence>
      </xsd:complexType>
    </xsd:element>
    <xsd:element name="o80fb9e8b9d445b0bb174fdcd68ee89c" ma:index="16" nillable="true" ma:taxonomy="true" ma:internalName="o80fb9e8b9d445b0bb174fdcd68ee89c" ma:taxonomyFieldName="MMDLiveEvent" ma:displayName="MMDLiveEvent" ma:default="" ma:fieldId="{880fb9e8-b9d4-45b0-bb17-4fdcd68ee89c}" ma:sspId="d827811f-dea7-4a29-b54a-c9228db73c39" ma:termSetId="81e45943-23c2-4109-8875-059bec4079da" ma:anchorId="5e8b8ad0-eeb0-4bda-9bef-7517a1f3340f" ma:open="false" ma:isKeyword="false">
      <xsd:complexType>
        <xsd:sequence>
          <xsd:element ref="pc:Terms" minOccurs="0" maxOccurs="1"/>
        </xsd:sequence>
      </xsd:complexType>
    </xsd:element>
    <xsd:element name="l34dc5595392493c8311535275827f74" ma:index="18" nillable="true" ma:taxonomy="true" ma:internalName="l34dc5595392493c8311535275827f74" ma:taxonomyFieldName="MMDResponsibleOffice" ma:displayName="MMDResponsibleOffice" ma:default="" ma:fieldId="{534dc559-5392-493c-8311-535275827f74}" ma:sspId="d827811f-dea7-4a29-b54a-c9228db73c39" ma:termSetId="81e45943-23c2-4109-8875-059bec4079da" ma:anchorId="23eeccfc-9988-4d51-b789-d1a77ea8348c" ma:open="false" ma:isKeyword="false">
      <xsd:complexType>
        <xsd:sequence>
          <xsd:element ref="pc:Terms" minOccurs="0" maxOccurs="1"/>
        </xsd:sequence>
      </xsd:complexType>
    </xsd:element>
    <xsd:element name="j92457fac7d145f98e698f5712f6a6a4" ma:index="20" nillable="true" ma:taxonomy="true" ma:internalName="j92457fac7d145f98e698f5712f6a6a4" ma:taxonomyFieldName="MMDResponsibleUnit" ma:displayName="MMDResponsibleUnit" ma:default="" ma:fieldId="{392457fa-c7d1-45f9-8e69-8f5712f6a6a4}" ma:sspId="d827811f-dea7-4a29-b54a-c9228db73c39" ma:termSetId="81e45943-23c2-4109-8875-059bec4079da" ma:anchorId="3bdf475d-e38d-4b34-8299-73c2066d8322" ma:open="false" ma:isKeyword="false">
      <xsd:complexType>
        <xsd:sequence>
          <xsd:element ref="pc:Terms" minOccurs="0" maxOccurs="1"/>
        </xsd:sequence>
      </xsd:complexType>
    </xsd:element>
    <xsd:element name="o68cd33f8d3a45abb273b6e406faee3d" ma:index="22" nillable="true" ma:taxonomy="true" ma:internalName="o68cd33f8d3a45abb273b6e406faee3d" ma:taxonomyFieldName="MMDServiceLang" ma:displayName="MMDServiceLang" ma:default="" ma:fieldId="{868cd33f-8d3a-45ab-b273-b6e406faee3d}" ma:sspId="d827811f-dea7-4a29-b54a-c9228db73c39" ma:termSetId="81e45943-23c2-4109-8875-059bec4079da" ma:anchorId="f399919e-8697-409a-aaea-d4e5d2844d8b" ma:open="false" ma:isKeyword="false">
      <xsd:complexType>
        <xsd:sequence>
          <xsd:element ref="pc:Terms" minOccurs="0" maxOccurs="1"/>
        </xsd:sequence>
      </xsd:complexType>
    </xsd:element>
    <xsd:element name="b76e59bb9f5947a781773f53cc6e9460" ma:index="24" nillable="true" ma:taxonomy="true" ma:internalName="b76e59bb9f5947a781773f53cc6e9460" ma:taxonomyFieldName="MMDStatus" ma:displayName="MMDStatus" ma:default="" ma:fieldId="{b76e59bb-9f59-47a7-8177-3f53cc6e9460}" ma:sspId="d827811f-dea7-4a29-b54a-c9228db73c39" ma:termSetId="81e45943-23c2-4109-8875-059bec4079da" ma:anchorId="16fb90fa-07e3-45cb-b262-12779a7ad9f7" ma:open="false" ma:isKeyword="false">
      <xsd:complexType>
        <xsd:sequence>
          <xsd:element ref="pc:Terms" minOccurs="0" maxOccurs="1"/>
        </xsd:sequence>
      </xsd:complexType>
    </xsd:element>
    <xsd:element name="e09eddfac2354f9ab04a226e27f86f1f" ma:index="26" nillable="true" ma:taxonomy="true" ma:internalName="e09eddfac2354f9ab04a226e27f86f1f" ma:taxonomyFieldName="MMDSubjects" ma:displayName="MMD נושאים" ma:default="" ma:fieldId="{e09eddfa-c235-4f9a-b04a-226e27f86f1f}" ma:taxonomyMulti="true" ma:sspId="d827811f-dea7-4a29-b54a-c9228db73c39" ma:termSetId="81e45943-23c2-4109-8875-059bec4079da" ma:anchorId="fe51dda7-6a1b-4b64-af2c-7200e1ef7e7a" ma:open="false" ma:isKeyword="false">
      <xsd:complexType>
        <xsd:sequence>
          <xsd:element ref="pc:Terms" minOccurs="0" maxOccurs="1"/>
        </xsd:sequence>
      </xsd:complexType>
    </xsd:element>
    <xsd:element name="aa1c885e8039426686f6c49672b09953" ma:index="28" nillable="true" ma:taxonomy="true" ma:internalName="aa1c885e8039426686f6c49672b09953" ma:taxonomyFieldName="MMDTypes" ma:displayName="MMDTypes" ma:default="" ma:fieldId="{aa1c885e-8039-4266-86f6-c49672b09953}" ma:sspId="d827811f-dea7-4a29-b54a-c9228db73c39" ma:termSetId="81e45943-23c2-4109-8875-059bec4079da" ma:anchorId="226f2308-be0c-4e06-b36e-423ee4befb74" ma:open="false" ma:isKeyword="false">
      <xsd:complexType>
        <xsd:sequence>
          <xsd:element ref="pc:Terms" minOccurs="0" maxOccurs="1"/>
        </xsd:sequence>
      </xsd:complexType>
    </xsd:element>
    <xsd:element name="n612d9597dc7466f957352ce79be86f3" ma:index="30" nillable="true" ma:taxonomy="true" ma:internalName="n612d9597dc7466f957352ce79be86f3" ma:taxonomyFieldName="MMDUnitsName" ma:displayName="MMDUnitsName" ma:default="" ma:fieldId="{7612d959-7dc7-466f-9573-52ce79be86f3}" ma:sspId="d827811f-dea7-4a29-b54a-c9228db73c39" ma:termSetId="81e45943-23c2-4109-8875-059bec4079da" ma:anchorId="625c2686-859d-4ced-94f0-7dded8208e47"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j92457fac7d145f98e698f5712f6a6a4 xmlns="a46656d4-8850-49b3-aebd-68bd05f7f43d">
      <Terms xmlns="http://schemas.microsoft.com/office/infopath/2007/PartnerControls"/>
    </j92457fac7d145f98e698f5712f6a6a4>
    <TaxCatchAll xmlns="a46656d4-8850-49b3-aebd-68bd05f7f43d"/>
    <e4b5484c9c824b148c38bfcb2bd74c0d xmlns="a46656d4-8850-49b3-aebd-68bd05f7f43d">
      <Terms xmlns="http://schemas.microsoft.com/office/infopath/2007/PartnerControls"/>
    </e4b5484c9c824b148c38bfcb2bd74c0d>
    <o68cd33f8d3a45abb273b6e406faee3d xmlns="a46656d4-8850-49b3-aebd-68bd05f7f43d">
      <Terms xmlns="http://schemas.microsoft.com/office/infopath/2007/PartnerControls"/>
    </o68cd33f8d3a45abb273b6e406faee3d>
    <kb4cc1381c4248d7a2dfa3f1be0c86c0 xmlns="a46656d4-8850-49b3-aebd-68bd05f7f43d">
      <Terms xmlns="http://schemas.microsoft.com/office/infopath/2007/PartnerControls"/>
    </kb4cc1381c4248d7a2dfa3f1be0c86c0>
    <o80fb9e8b9d445b0bb174fdcd68ee89c xmlns="a46656d4-8850-49b3-aebd-68bd05f7f43d">
      <Terms xmlns="http://schemas.microsoft.com/office/infopath/2007/PartnerControls"/>
    </o80fb9e8b9d445b0bb174fdcd68ee89c>
    <n612d9597dc7466f957352ce79be86f3 xmlns="a46656d4-8850-49b3-aebd-68bd05f7f43d">
      <Terms xmlns="http://schemas.microsoft.com/office/infopath/2007/PartnerControls"/>
    </n612d9597dc7466f957352ce79be86f3>
    <aa1c885e8039426686f6c49672b09953 xmlns="a46656d4-8850-49b3-aebd-68bd05f7f43d">
      <Terms xmlns="http://schemas.microsoft.com/office/infopath/2007/PartnerControls"/>
    </aa1c885e8039426686f6c49672b09953>
    <e09eddfac2354f9ab04a226e27f86f1f xmlns="a46656d4-8850-49b3-aebd-68bd05f7f43d">
      <Terms xmlns="http://schemas.microsoft.com/office/infopath/2007/PartnerControls"/>
    </e09eddfac2354f9ab04a226e27f86f1f>
    <PublishingExpirationDate xmlns="http://schemas.microsoft.com/sharepoint/v3" xsi:nil="true"/>
    <PublishingStartDate xmlns="http://schemas.microsoft.com/sharepoint/v3" xsi:nil="true"/>
    <l34dc5595392493c8311535275827f74 xmlns="a46656d4-8850-49b3-aebd-68bd05f7f43d">
      <Terms xmlns="http://schemas.microsoft.com/office/infopath/2007/PartnerControls"/>
    </l34dc5595392493c8311535275827f74>
    <ia53b9f18d984e01914f4b79710425b7 xmlns="a46656d4-8850-49b3-aebd-68bd05f7f43d">
      <Terms xmlns="http://schemas.microsoft.com/office/infopath/2007/PartnerControls"/>
    </ia53b9f18d984e01914f4b79710425b7>
    <b76e59bb9f5947a781773f53cc6e9460 xmlns="a46656d4-8850-49b3-aebd-68bd05f7f43d">
      <Terms xmlns="http://schemas.microsoft.com/office/infopath/2007/PartnerControls"/>
    </b76e59bb9f5947a781773f53cc6e9460>
  </documentManagement>
</p:properties>
</file>

<file path=customXml/itemProps1.xml><?xml version="1.0" encoding="utf-8"?>
<ds:datastoreItem xmlns:ds="http://schemas.openxmlformats.org/officeDocument/2006/customXml" ds:itemID="{C578B709-8817-4C90-8828-A5F32D2C280C}"/>
</file>

<file path=customXml/itemProps2.xml><?xml version="1.0" encoding="utf-8"?>
<ds:datastoreItem xmlns:ds="http://schemas.openxmlformats.org/officeDocument/2006/customXml" ds:itemID="{DEE3DE3C-04DC-46D1-88E0-AEB9EE946343}"/>
</file>

<file path=customXml/itemProps3.xml><?xml version="1.0" encoding="utf-8"?>
<ds:datastoreItem xmlns:ds="http://schemas.openxmlformats.org/officeDocument/2006/customXml" ds:itemID="{7EB23C64-EB2C-45EE-834B-F4EDBD0FA15F}"/>
</file>

<file path=customXml/itemProps4.xml><?xml version="1.0" encoding="utf-8"?>
<ds:datastoreItem xmlns:ds="http://schemas.openxmlformats.org/officeDocument/2006/customXml" ds:itemID="{AEB213BA-779D-4184-AC27-2FE23410B603}"/>
</file>

<file path=docProps/app.xml><?xml version="1.0" encoding="utf-8"?>
<Properties xmlns="http://schemas.openxmlformats.org/officeDocument/2006/extended-properties" xmlns:vt="http://schemas.openxmlformats.org/officeDocument/2006/docPropsVTypes">
  <Template>Normal</Template>
  <TotalTime>0</TotalTime>
  <Pages>18</Pages>
  <Words>5163</Words>
  <Characters>25819</Characters>
  <Application>Microsoft Office Word</Application>
  <DocSecurity>0</DocSecurity>
  <Lines>215</Lines>
  <Paragraphs>61</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30921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בירור ויישוב תביעות וטיפול בפניות ציבור </dc:title>
  <dc:creator>יצחק זרביב</dc:creator>
  <cp:lastModifiedBy>אסף עבדה</cp:lastModifiedBy>
  <cp:revision>2</cp:revision>
  <cp:lastPrinted>2017-02-27T16:57:00Z</cp:lastPrinted>
  <dcterms:created xsi:type="dcterms:W3CDTF">2017-02-28T06:46:00Z</dcterms:created>
  <dcterms:modified xsi:type="dcterms:W3CDTF">2017-02-28T06:46:00Z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notes://MAOR2/Doc/Shuk_hon/hondocNew3.nsf/0/24253A467CDDCB05C22580CD0050895D/?OpenDocument</vt:lpwstr>
  </property>
  <property fmtid="{D5CDD505-2E9C-101B-9397-08002B2CF9AE}" pid="3" name="MaorRecipients0">
    <vt:lpwstr>assafa@mof.gov.il</vt:lpwstr>
  </property>
  <property fmtid="{D5CDD505-2E9C-101B-9397-08002B2CF9AE}" pid="4" name="ContentTypeId">
    <vt:lpwstr>0x0101006FDA8B39079CB64BAC559E1752826592</vt:lpwstr>
  </property>
  <property fmtid="{D5CDD505-2E9C-101B-9397-08002B2CF9AE}" pid="5" name="MMDUnitsName">
    <vt:lpwstr/>
  </property>
  <property fmtid="{D5CDD505-2E9C-101B-9397-08002B2CF9AE}" pid="6" name="MMDResponsibleUnit">
    <vt:lpwstr/>
  </property>
  <property fmtid="{D5CDD505-2E9C-101B-9397-08002B2CF9AE}" pid="7" name="MMDServiceLang">
    <vt:lpwstr/>
  </property>
  <property fmtid="{D5CDD505-2E9C-101B-9397-08002B2CF9AE}" pid="8" name="MMDJobDescription">
    <vt:lpwstr/>
  </property>
  <property fmtid="{D5CDD505-2E9C-101B-9397-08002B2CF9AE}" pid="9" name="MMDKeywords">
    <vt:lpwstr/>
  </property>
  <property fmtid="{D5CDD505-2E9C-101B-9397-08002B2CF9AE}" pid="10" name="MMDStatus">
    <vt:lpwstr/>
  </property>
  <property fmtid="{D5CDD505-2E9C-101B-9397-08002B2CF9AE}" pid="11" name="MMDAudience">
    <vt:lpwstr/>
  </property>
  <property fmtid="{D5CDD505-2E9C-101B-9397-08002B2CF9AE}" pid="12" name="MMDLiveEvent">
    <vt:lpwstr/>
  </property>
  <property fmtid="{D5CDD505-2E9C-101B-9397-08002B2CF9AE}" pid="13" name="MMDSubjects">
    <vt:lpwstr/>
  </property>
  <property fmtid="{D5CDD505-2E9C-101B-9397-08002B2CF9AE}" pid="14" name="MMDTypes">
    <vt:lpwstr/>
  </property>
  <property fmtid="{D5CDD505-2E9C-101B-9397-08002B2CF9AE}" pid="15" name="MMDResponsibleOffice">
    <vt:lpwstr/>
  </property>
</Properties>
</file>