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A5" w:rsidRDefault="009435A5" w:rsidP="00E34D1B">
      <w:pPr>
        <w:spacing w:line="360" w:lineRule="auto"/>
        <w:rPr>
          <w:rtl/>
        </w:rPr>
      </w:pPr>
    </w:p>
    <w:p w:rsidR="00E34D1B" w:rsidRDefault="00E34D1B" w:rsidP="005445CA">
      <w:pPr>
        <w:spacing w:line="360" w:lineRule="auto"/>
        <w:jc w:val="right"/>
        <w:rPr>
          <w:rtl/>
        </w:rPr>
      </w:pPr>
    </w:p>
    <w:p w:rsidR="00525B25" w:rsidRDefault="00525B25" w:rsidP="00FA388C">
      <w:pPr>
        <w:ind w:left="7370"/>
        <w:jc w:val="right"/>
        <w:rPr>
          <w:sz w:val="24"/>
          <w:rtl/>
        </w:rPr>
      </w:pPr>
      <w:bookmarkStart w:id="0" w:name="Date"/>
      <w:bookmarkEnd w:id="0"/>
      <w:r>
        <w:rPr>
          <w:rFonts w:hint="cs"/>
          <w:sz w:val="24"/>
          <w:rtl/>
        </w:rPr>
        <w:t>י</w:t>
      </w:r>
      <w:r w:rsidR="00FA388C">
        <w:rPr>
          <w:rFonts w:hint="cs"/>
          <w:sz w:val="24"/>
          <w:rtl/>
        </w:rPr>
        <w:t>ח</w:t>
      </w:r>
      <w:r>
        <w:rPr>
          <w:sz w:val="24"/>
          <w:rtl/>
        </w:rPr>
        <w:t>' בכסלו ה</w:t>
      </w:r>
      <w:r>
        <w:rPr>
          <w:rFonts w:hint="cs"/>
          <w:sz w:val="24"/>
          <w:rtl/>
        </w:rPr>
        <w:t>'</w:t>
      </w:r>
      <w:r>
        <w:rPr>
          <w:sz w:val="24"/>
          <w:rtl/>
        </w:rPr>
        <w:t>תשפ"ב</w:t>
      </w:r>
      <w:r>
        <w:rPr>
          <w:sz w:val="24"/>
          <w:rtl/>
        </w:rPr>
        <w:br/>
      </w:r>
      <w:r w:rsidR="00FA388C">
        <w:rPr>
          <w:rFonts w:hint="cs"/>
          <w:sz w:val="24"/>
          <w:rtl/>
        </w:rPr>
        <w:t xml:space="preserve">22 </w:t>
      </w:r>
      <w:r>
        <w:rPr>
          <w:sz w:val="24"/>
          <w:rtl/>
        </w:rPr>
        <w:t>בנובמבר 2021</w:t>
      </w:r>
    </w:p>
    <w:p w:rsidR="00525B25" w:rsidRDefault="00525B25">
      <w:pPr>
        <w:spacing w:line="360" w:lineRule="auto"/>
        <w:jc w:val="right"/>
        <w:rPr>
          <w:rtl/>
        </w:rPr>
      </w:pPr>
      <w:bookmarkStart w:id="1" w:name="DocNum"/>
      <w:bookmarkEnd w:id="1"/>
      <w:r>
        <w:rPr>
          <w:rtl/>
        </w:rPr>
        <w:t>שה. 2021-8237</w:t>
      </w:r>
    </w:p>
    <w:p w:rsidR="0014376C" w:rsidRDefault="0014376C" w:rsidP="00590D25">
      <w:pPr>
        <w:spacing w:line="360" w:lineRule="auto"/>
        <w:jc w:val="center"/>
        <w:rPr>
          <w:b/>
          <w:bCs/>
          <w:sz w:val="24"/>
        </w:rPr>
      </w:pPr>
      <w:bookmarkStart w:id="2" w:name="Start"/>
      <w:bookmarkEnd w:id="2"/>
    </w:p>
    <w:p w:rsidR="0014376C" w:rsidRDefault="0014376C" w:rsidP="00590D25">
      <w:pPr>
        <w:spacing w:line="360" w:lineRule="auto"/>
        <w:jc w:val="center"/>
        <w:rPr>
          <w:b/>
          <w:bCs/>
          <w:sz w:val="24"/>
        </w:rPr>
      </w:pPr>
    </w:p>
    <w:p w:rsidR="00D219AF" w:rsidRPr="00D219AF" w:rsidRDefault="00590D25" w:rsidP="00D219AF">
      <w:pPr>
        <w:spacing w:line="360" w:lineRule="auto"/>
        <w:jc w:val="center"/>
        <w:rPr>
          <w:b/>
          <w:bCs/>
          <w:sz w:val="24"/>
          <w:u w:val="single"/>
          <w:rtl/>
        </w:rPr>
      </w:pPr>
      <w:r w:rsidRPr="00984DE8">
        <w:rPr>
          <w:rFonts w:hint="cs"/>
          <w:b/>
          <w:bCs/>
          <w:sz w:val="24"/>
          <w:rtl/>
        </w:rPr>
        <w:t xml:space="preserve">הנדון: </w:t>
      </w:r>
      <w:r w:rsidR="00D219AF" w:rsidRPr="00D219AF">
        <w:rPr>
          <w:rFonts w:hint="cs"/>
          <w:b/>
          <w:bCs/>
          <w:sz w:val="24"/>
          <w:u w:val="single"/>
          <w:rtl/>
        </w:rPr>
        <w:t xml:space="preserve">נייר מדיניות 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cs"/>
          <w:b/>
          <w:bCs/>
          <w:sz w:val="24"/>
          <w:u w:val="single"/>
          <w:rtl/>
        </w:rPr>
        <w:t>-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השקעה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בתאגיד</w:t>
      </w:r>
      <w:r w:rsidR="00D219AF" w:rsidRPr="00D219AF">
        <w:rPr>
          <w:rFonts w:hint="cs"/>
          <w:b/>
          <w:bCs/>
          <w:sz w:val="24"/>
          <w:u w:val="single"/>
          <w:rtl/>
        </w:rPr>
        <w:t>י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proofErr w:type="spellStart"/>
      <w:r w:rsidR="00D219AF" w:rsidRPr="00D219AF">
        <w:rPr>
          <w:rFonts w:hint="eastAsia"/>
          <w:b/>
          <w:bCs/>
          <w:sz w:val="24"/>
          <w:u w:val="single"/>
          <w:rtl/>
        </w:rPr>
        <w:t>אינשורטק</w:t>
      </w:r>
      <w:proofErr w:type="spellEnd"/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cs"/>
          <w:b/>
          <w:bCs/>
          <w:sz w:val="24"/>
          <w:u w:val="single"/>
          <w:rtl/>
        </w:rPr>
        <w:t>ו</w:t>
      </w:r>
      <w:r w:rsidR="00D219AF" w:rsidRPr="00D219AF">
        <w:rPr>
          <w:rFonts w:hint="eastAsia"/>
          <w:b/>
          <w:bCs/>
          <w:sz w:val="24"/>
          <w:u w:val="single"/>
          <w:rtl/>
        </w:rPr>
        <w:t>בתאגידי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השקעה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בתחום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טכנולוגיה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פיננסית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  <w:r w:rsidR="00D219AF" w:rsidRPr="00D219AF">
        <w:rPr>
          <w:rFonts w:hint="eastAsia"/>
          <w:b/>
          <w:bCs/>
          <w:sz w:val="24"/>
          <w:u w:val="single"/>
          <w:rtl/>
        </w:rPr>
        <w:t>חדשנית</w:t>
      </w:r>
      <w:r w:rsidR="00D219AF">
        <w:rPr>
          <w:rFonts w:hint="cs"/>
          <w:b/>
          <w:bCs/>
          <w:sz w:val="24"/>
          <w:u w:val="single"/>
          <w:rtl/>
        </w:rPr>
        <w:t xml:space="preserve"> (טיוטה)</w:t>
      </w:r>
      <w:r w:rsidR="00D219AF" w:rsidRPr="00D219AF">
        <w:rPr>
          <w:b/>
          <w:bCs/>
          <w:sz w:val="24"/>
          <w:u w:val="single"/>
          <w:rtl/>
        </w:rPr>
        <w:t xml:space="preserve"> </w:t>
      </w: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</w:p>
    <w:p w:rsidR="00590D25" w:rsidRPr="00984DE8" w:rsidRDefault="00590D25" w:rsidP="00D219AF">
      <w:pPr>
        <w:spacing w:line="360" w:lineRule="auto"/>
        <w:jc w:val="both"/>
        <w:rPr>
          <w:sz w:val="24"/>
          <w:rtl/>
        </w:rPr>
      </w:pPr>
      <w:r w:rsidRPr="00984DE8">
        <w:rPr>
          <w:rFonts w:hint="cs"/>
          <w:sz w:val="24"/>
          <w:rtl/>
        </w:rPr>
        <w:t xml:space="preserve">מצורפת בזאת טיוטת </w:t>
      </w:r>
      <w:r w:rsidR="00FA388C" w:rsidRPr="00FA388C">
        <w:rPr>
          <w:rFonts w:hint="cs"/>
          <w:sz w:val="24"/>
          <w:rtl/>
        </w:rPr>
        <w:t xml:space="preserve">נייר מדיניות </w:t>
      </w:r>
      <w:r w:rsidR="00FA388C" w:rsidRPr="00FA388C">
        <w:rPr>
          <w:sz w:val="24"/>
          <w:rtl/>
        </w:rPr>
        <w:t xml:space="preserve"> </w:t>
      </w:r>
      <w:r w:rsidR="00FA388C">
        <w:rPr>
          <w:rFonts w:hint="cs"/>
          <w:sz w:val="24"/>
          <w:rtl/>
        </w:rPr>
        <w:t>-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השקעה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בתאגיד</w:t>
      </w:r>
      <w:r w:rsidR="00FA388C" w:rsidRPr="00FA388C">
        <w:rPr>
          <w:rFonts w:hint="cs"/>
          <w:sz w:val="24"/>
          <w:rtl/>
        </w:rPr>
        <w:t>י</w:t>
      </w:r>
      <w:r w:rsidR="00FA388C" w:rsidRPr="00FA388C">
        <w:rPr>
          <w:sz w:val="24"/>
          <w:rtl/>
        </w:rPr>
        <w:t xml:space="preserve"> </w:t>
      </w:r>
      <w:proofErr w:type="spellStart"/>
      <w:r w:rsidR="00FA388C" w:rsidRPr="00FA388C">
        <w:rPr>
          <w:rFonts w:hint="eastAsia"/>
          <w:sz w:val="24"/>
          <w:rtl/>
        </w:rPr>
        <w:t>אינשורטק</w:t>
      </w:r>
      <w:proofErr w:type="spellEnd"/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cs"/>
          <w:sz w:val="24"/>
          <w:rtl/>
        </w:rPr>
        <w:t>ו</w:t>
      </w:r>
      <w:r w:rsidR="00FA388C" w:rsidRPr="00FA388C">
        <w:rPr>
          <w:rFonts w:hint="eastAsia"/>
          <w:sz w:val="24"/>
          <w:rtl/>
        </w:rPr>
        <w:t>בתאגידי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השקעה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בתחום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טכנולוגיה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פיננסית</w:t>
      </w:r>
      <w:r w:rsidR="00FA388C" w:rsidRPr="00FA388C">
        <w:rPr>
          <w:sz w:val="24"/>
          <w:rtl/>
        </w:rPr>
        <w:t xml:space="preserve"> </w:t>
      </w:r>
      <w:r w:rsidR="00FA388C" w:rsidRPr="00FA388C">
        <w:rPr>
          <w:rFonts w:hint="eastAsia"/>
          <w:sz w:val="24"/>
          <w:rtl/>
        </w:rPr>
        <w:t>חדשנית</w:t>
      </w:r>
      <w:r w:rsidR="00FA388C">
        <w:rPr>
          <w:rFonts w:hint="cs"/>
          <w:sz w:val="24"/>
          <w:rtl/>
        </w:rPr>
        <w:t>.</w:t>
      </w:r>
      <w:r w:rsidR="00FA388C" w:rsidRPr="00FA388C">
        <w:rPr>
          <w:sz w:val="24"/>
          <w:rtl/>
        </w:rPr>
        <w:t xml:space="preserve"> </w:t>
      </w:r>
    </w:p>
    <w:p w:rsidR="004476E7" w:rsidRDefault="0050163E" w:rsidP="0050163E">
      <w:pPr>
        <w:spacing w:line="360" w:lineRule="auto"/>
        <w:jc w:val="both"/>
        <w:rPr>
          <w:sz w:val="24"/>
          <w:rtl/>
        </w:rPr>
      </w:pPr>
      <w:r>
        <w:rPr>
          <w:rFonts w:hint="cs"/>
          <w:sz w:val="24"/>
          <w:rtl/>
        </w:rPr>
        <w:t xml:space="preserve">   </w:t>
      </w:r>
    </w:p>
    <w:p w:rsidR="00590D25" w:rsidRPr="00984DE8" w:rsidRDefault="00590D25" w:rsidP="00FA388C">
      <w:pPr>
        <w:spacing w:line="360" w:lineRule="auto"/>
        <w:jc w:val="both"/>
        <w:rPr>
          <w:sz w:val="24"/>
          <w:rtl/>
        </w:rPr>
      </w:pPr>
      <w:r w:rsidRPr="00984DE8">
        <w:rPr>
          <w:rFonts w:hint="cs"/>
          <w:sz w:val="24"/>
          <w:rtl/>
        </w:rPr>
        <w:t xml:space="preserve">הערות לטיוטה </w:t>
      </w:r>
      <w:r w:rsidR="0050163E">
        <w:rPr>
          <w:rFonts w:hint="cs"/>
          <w:sz w:val="24"/>
          <w:rtl/>
        </w:rPr>
        <w:t>ניתן</w:t>
      </w:r>
      <w:r w:rsidR="0050163E" w:rsidRPr="00984DE8">
        <w:rPr>
          <w:rFonts w:hint="cs"/>
          <w:sz w:val="24"/>
          <w:rtl/>
        </w:rPr>
        <w:t xml:space="preserve"> </w:t>
      </w:r>
      <w:r w:rsidRPr="00984DE8">
        <w:rPr>
          <w:rFonts w:hint="cs"/>
          <w:sz w:val="24"/>
          <w:rtl/>
        </w:rPr>
        <w:t>לה</w:t>
      </w:r>
      <w:r w:rsidR="0050163E">
        <w:rPr>
          <w:rFonts w:hint="cs"/>
          <w:sz w:val="24"/>
          <w:rtl/>
        </w:rPr>
        <w:t xml:space="preserve">עביר </w:t>
      </w:r>
      <w:r w:rsidRPr="00984DE8">
        <w:rPr>
          <w:rFonts w:hint="cs"/>
          <w:sz w:val="24"/>
          <w:rtl/>
        </w:rPr>
        <w:t xml:space="preserve">עד ליום </w:t>
      </w:r>
      <w:r w:rsidR="00FA388C">
        <w:rPr>
          <w:rFonts w:hint="cs"/>
          <w:sz w:val="24"/>
          <w:rtl/>
        </w:rPr>
        <w:t>8</w:t>
      </w:r>
      <w:r w:rsidR="0050163E" w:rsidRPr="00984DE8">
        <w:rPr>
          <w:rFonts w:hint="cs"/>
          <w:sz w:val="24"/>
          <w:rtl/>
        </w:rPr>
        <w:t xml:space="preserve"> ב</w:t>
      </w:r>
      <w:r w:rsidR="0050163E">
        <w:rPr>
          <w:rFonts w:hint="cs"/>
          <w:sz w:val="24"/>
          <w:rtl/>
        </w:rPr>
        <w:t>דצמבר</w:t>
      </w:r>
      <w:r w:rsidR="0050163E" w:rsidRPr="00984DE8">
        <w:rPr>
          <w:rFonts w:hint="cs"/>
          <w:sz w:val="24"/>
          <w:rtl/>
        </w:rPr>
        <w:t xml:space="preserve"> </w:t>
      </w:r>
      <w:r w:rsidRPr="00984DE8">
        <w:rPr>
          <w:rFonts w:hint="cs"/>
          <w:sz w:val="24"/>
          <w:rtl/>
        </w:rPr>
        <w:t xml:space="preserve">2021 </w:t>
      </w:r>
      <w:r w:rsidR="00FA388C">
        <w:rPr>
          <w:rFonts w:hint="cs"/>
          <w:sz w:val="24"/>
          <w:rtl/>
        </w:rPr>
        <w:t>לרו"ח ענת פייער</w:t>
      </w:r>
      <w:r w:rsidRPr="00984DE8">
        <w:rPr>
          <w:rFonts w:hint="cs"/>
          <w:sz w:val="24"/>
          <w:rtl/>
        </w:rPr>
        <w:t xml:space="preserve"> בכתובת דוא"ל: </w:t>
      </w:r>
      <w:hyperlink r:id="rId8" w:history="1">
        <w:r w:rsidR="00FA388C" w:rsidRPr="004A4D87">
          <w:rPr>
            <w:rStyle w:val="Hyperlink"/>
            <w:sz w:val="24"/>
          </w:rPr>
          <w:t>fire-as@mof.gov.il</w:t>
        </w:r>
      </w:hyperlink>
      <w:r w:rsidRPr="00984DE8">
        <w:rPr>
          <w:rFonts w:hint="cs"/>
          <w:sz w:val="24"/>
          <w:rtl/>
        </w:rPr>
        <w:t xml:space="preserve">. </w:t>
      </w: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rFonts w:hint="cs"/>
          <w:sz w:val="24"/>
          <w:rtl/>
        </w:rPr>
        <w:t>בכבוד רב,</w:t>
      </w: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</w:p>
    <w:p w:rsidR="00590D25" w:rsidRPr="00984DE8" w:rsidRDefault="00590D25" w:rsidP="00FA388C">
      <w:pPr>
        <w:spacing w:line="360" w:lineRule="auto"/>
        <w:jc w:val="both"/>
        <w:rPr>
          <w:rFonts w:hint="cs"/>
          <w:sz w:val="24"/>
          <w:rtl/>
        </w:rPr>
      </w:pP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="00FA388C">
        <w:rPr>
          <w:rFonts w:hint="cs"/>
          <w:sz w:val="24"/>
          <w:rtl/>
        </w:rPr>
        <w:t xml:space="preserve">                       רו"ח בארי כספי</w:t>
      </w:r>
    </w:p>
    <w:p w:rsidR="00590D25" w:rsidRPr="00984DE8" w:rsidRDefault="00590D25" w:rsidP="00590D25">
      <w:pPr>
        <w:spacing w:line="360" w:lineRule="auto"/>
        <w:jc w:val="both"/>
        <w:rPr>
          <w:sz w:val="24"/>
          <w:rtl/>
        </w:rPr>
      </w:pP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sz w:val="24"/>
          <w:rtl/>
        </w:rPr>
        <w:tab/>
      </w:r>
      <w:r w:rsidRPr="00984DE8">
        <w:rPr>
          <w:rFonts w:hint="cs"/>
          <w:sz w:val="24"/>
          <w:rtl/>
        </w:rPr>
        <w:t xml:space="preserve">   </w:t>
      </w:r>
      <w:r>
        <w:rPr>
          <w:rFonts w:hint="cs"/>
          <w:sz w:val="24"/>
          <w:rtl/>
        </w:rPr>
        <w:t xml:space="preserve">  </w:t>
      </w:r>
      <w:r w:rsidRPr="00984DE8">
        <w:rPr>
          <w:rFonts w:hint="cs"/>
          <w:sz w:val="24"/>
          <w:rtl/>
        </w:rPr>
        <w:t xml:space="preserve">    סגן בכיר לממונה על שוק ההון, ביטוח וחיסכון</w:t>
      </w:r>
    </w:p>
    <w:p w:rsidR="00590D25" w:rsidRPr="00984DE8" w:rsidRDefault="00590D25" w:rsidP="00590D25">
      <w:pPr>
        <w:spacing w:line="360" w:lineRule="auto"/>
        <w:jc w:val="center"/>
        <w:rPr>
          <w:sz w:val="24"/>
          <w:rtl/>
        </w:rPr>
      </w:pPr>
      <w:r w:rsidRPr="00984DE8">
        <w:rPr>
          <w:rFonts w:hint="cs"/>
          <w:sz w:val="24"/>
          <w:rtl/>
        </w:rPr>
        <w:t xml:space="preserve">                                                                </w:t>
      </w:r>
    </w:p>
    <w:p w:rsidR="00590D25" w:rsidRPr="00984DE8" w:rsidRDefault="00590D25" w:rsidP="00590D25">
      <w:pPr>
        <w:spacing w:line="360" w:lineRule="auto"/>
        <w:rPr>
          <w:sz w:val="24"/>
          <w:rtl/>
        </w:rPr>
      </w:pPr>
    </w:p>
    <w:p w:rsidR="00590D25" w:rsidRPr="00984DE8" w:rsidRDefault="00590D25" w:rsidP="00590D25">
      <w:pPr>
        <w:spacing w:line="360" w:lineRule="auto"/>
        <w:rPr>
          <w:sz w:val="24"/>
          <w:rtl/>
        </w:rPr>
      </w:pPr>
    </w:p>
    <w:p w:rsidR="00590D25" w:rsidRPr="00984DE8" w:rsidRDefault="00590D25" w:rsidP="00590D25">
      <w:pPr>
        <w:spacing w:line="360" w:lineRule="auto"/>
        <w:rPr>
          <w:sz w:val="24"/>
        </w:rPr>
      </w:pPr>
      <w:r w:rsidRPr="00984DE8">
        <w:rPr>
          <w:rFonts w:hint="cs"/>
          <w:sz w:val="24"/>
          <w:rtl/>
        </w:rPr>
        <w:t>העתק:</w:t>
      </w:r>
    </w:p>
    <w:p w:rsidR="00590D25" w:rsidRPr="00984DE8" w:rsidRDefault="00590D25" w:rsidP="00590D25">
      <w:pPr>
        <w:spacing w:line="360" w:lineRule="auto"/>
        <w:rPr>
          <w:sz w:val="24"/>
          <w:rtl/>
        </w:rPr>
      </w:pPr>
      <w:r w:rsidRPr="00984DE8">
        <w:rPr>
          <w:rFonts w:hint="cs"/>
          <w:sz w:val="24"/>
          <w:rtl/>
        </w:rPr>
        <w:t>ד"ר משה ברקת, הממונה על שוק ההון, ביטוח וחיסכון</w:t>
      </w:r>
    </w:p>
    <w:p w:rsidR="00590D25" w:rsidRDefault="00FA388C" w:rsidP="00FA388C">
      <w:pPr>
        <w:spacing w:line="360" w:lineRule="auto"/>
        <w:rPr>
          <w:sz w:val="24"/>
          <w:rtl/>
        </w:rPr>
      </w:pPr>
      <w:r>
        <w:rPr>
          <w:rFonts w:hint="cs"/>
          <w:sz w:val="24"/>
          <w:rtl/>
        </w:rPr>
        <w:t>מר עופר ברנדט - אקטואר ראשי וסגן בכיר לממונה על שוק ההון</w:t>
      </w:r>
    </w:p>
    <w:p w:rsidR="00FA388C" w:rsidRPr="00984DE8" w:rsidRDefault="00FA388C" w:rsidP="00FA388C">
      <w:pPr>
        <w:spacing w:line="360" w:lineRule="auto"/>
        <w:rPr>
          <w:sz w:val="24"/>
          <w:rtl/>
        </w:rPr>
      </w:pPr>
      <w:r>
        <w:rPr>
          <w:rFonts w:hint="cs"/>
          <w:sz w:val="24"/>
          <w:rtl/>
        </w:rPr>
        <w:t>מר עמית גל- סגן בכיר לממונה על שוק ההון</w:t>
      </w:r>
    </w:p>
    <w:p w:rsidR="00E34D1B" w:rsidRPr="0007311F" w:rsidRDefault="00590D25" w:rsidP="00FA388C">
      <w:pPr>
        <w:spacing w:line="25" w:lineRule="atLeast"/>
        <w:jc w:val="both"/>
        <w:rPr>
          <w:szCs w:val="20"/>
          <w:rtl/>
        </w:rPr>
      </w:pPr>
      <w:r w:rsidRPr="00984DE8">
        <w:rPr>
          <w:rFonts w:hint="cs"/>
          <w:sz w:val="24"/>
          <w:rtl/>
        </w:rPr>
        <w:t xml:space="preserve">עו"ד </w:t>
      </w:r>
      <w:r w:rsidR="00FA388C">
        <w:rPr>
          <w:rFonts w:hint="cs"/>
          <w:sz w:val="24"/>
          <w:rtl/>
        </w:rPr>
        <w:t>איה שוורץ -</w:t>
      </w:r>
      <w:r w:rsidRPr="00984DE8">
        <w:rPr>
          <w:rFonts w:hint="cs"/>
          <w:sz w:val="24"/>
          <w:rtl/>
        </w:rPr>
        <w:t xml:space="preserve"> </w:t>
      </w:r>
      <w:r w:rsidR="00FA388C">
        <w:rPr>
          <w:rFonts w:hint="cs"/>
          <w:sz w:val="24"/>
          <w:rtl/>
        </w:rPr>
        <w:t>לשכה משפטית,</w:t>
      </w:r>
      <w:r w:rsidRPr="00984DE8">
        <w:rPr>
          <w:rFonts w:hint="cs"/>
          <w:sz w:val="24"/>
          <w:rtl/>
        </w:rPr>
        <w:t xml:space="preserve"> רשות שוק ההון</w:t>
      </w:r>
    </w:p>
    <w:sectPr w:rsidR="00E34D1B" w:rsidRPr="0007311F" w:rsidSect="002973B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1418" w:right="1134" w:bottom="1418" w:left="1134" w:header="284" w:footer="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FC3" w:rsidRDefault="00B37FC3">
      <w:r>
        <w:separator/>
      </w:r>
    </w:p>
  </w:endnote>
  <w:endnote w:type="continuationSeparator" w:id="0">
    <w:p w:rsidR="00B37FC3" w:rsidRDefault="00B3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FB" w:rsidRDefault="009435A5">
    <w:pPr>
      <w:pStyle w:val="aa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BE67FB" w:rsidRDefault="00B37FC3">
    <w:pPr>
      <w:pStyle w:val="aa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Pr="00060494" w:rsidRDefault="002973B2" w:rsidP="002973B2">
    <w:pPr>
      <w:pStyle w:val="aa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  <w:rtl/>
      </w:rPr>
    </w:pPr>
    <w:r w:rsidRPr="00060494">
      <w:rPr>
        <w:rFonts w:hint="cs"/>
        <w:b/>
        <w:bCs/>
        <w:rtl/>
      </w:rPr>
      <w:t xml:space="preserve">רח' עם ועולמו 4 ירושלים </w:t>
    </w:r>
    <w:r w:rsidRPr="00060494">
      <w:rPr>
        <w:b/>
        <w:bCs/>
        <w:rtl/>
      </w:rPr>
      <w:t>9546304</w:t>
    </w:r>
    <w:r w:rsidRPr="00060494">
      <w:rPr>
        <w:rFonts w:hint="cs"/>
        <w:b/>
        <w:bCs/>
        <w:rtl/>
      </w:rPr>
      <w:t xml:space="preserve"> טל': 02-5317248 פקס': 02-5695342 </w:t>
    </w:r>
    <w:r w:rsidRPr="00060494">
      <w:rPr>
        <w:b/>
        <w:bCs/>
        <w:rtl/>
      </w:rPr>
      <w:br/>
    </w:r>
    <w:r>
      <w:rPr>
        <w:b/>
        <w:bCs/>
      </w:rPr>
      <w:tab/>
    </w:r>
    <w:hyperlink r:id="rId1" w:history="1">
      <w:r w:rsidRPr="00435323">
        <w:rPr>
          <w:rStyle w:val="Hyperlink"/>
          <w:b/>
          <w:bCs/>
        </w:rPr>
        <w:t>www.mof.gov.il/hon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Pr="00060494" w:rsidRDefault="002973B2" w:rsidP="002973B2">
    <w:pPr>
      <w:pStyle w:val="aa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</w:rPr>
    </w:pPr>
    <w:r w:rsidRPr="00060494">
      <w:rPr>
        <w:rFonts w:hint="cs"/>
        <w:b/>
        <w:bCs/>
        <w:rtl/>
      </w:rPr>
      <w:t xml:space="preserve">רח' עם ועולמו 4 ירושלים </w:t>
    </w:r>
    <w:r w:rsidRPr="00060494">
      <w:rPr>
        <w:b/>
        <w:bCs/>
        <w:rtl/>
      </w:rPr>
      <w:t>9546304</w:t>
    </w:r>
    <w:r w:rsidRPr="00060494">
      <w:rPr>
        <w:rFonts w:hint="cs"/>
        <w:b/>
        <w:bCs/>
        <w:rtl/>
      </w:rPr>
      <w:t xml:space="preserve"> טל': 02-5317248 פקס': 02-5695342 </w:t>
    </w:r>
    <w:r w:rsidRPr="00060494">
      <w:rPr>
        <w:b/>
        <w:bCs/>
        <w:rtl/>
      </w:rPr>
      <w:br/>
    </w:r>
    <w:r>
      <w:rPr>
        <w:b/>
        <w:bCs/>
      </w:rPr>
      <w:tab/>
    </w:r>
    <w:hyperlink r:id="rId1" w:history="1">
      <w:r w:rsidRPr="00435323">
        <w:rPr>
          <w:rStyle w:val="Hyperlink"/>
          <w:b/>
          <w:bCs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FC3" w:rsidRDefault="00B37FC3">
      <w:r>
        <w:separator/>
      </w:r>
    </w:p>
  </w:footnote>
  <w:footnote w:type="continuationSeparator" w:id="0">
    <w:p w:rsidR="00B37FC3" w:rsidRDefault="00B3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69651144"/>
      <w:docPartObj>
        <w:docPartGallery w:val="Page Numbers (Top of Page)"/>
        <w:docPartUnique/>
      </w:docPartObj>
    </w:sdtPr>
    <w:sdtEndPr>
      <w:rPr>
        <w:cs/>
      </w:rPr>
    </w:sdtEndPr>
    <w:sdtContent>
      <w:p w:rsidR="0007311F" w:rsidRDefault="009435A5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0163E" w:rsidRPr="0050163E">
          <w:rPr>
            <w:noProof/>
            <w:rtl/>
            <w:lang w:val="he-IL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Default="002973B2" w:rsidP="002973B2">
    <w:pPr>
      <w:pStyle w:val="a8"/>
      <w:jc w:val="center"/>
      <w:rPr>
        <w:b/>
        <w:bCs/>
        <w:szCs w:val="36"/>
        <w:rtl/>
      </w:rPr>
    </w:pPr>
    <w:r>
      <w:rPr>
        <w:rFonts w:hint="cs"/>
        <w:b/>
        <w:bCs/>
        <w:noProof/>
        <w:szCs w:val="36"/>
        <w:lang w:eastAsia="en-US"/>
      </w:rPr>
      <w:drawing>
        <wp:inline distT="0" distB="0" distL="0" distR="0" wp14:anchorId="53FCFEC8" wp14:editId="2BC72922">
          <wp:extent cx="563056" cy="446228"/>
          <wp:effectExtent l="0" t="0" r="0" b="0"/>
          <wp:docPr id="9" name="תמונה 9" descr="זהו הלוגו של רשות שוק ההון, ביטוח חיסכון" title="לוגו רשות שוק הה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6B14" w:rsidRDefault="00276B14" w:rsidP="002973B2">
    <w:pPr>
      <w:pStyle w:val="a8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מדינת ישראל</w:t>
    </w:r>
  </w:p>
  <w:p w:rsidR="002973B2" w:rsidRDefault="002973B2" w:rsidP="002973B2">
    <w:pPr>
      <w:pStyle w:val="a8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רשות</w:t>
    </w:r>
    <w:r>
      <w:rPr>
        <w:b/>
        <w:bCs/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5"/>
    <w:rsid w:val="00014182"/>
    <w:rsid w:val="00047C97"/>
    <w:rsid w:val="000520B7"/>
    <w:rsid w:val="000568CE"/>
    <w:rsid w:val="00066383"/>
    <w:rsid w:val="00082FAF"/>
    <w:rsid w:val="00093B9D"/>
    <w:rsid w:val="000B6006"/>
    <w:rsid w:val="000C04AE"/>
    <w:rsid w:val="000E6098"/>
    <w:rsid w:val="000E632C"/>
    <w:rsid w:val="000F51D2"/>
    <w:rsid w:val="0010326C"/>
    <w:rsid w:val="0014376C"/>
    <w:rsid w:val="001611C6"/>
    <w:rsid w:val="00164B30"/>
    <w:rsid w:val="0018292D"/>
    <w:rsid w:val="001918B9"/>
    <w:rsid w:val="001A7C42"/>
    <w:rsid w:val="001C4F6D"/>
    <w:rsid w:val="001D55DD"/>
    <w:rsid w:val="001E548A"/>
    <w:rsid w:val="00233FC8"/>
    <w:rsid w:val="00264F6B"/>
    <w:rsid w:val="00274012"/>
    <w:rsid w:val="00275887"/>
    <w:rsid w:val="00276B14"/>
    <w:rsid w:val="002973B2"/>
    <w:rsid w:val="002A54A3"/>
    <w:rsid w:val="002A7FEA"/>
    <w:rsid w:val="002E38F4"/>
    <w:rsid w:val="002F197C"/>
    <w:rsid w:val="00325E01"/>
    <w:rsid w:val="00361114"/>
    <w:rsid w:val="003840FE"/>
    <w:rsid w:val="00393C6A"/>
    <w:rsid w:val="003A1D7A"/>
    <w:rsid w:val="003C3A5C"/>
    <w:rsid w:val="003F1396"/>
    <w:rsid w:val="0040055E"/>
    <w:rsid w:val="00423D6A"/>
    <w:rsid w:val="00426E0E"/>
    <w:rsid w:val="004323EF"/>
    <w:rsid w:val="004410DE"/>
    <w:rsid w:val="0044663B"/>
    <w:rsid w:val="004476E7"/>
    <w:rsid w:val="00451F2E"/>
    <w:rsid w:val="004523EB"/>
    <w:rsid w:val="00452D7A"/>
    <w:rsid w:val="004A6E17"/>
    <w:rsid w:val="004C127D"/>
    <w:rsid w:val="004C5538"/>
    <w:rsid w:val="004D65A1"/>
    <w:rsid w:val="004E479D"/>
    <w:rsid w:val="004F3773"/>
    <w:rsid w:val="0050163E"/>
    <w:rsid w:val="005028F9"/>
    <w:rsid w:val="00505D36"/>
    <w:rsid w:val="00515321"/>
    <w:rsid w:val="00515E5C"/>
    <w:rsid w:val="00525B25"/>
    <w:rsid w:val="00534452"/>
    <w:rsid w:val="005371D8"/>
    <w:rsid w:val="005445CA"/>
    <w:rsid w:val="00556BE2"/>
    <w:rsid w:val="00590D25"/>
    <w:rsid w:val="005D42E4"/>
    <w:rsid w:val="00600BFA"/>
    <w:rsid w:val="00600F1F"/>
    <w:rsid w:val="00602DAD"/>
    <w:rsid w:val="006309B0"/>
    <w:rsid w:val="006427CD"/>
    <w:rsid w:val="0066664E"/>
    <w:rsid w:val="00692C69"/>
    <w:rsid w:val="006952CA"/>
    <w:rsid w:val="006A0E02"/>
    <w:rsid w:val="006A13C9"/>
    <w:rsid w:val="006A2503"/>
    <w:rsid w:val="006A5446"/>
    <w:rsid w:val="006B352E"/>
    <w:rsid w:val="006C55AF"/>
    <w:rsid w:val="006D0744"/>
    <w:rsid w:val="006D686D"/>
    <w:rsid w:val="006E279E"/>
    <w:rsid w:val="006E5942"/>
    <w:rsid w:val="006F1B56"/>
    <w:rsid w:val="00706164"/>
    <w:rsid w:val="00735D55"/>
    <w:rsid w:val="00740F59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1150D"/>
    <w:rsid w:val="0082739B"/>
    <w:rsid w:val="00836138"/>
    <w:rsid w:val="00864DB3"/>
    <w:rsid w:val="00867AE5"/>
    <w:rsid w:val="00870D8A"/>
    <w:rsid w:val="008A118D"/>
    <w:rsid w:val="008B39D7"/>
    <w:rsid w:val="008D7A47"/>
    <w:rsid w:val="008E77BE"/>
    <w:rsid w:val="00910BC9"/>
    <w:rsid w:val="009113C2"/>
    <w:rsid w:val="00915C9A"/>
    <w:rsid w:val="00935E81"/>
    <w:rsid w:val="009435A5"/>
    <w:rsid w:val="00986444"/>
    <w:rsid w:val="00990A24"/>
    <w:rsid w:val="009A325A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1582"/>
    <w:rsid w:val="00A84333"/>
    <w:rsid w:val="00A84658"/>
    <w:rsid w:val="00AA4752"/>
    <w:rsid w:val="00AD0167"/>
    <w:rsid w:val="00AF1C47"/>
    <w:rsid w:val="00B03E2B"/>
    <w:rsid w:val="00B041F7"/>
    <w:rsid w:val="00B311D4"/>
    <w:rsid w:val="00B37FC3"/>
    <w:rsid w:val="00B429D7"/>
    <w:rsid w:val="00B60EE6"/>
    <w:rsid w:val="00B67385"/>
    <w:rsid w:val="00B82FB6"/>
    <w:rsid w:val="00B93390"/>
    <w:rsid w:val="00B93A25"/>
    <w:rsid w:val="00BB3047"/>
    <w:rsid w:val="00BB393A"/>
    <w:rsid w:val="00BD3BE9"/>
    <w:rsid w:val="00BD3C97"/>
    <w:rsid w:val="00BD67E7"/>
    <w:rsid w:val="00C01906"/>
    <w:rsid w:val="00C171DC"/>
    <w:rsid w:val="00C27AC8"/>
    <w:rsid w:val="00C37F33"/>
    <w:rsid w:val="00C84ABA"/>
    <w:rsid w:val="00CA029F"/>
    <w:rsid w:val="00CA61AF"/>
    <w:rsid w:val="00CB40A4"/>
    <w:rsid w:val="00CC356E"/>
    <w:rsid w:val="00CC68DE"/>
    <w:rsid w:val="00CD6DB8"/>
    <w:rsid w:val="00CE0517"/>
    <w:rsid w:val="00CF44BB"/>
    <w:rsid w:val="00D219AF"/>
    <w:rsid w:val="00D33979"/>
    <w:rsid w:val="00D66453"/>
    <w:rsid w:val="00D731DA"/>
    <w:rsid w:val="00D969C1"/>
    <w:rsid w:val="00DD5320"/>
    <w:rsid w:val="00DE069A"/>
    <w:rsid w:val="00DE7CC8"/>
    <w:rsid w:val="00DF73FF"/>
    <w:rsid w:val="00E34D1B"/>
    <w:rsid w:val="00E41B31"/>
    <w:rsid w:val="00E56588"/>
    <w:rsid w:val="00E95EEF"/>
    <w:rsid w:val="00EA0BA0"/>
    <w:rsid w:val="00EA6729"/>
    <w:rsid w:val="00EC303E"/>
    <w:rsid w:val="00EF71D7"/>
    <w:rsid w:val="00F00D41"/>
    <w:rsid w:val="00F0592A"/>
    <w:rsid w:val="00F25ABF"/>
    <w:rsid w:val="00F509E4"/>
    <w:rsid w:val="00F66082"/>
    <w:rsid w:val="00F74EF7"/>
    <w:rsid w:val="00F80DA7"/>
    <w:rsid w:val="00F918E5"/>
    <w:rsid w:val="00F975CB"/>
    <w:rsid w:val="00FA388C"/>
    <w:rsid w:val="00FD7A54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4A1B6"/>
  <w15:docId w15:val="{15B16F67-D098-41AE-873B-88D706E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A5"/>
    <w:pPr>
      <w:overflowPunct w:val="0"/>
      <w:autoSpaceDE w:val="0"/>
      <w:autoSpaceDN w:val="0"/>
      <w:bidi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overflowPunct/>
      <w:autoSpaceDE/>
      <w:autoSpaceDN/>
      <w:adjustRightInd/>
      <w:spacing w:before="120" w:line="360" w:lineRule="auto"/>
      <w:jc w:val="both"/>
      <w:textAlignment w:val="auto"/>
      <w:outlineLvl w:val="0"/>
    </w:pPr>
    <w:rPr>
      <w:rFonts w:eastAsiaTheme="minorHAnsi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overflowPunct/>
      <w:autoSpaceDE/>
      <w:autoSpaceDN/>
      <w:adjustRightInd/>
      <w:spacing w:before="120" w:line="360" w:lineRule="auto"/>
      <w:jc w:val="both"/>
      <w:textAlignment w:val="auto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3"/>
    </w:pPr>
    <w:rPr>
      <w:rFonts w:eastAsiaTheme="minorHAnsi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4"/>
    </w:pPr>
    <w:rPr>
      <w:rFonts w:eastAsiaTheme="minorHAnsi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5"/>
    </w:pPr>
    <w:rPr>
      <w:rFonts w:eastAsiaTheme="minorHAnsi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6"/>
    </w:pPr>
    <w:rPr>
      <w:rFonts w:eastAsiaTheme="minorHAnsi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overflowPunct/>
      <w:autoSpaceDE/>
      <w:autoSpaceDN/>
      <w:adjustRightInd/>
      <w:spacing w:before="120" w:after="120" w:line="360" w:lineRule="auto"/>
      <w:ind w:left="567" w:right="567"/>
      <w:jc w:val="both"/>
      <w:textAlignment w:val="auto"/>
    </w:pPr>
    <w:rPr>
      <w:rFonts w:eastAsiaTheme="minorHAnsi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overflowPunct/>
      <w:autoSpaceDE/>
      <w:autoSpaceDN/>
      <w:bidi w:val="0"/>
      <w:adjustRightInd/>
      <w:spacing w:before="120" w:after="120" w:line="360" w:lineRule="auto"/>
      <w:jc w:val="both"/>
      <w:textAlignment w:val="auto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482"/>
      <w:jc w:val="both"/>
      <w:textAlignment w:val="auto"/>
    </w:pPr>
    <w:rPr>
      <w:rFonts w:eastAsiaTheme="minorHAnsi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jc w:val="both"/>
      <w:textAlignment w:val="auto"/>
    </w:pPr>
    <w:rPr>
      <w:rFonts w:eastAsiaTheme="minorHAnsi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238"/>
      <w:jc w:val="both"/>
      <w:textAlignment w:val="auto"/>
    </w:pPr>
    <w:rPr>
      <w:rFonts w:eastAsiaTheme="minorHAnsi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1440"/>
      <w:jc w:val="both"/>
      <w:textAlignment w:val="auto"/>
    </w:pPr>
    <w:rPr>
      <w:rFonts w:eastAsiaTheme="minorHAnsi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1202"/>
      <w:contextualSpacing/>
      <w:jc w:val="both"/>
      <w:textAlignment w:val="auto"/>
    </w:pPr>
    <w:rPr>
      <w:rFonts w:eastAsiaTheme="minorHAnsi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958"/>
      <w:jc w:val="both"/>
      <w:textAlignment w:val="auto"/>
    </w:pPr>
    <w:rPr>
      <w:rFonts w:eastAsiaTheme="minorHAnsi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overflowPunct/>
      <w:autoSpaceDE/>
      <w:autoSpaceDN/>
      <w:adjustRightInd/>
      <w:spacing w:before="100" w:after="100"/>
      <w:ind w:left="720"/>
      <w:jc w:val="both"/>
      <w:textAlignment w:val="auto"/>
    </w:pPr>
    <w:rPr>
      <w:rFonts w:eastAsiaTheme="minorHAnsi"/>
      <w:sz w:val="24"/>
      <w:lang w:eastAsia="en-US"/>
    </w:rPr>
  </w:style>
  <w:style w:type="paragraph" w:styleId="a7">
    <w:name w:val="List Paragraph"/>
    <w:basedOn w:val="a"/>
    <w:uiPriority w:val="34"/>
    <w:rsid w:val="00FE3193"/>
    <w:pPr>
      <w:overflowPunct/>
      <w:autoSpaceDE/>
      <w:autoSpaceDN/>
      <w:adjustRightInd/>
      <w:spacing w:before="120" w:after="120" w:line="360" w:lineRule="auto"/>
      <w:ind w:left="720"/>
      <w:contextualSpacing/>
      <w:jc w:val="both"/>
      <w:textAlignment w:val="auto"/>
    </w:pPr>
    <w:rPr>
      <w:rFonts w:eastAsiaTheme="minorHAnsi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rsid w:val="009435A5"/>
    <w:pPr>
      <w:tabs>
        <w:tab w:val="center" w:pos="4320"/>
        <w:tab w:val="right" w:pos="8640"/>
      </w:tabs>
    </w:pPr>
  </w:style>
  <w:style w:type="character" w:customStyle="1" w:styleId="a9">
    <w:name w:val="כותרת עליונה תו"/>
    <w:basedOn w:val="a0"/>
    <w:link w:val="a8"/>
    <w:uiPriority w:val="99"/>
    <w:rsid w:val="009435A5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aa">
    <w:name w:val="footer"/>
    <w:basedOn w:val="a"/>
    <w:link w:val="ab"/>
    <w:rsid w:val="009435A5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9435A5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Hyperlink">
    <w:name w:val="Hyperlink"/>
    <w:basedOn w:val="a0"/>
    <w:rsid w:val="009435A5"/>
    <w:rPr>
      <w:color w:val="0000FF"/>
      <w:u w:val="single"/>
    </w:rPr>
  </w:style>
  <w:style w:type="character" w:styleId="ac">
    <w:name w:val="page number"/>
    <w:basedOn w:val="a0"/>
    <w:rsid w:val="009435A5"/>
  </w:style>
  <w:style w:type="paragraph" w:styleId="ad">
    <w:name w:val="Balloon Text"/>
    <w:basedOn w:val="a"/>
    <w:link w:val="ae"/>
    <w:uiPriority w:val="99"/>
    <w:semiHidden/>
    <w:unhideWhenUsed/>
    <w:rsid w:val="009435A5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9435A5"/>
    <w:rPr>
      <w:rFonts w:ascii="Tahoma" w:eastAsia="Times New Roman" w:hAnsi="Tahoma" w:cs="Tahoma"/>
      <w:sz w:val="16"/>
      <w:szCs w:val="16"/>
      <w:lang w:eastAsia="he-IL"/>
    </w:rPr>
  </w:style>
  <w:style w:type="paragraph" w:styleId="af">
    <w:name w:val="Revision"/>
    <w:hidden/>
    <w:uiPriority w:val="99"/>
    <w:semiHidden/>
    <w:rsid w:val="005445CA"/>
    <w:pPr>
      <w:spacing w:before="0" w:after="0" w:line="240" w:lineRule="auto"/>
    </w:pPr>
    <w:rPr>
      <w:rFonts w:ascii="Times New Roman" w:eastAsia="Times New Roman" w:hAnsi="Times New Roman" w:cs="David"/>
      <w:sz w:val="20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-as@mof.gov.i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3B63-31B8-4589-B451-AFA1766A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יצחק זרביב</dc:creator>
  <cp:lastModifiedBy>רשות שוק ההון, ביטוח וחיסכון</cp:lastModifiedBy>
  <cp:revision>14</cp:revision>
  <cp:lastPrinted>2021-11-22T10:01:00Z</cp:lastPrinted>
  <dcterms:created xsi:type="dcterms:W3CDTF">2021-11-11T18:26:00Z</dcterms:created>
  <dcterms:modified xsi:type="dcterms:W3CDTF">2021-11-22T10:01:00Z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notes://MAOR2/Doc/Shuk_hon/hondocNew4.nsf/0/77E92474B2499145C225878A00636D29/?OpenDocument</vt:lpwstr>
  </property>
  <property fmtid="{D5CDD505-2E9C-101B-9397-08002B2CF9AE}" pid="3" name="MaorRecipients0">
    <vt:lpwstr>tiranzaken@mof.gov.il</vt:lpwstr>
  </property>
</Properties>
</file>