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9A" w14:textId="77777777" w:rsidR="003D1A57" w:rsidRPr="00244FDC" w:rsidRDefault="003D1A57" w:rsidP="003D1A57">
      <w:pPr>
        <w:ind w:left="6766"/>
        <w:jc w:val="left"/>
        <w:rPr>
          <w:rFonts w:cs="David"/>
          <w:sz w:val="24"/>
          <w:szCs w:val="24"/>
        </w:rPr>
      </w:pPr>
      <w:bookmarkStart w:id="0" w:name="_GoBack"/>
      <w:bookmarkEnd w:id="0"/>
    </w:p>
    <w:p w14:paraId="752F4622" w14:textId="77777777" w:rsidR="00402932" w:rsidRDefault="00402932" w:rsidP="003D1A57">
      <w:pPr>
        <w:ind w:left="6803"/>
        <w:jc w:val="left"/>
        <w:rPr>
          <w:rFonts w:cs="David"/>
          <w:sz w:val="24"/>
          <w:szCs w:val="24"/>
          <w:rtl/>
        </w:rPr>
      </w:pPr>
      <w:bookmarkStart w:id="1" w:name="Adding02"/>
      <w:bookmarkEnd w:id="1"/>
      <w:r>
        <w:rPr>
          <w:rFonts w:cs="David"/>
          <w:sz w:val="24"/>
          <w:szCs w:val="24"/>
          <w:rtl/>
        </w:rPr>
        <w:t>כ"א באלול התשפ"א</w:t>
      </w:r>
      <w:r>
        <w:rPr>
          <w:rFonts w:cs="David"/>
          <w:sz w:val="24"/>
          <w:szCs w:val="24"/>
          <w:rtl/>
        </w:rPr>
        <w:br/>
        <w:t>29 באוגוסט 2021</w:t>
      </w:r>
    </w:p>
    <w:p w14:paraId="4E8EDCEA" w14:textId="77777777" w:rsidR="003D1A57" w:rsidRPr="00244FDC" w:rsidRDefault="003D1A57" w:rsidP="003D1A57">
      <w:pPr>
        <w:ind w:left="6803"/>
        <w:jc w:val="left"/>
        <w:rPr>
          <w:rFonts w:cs="David"/>
          <w:sz w:val="24"/>
          <w:szCs w:val="24"/>
          <w:rtl/>
        </w:rPr>
      </w:pPr>
    </w:p>
    <w:p w14:paraId="17C4A789" w14:textId="77777777" w:rsidR="00402932" w:rsidRDefault="00402932" w:rsidP="003D1A57">
      <w:pPr>
        <w:ind w:left="6803"/>
        <w:jc w:val="left"/>
        <w:rPr>
          <w:rFonts w:cs="David"/>
          <w:sz w:val="24"/>
          <w:szCs w:val="24"/>
          <w:rtl/>
        </w:rPr>
      </w:pPr>
      <w:bookmarkStart w:id="2" w:name="Adding06"/>
      <w:bookmarkEnd w:id="2"/>
      <w:r>
        <w:rPr>
          <w:rFonts w:cs="David"/>
          <w:sz w:val="24"/>
          <w:szCs w:val="24"/>
          <w:rtl/>
        </w:rPr>
        <w:t xml:space="preserve">חוזר </w:t>
      </w:r>
      <w:r>
        <w:rPr>
          <w:rFonts w:cs="David"/>
          <w:sz w:val="24"/>
          <w:szCs w:val="24"/>
          <w:rtl/>
        </w:rPr>
        <w:lastRenderedPageBreak/>
        <w:t>ביטוח 2021-1-13</w:t>
      </w:r>
      <w:r>
        <w:rPr>
          <w:rFonts w:cs="David"/>
          <w:sz w:val="24"/>
          <w:szCs w:val="24"/>
          <w:rtl/>
        </w:rPr>
        <w:br/>
        <w:t>סיווג: בריאות</w:t>
      </w:r>
    </w:p>
    <w:p w14:paraId="623B9C43" w14:textId="77777777" w:rsidR="003D1A57" w:rsidRPr="00244FDC" w:rsidRDefault="003D1A57" w:rsidP="003D1A57">
      <w:pPr>
        <w:ind w:left="7478"/>
        <w:jc w:val="left"/>
        <w:rPr>
          <w:rFonts w:cs="David"/>
          <w:sz w:val="24"/>
          <w:szCs w:val="24"/>
          <w:rtl/>
        </w:rPr>
      </w:pPr>
    </w:p>
    <w:p w14:paraId="23E6A0D1" w14:textId="77777777" w:rsidR="003D1A57" w:rsidRPr="00244FDC" w:rsidRDefault="003D1A57" w:rsidP="003D1A57">
      <w:pPr>
        <w:ind w:left="7511"/>
        <w:jc w:val="left"/>
        <w:rPr>
          <w:rFonts w:cs="David"/>
          <w:sz w:val="24"/>
          <w:szCs w:val="24"/>
          <w:rtl/>
        </w:rPr>
      </w:pPr>
    </w:p>
    <w:p w14:paraId="61B429AC" w14:textId="77777777" w:rsidR="003D1A57" w:rsidRPr="00244FDC" w:rsidRDefault="003D1A57" w:rsidP="003D1A57">
      <w:pPr>
        <w:jc w:val="left"/>
        <w:rPr>
          <w:rFonts w:cs="David"/>
          <w:sz w:val="24"/>
          <w:szCs w:val="24"/>
          <w:rtl/>
        </w:rPr>
      </w:pPr>
    </w:p>
    <w:p w14:paraId="57AF8AB8" w14:textId="77777777" w:rsidR="003D1A57" w:rsidRPr="00244FDC" w:rsidRDefault="003D1A57" w:rsidP="003D1A57">
      <w:pPr>
        <w:jc w:val="left"/>
        <w:rPr>
          <w:rFonts w:cs="David"/>
          <w:sz w:val="24"/>
          <w:szCs w:val="24"/>
          <w:rtl/>
        </w:rPr>
      </w:pPr>
    </w:p>
    <w:p w14:paraId="04698984" w14:textId="77777777" w:rsidR="003D1A57" w:rsidRDefault="003D1A57" w:rsidP="003D1A57">
      <w:pPr>
        <w:tabs>
          <w:tab w:val="left" w:pos="3486"/>
          <w:tab w:val="left" w:pos="5896"/>
        </w:tabs>
        <w:jc w:val="left"/>
        <w:rPr>
          <w:rFonts w:cs="David"/>
          <w:sz w:val="24"/>
          <w:szCs w:val="24"/>
          <w:rtl/>
        </w:rPr>
      </w:pPr>
    </w:p>
    <w:p w14:paraId="5FCD4A2B" w14:textId="77777777" w:rsidR="003D1A57" w:rsidRDefault="003D1A57" w:rsidP="003D1A57">
      <w:pPr>
        <w:tabs>
          <w:tab w:val="left" w:pos="3486"/>
          <w:tab w:val="left" w:pos="5896"/>
        </w:tabs>
        <w:jc w:val="left"/>
        <w:rPr>
          <w:rFonts w:cs="David"/>
          <w:sz w:val="24"/>
          <w:szCs w:val="24"/>
          <w:rtl/>
        </w:rPr>
      </w:pPr>
    </w:p>
    <w:p w14:paraId="61A33CD2" w14:textId="12028F36" w:rsidR="003D1A57" w:rsidRPr="00210827" w:rsidRDefault="00402932" w:rsidP="00DF7765">
      <w:pPr>
        <w:ind w:left="651" w:hanging="651"/>
        <w:jc w:val="center"/>
        <w:rPr>
          <w:rFonts w:cs="David"/>
          <w:b/>
          <w:bCs/>
          <w:sz w:val="28"/>
          <w:szCs w:val="28"/>
          <w:u w:val="single"/>
          <w:rtl/>
        </w:rPr>
      </w:pPr>
      <w:bookmarkStart w:id="3" w:name="About"/>
      <w:bookmarkEnd w:id="3"/>
      <w:r>
        <w:rPr>
          <w:rFonts w:cs="David"/>
          <w:b/>
          <w:bCs/>
          <w:sz w:val="28"/>
          <w:szCs w:val="28"/>
          <w:u w:val="single"/>
          <w:rtl/>
        </w:rPr>
        <w:t>תיקון הוראות החוזר המאוחד - שער 6 חלק 3 - ביטוח סיעודי</w:t>
      </w:r>
    </w:p>
    <w:p w14:paraId="4E611F07" w14:textId="745E7BC1" w:rsidR="00777F75" w:rsidRPr="00777F75" w:rsidRDefault="00402932" w:rsidP="00777F75">
      <w:pPr>
        <w:spacing w:line="360" w:lineRule="auto"/>
        <w:rPr>
          <w:rFonts w:cs="David"/>
          <w:sz w:val="24"/>
          <w:szCs w:val="24"/>
          <w:rtl/>
        </w:rPr>
      </w:pPr>
      <w:bookmarkStart w:id="4" w:name="reference"/>
      <w:bookmarkStart w:id="5" w:name="Start"/>
      <w:bookmarkEnd w:id="4"/>
      <w:bookmarkEnd w:id="5"/>
      <w:r>
        <w:rPr>
          <w:rFonts w:cs="David"/>
          <w:sz w:val="24"/>
          <w:szCs w:val="24"/>
          <w:rtl/>
        </w:rPr>
        <w:lastRenderedPageBreak/>
        <w:t xml:space="preserve"> </w:t>
      </w:r>
    </w:p>
    <w:p w14:paraId="7EF0281B" w14:textId="77777777" w:rsidR="00777F75" w:rsidRPr="00DC08AF" w:rsidRDefault="00777F75" w:rsidP="00777F75">
      <w:pPr>
        <w:ind w:left="651" w:hanging="651"/>
        <w:jc w:val="center"/>
        <w:rPr>
          <w:rFonts w:cs="David"/>
          <w:sz w:val="24"/>
          <w:szCs w:val="24"/>
          <w:rtl/>
        </w:rPr>
      </w:pPr>
    </w:p>
    <w:p w14:paraId="5E3F8878" w14:textId="77777777" w:rsidR="00777F75" w:rsidRPr="00DC08AF" w:rsidRDefault="00777F75" w:rsidP="00777F75">
      <w:pPr>
        <w:ind w:left="651" w:hanging="651"/>
        <w:jc w:val="center"/>
        <w:rPr>
          <w:rFonts w:cs="David"/>
          <w:sz w:val="24"/>
          <w:szCs w:val="24"/>
          <w:rtl/>
        </w:rPr>
      </w:pPr>
    </w:p>
    <w:p w14:paraId="46635CC1" w14:textId="77777777" w:rsidR="00777F75" w:rsidRDefault="00777F75" w:rsidP="00777F75">
      <w:pPr>
        <w:overflowPunct w:val="0"/>
        <w:autoSpaceDE w:val="0"/>
        <w:autoSpaceDN w:val="0"/>
        <w:adjustRightInd w:val="0"/>
        <w:spacing w:line="360" w:lineRule="auto"/>
        <w:ind w:left="28"/>
        <w:contextualSpacing/>
        <w:textAlignment w:val="baseline"/>
        <w:rPr>
          <w:rFonts w:cs="David"/>
          <w:sz w:val="24"/>
          <w:szCs w:val="24"/>
          <w:rtl/>
        </w:rPr>
      </w:pPr>
      <w:r w:rsidRPr="00C0722A">
        <w:rPr>
          <w:rFonts w:cs="David" w:hint="eastAsia"/>
          <w:sz w:val="24"/>
          <w:szCs w:val="24"/>
          <w:rtl/>
        </w:rPr>
        <w:t>בתוקף</w:t>
      </w:r>
      <w:r w:rsidRPr="00C0722A">
        <w:rPr>
          <w:rFonts w:cs="David"/>
          <w:sz w:val="24"/>
          <w:szCs w:val="24"/>
          <w:rtl/>
        </w:rPr>
        <w:t xml:space="preserve"> </w:t>
      </w:r>
      <w:r w:rsidRPr="00C0722A">
        <w:rPr>
          <w:rFonts w:cs="David" w:hint="eastAsia"/>
          <w:sz w:val="24"/>
          <w:szCs w:val="24"/>
          <w:rtl/>
        </w:rPr>
        <w:t>סמכותי</w:t>
      </w:r>
      <w:r w:rsidRPr="00C0722A">
        <w:rPr>
          <w:rFonts w:cs="David"/>
          <w:sz w:val="24"/>
          <w:szCs w:val="24"/>
          <w:rtl/>
        </w:rPr>
        <w:t xml:space="preserve"> </w:t>
      </w:r>
      <w:r w:rsidRPr="00C0722A">
        <w:rPr>
          <w:rFonts w:cs="David" w:hint="eastAsia"/>
          <w:sz w:val="24"/>
          <w:szCs w:val="24"/>
          <w:rtl/>
        </w:rPr>
        <w:t>לפי</w:t>
      </w:r>
      <w:r w:rsidRPr="00C0722A">
        <w:rPr>
          <w:rFonts w:cs="David"/>
          <w:sz w:val="24"/>
          <w:szCs w:val="24"/>
          <w:rtl/>
        </w:rPr>
        <w:t xml:space="preserve"> </w:t>
      </w:r>
      <w:r w:rsidRPr="00C0722A">
        <w:rPr>
          <w:rFonts w:cs="David" w:hint="eastAsia"/>
          <w:sz w:val="24"/>
          <w:szCs w:val="24"/>
          <w:rtl/>
        </w:rPr>
        <w:t>סעי</w:t>
      </w:r>
      <w:r w:rsidRPr="00C0722A">
        <w:rPr>
          <w:rFonts w:cs="David" w:hint="cs"/>
          <w:sz w:val="24"/>
          <w:szCs w:val="24"/>
          <w:rtl/>
        </w:rPr>
        <w:t>פים</w:t>
      </w:r>
      <w:r w:rsidRPr="00C0722A">
        <w:rPr>
          <w:rFonts w:cs="David"/>
          <w:sz w:val="24"/>
          <w:szCs w:val="24"/>
          <w:rtl/>
        </w:rPr>
        <w:t xml:space="preserve"> 2(ב) </w:t>
      </w:r>
      <w:r w:rsidRPr="00C0722A">
        <w:rPr>
          <w:rFonts w:cs="David" w:hint="eastAsia"/>
          <w:sz w:val="24"/>
          <w:szCs w:val="24"/>
          <w:rtl/>
        </w:rPr>
        <w:t>לחוק</w:t>
      </w:r>
      <w:r w:rsidRPr="00C0722A">
        <w:rPr>
          <w:rFonts w:cs="David"/>
          <w:sz w:val="24"/>
          <w:szCs w:val="24"/>
          <w:rtl/>
        </w:rPr>
        <w:t xml:space="preserve"> </w:t>
      </w:r>
      <w:r w:rsidRPr="00C0722A">
        <w:rPr>
          <w:rFonts w:cs="David" w:hint="eastAsia"/>
          <w:sz w:val="24"/>
          <w:szCs w:val="24"/>
          <w:rtl/>
        </w:rPr>
        <w:t>הפיקוח</w:t>
      </w:r>
      <w:r w:rsidRPr="00C0722A">
        <w:rPr>
          <w:rFonts w:cs="David"/>
          <w:sz w:val="24"/>
          <w:szCs w:val="24"/>
          <w:rtl/>
        </w:rPr>
        <w:t xml:space="preserve"> </w:t>
      </w:r>
      <w:r w:rsidRPr="00C0722A">
        <w:rPr>
          <w:rFonts w:cs="David" w:hint="eastAsia"/>
          <w:sz w:val="24"/>
          <w:szCs w:val="24"/>
          <w:rtl/>
        </w:rPr>
        <w:t>ע</w:t>
      </w:r>
      <w:r w:rsidRPr="00C0722A">
        <w:rPr>
          <w:rFonts w:cs="David"/>
          <w:sz w:val="24"/>
          <w:szCs w:val="24"/>
          <w:rtl/>
        </w:rPr>
        <w:t>ל שירותים פיננסיים (ביטוח), התשמ</w:t>
      </w:r>
      <w:r w:rsidRPr="0098202D">
        <w:rPr>
          <w:rFonts w:cs="David"/>
          <w:sz w:val="24"/>
          <w:szCs w:val="24"/>
          <w:rtl/>
        </w:rPr>
        <w:t>"א-1981</w:t>
      </w:r>
      <w:r w:rsidRPr="0098202D">
        <w:rPr>
          <w:rFonts w:cs="David" w:hint="cs"/>
          <w:sz w:val="24"/>
          <w:szCs w:val="24"/>
          <w:rtl/>
        </w:rPr>
        <w:t>, ולאחר התייעצו</w:t>
      </w:r>
      <w:r w:rsidRPr="00C0722A">
        <w:rPr>
          <w:rFonts w:cs="David" w:hint="cs"/>
          <w:sz w:val="24"/>
          <w:szCs w:val="24"/>
          <w:rtl/>
        </w:rPr>
        <w:t>ת עם הוועדה המייעצת, אני</w:t>
      </w:r>
      <w:r w:rsidRPr="00C0722A">
        <w:rPr>
          <w:rFonts w:cs="David"/>
          <w:sz w:val="24"/>
          <w:szCs w:val="24"/>
          <w:rtl/>
        </w:rPr>
        <w:t xml:space="preserve"> </w:t>
      </w:r>
      <w:r w:rsidRPr="00C0722A">
        <w:rPr>
          <w:rFonts w:cs="David" w:hint="eastAsia"/>
          <w:sz w:val="24"/>
          <w:szCs w:val="24"/>
          <w:rtl/>
        </w:rPr>
        <w:t>מורה</w:t>
      </w:r>
      <w:r w:rsidRPr="00C0722A">
        <w:rPr>
          <w:rFonts w:cs="David"/>
          <w:sz w:val="24"/>
          <w:szCs w:val="24"/>
          <w:rtl/>
        </w:rPr>
        <w:t xml:space="preserve"> </w:t>
      </w:r>
      <w:r w:rsidRPr="00C0722A">
        <w:rPr>
          <w:rFonts w:cs="David" w:hint="eastAsia"/>
          <w:sz w:val="24"/>
          <w:szCs w:val="24"/>
          <w:rtl/>
        </w:rPr>
        <w:t>כדלקמן</w:t>
      </w:r>
      <w:r w:rsidRPr="000C3FC7">
        <w:rPr>
          <w:rFonts w:cs="David"/>
          <w:sz w:val="24"/>
          <w:szCs w:val="24"/>
          <w:rtl/>
        </w:rPr>
        <w:t>:</w:t>
      </w:r>
    </w:p>
    <w:p w14:paraId="6CEA26EF" w14:textId="77777777" w:rsidR="00777F75" w:rsidRPr="000C3FC7" w:rsidRDefault="00777F75" w:rsidP="00777F75">
      <w:pPr>
        <w:overflowPunct w:val="0"/>
        <w:autoSpaceDE w:val="0"/>
        <w:autoSpaceDN w:val="0"/>
        <w:adjustRightInd w:val="0"/>
        <w:spacing w:line="360" w:lineRule="auto"/>
        <w:ind w:left="28"/>
        <w:contextualSpacing/>
        <w:textAlignment w:val="baseline"/>
        <w:rPr>
          <w:rFonts w:cs="David"/>
          <w:sz w:val="24"/>
          <w:szCs w:val="24"/>
          <w:rtl/>
        </w:rPr>
      </w:pPr>
    </w:p>
    <w:p w14:paraId="6DE4A252" w14:textId="77777777" w:rsidR="00777F75" w:rsidRPr="00B67129" w:rsidRDefault="00777F75" w:rsidP="00777F75">
      <w:pPr>
        <w:numPr>
          <w:ilvl w:val="0"/>
          <w:numId w:val="8"/>
        </w:numPr>
        <w:overflowPunct w:val="0"/>
        <w:autoSpaceDE w:val="0"/>
        <w:autoSpaceDN w:val="0"/>
        <w:adjustRightInd w:val="0"/>
        <w:spacing w:after="120" w:line="360" w:lineRule="auto"/>
        <w:contextualSpacing/>
        <w:textAlignment w:val="baseline"/>
        <w:rPr>
          <w:rFonts w:eastAsiaTheme="minorHAnsi" w:cs="David"/>
          <w:b/>
          <w:bCs/>
          <w:sz w:val="24"/>
          <w:szCs w:val="24"/>
          <w:rtl/>
          <w:lang w:eastAsia="en-US"/>
        </w:rPr>
      </w:pPr>
      <w:r w:rsidRPr="00B67129">
        <w:rPr>
          <w:rFonts w:eastAsiaTheme="minorHAnsi" w:cs="David"/>
          <w:b/>
          <w:bCs/>
          <w:sz w:val="24"/>
          <w:szCs w:val="24"/>
          <w:rtl/>
          <w:lang w:eastAsia="en-US"/>
        </w:rPr>
        <w:t>כללי</w:t>
      </w:r>
    </w:p>
    <w:p w14:paraId="764D1235" w14:textId="77777777" w:rsidR="00D8195F" w:rsidRPr="00D8195F" w:rsidRDefault="00D8195F" w:rsidP="008107B9">
      <w:pPr>
        <w:pStyle w:val="a7"/>
        <w:overflowPunct w:val="0"/>
        <w:autoSpaceDE w:val="0"/>
        <w:autoSpaceDN w:val="0"/>
        <w:adjustRightInd w:val="0"/>
        <w:spacing w:after="240"/>
        <w:ind w:left="748"/>
        <w:textAlignment w:val="baseline"/>
        <w:rPr>
          <w:rFonts w:cs="David"/>
          <w:sz w:val="20"/>
          <w:szCs w:val="24"/>
          <w:rtl/>
        </w:rPr>
      </w:pPr>
      <w:r w:rsidRPr="00D8195F">
        <w:rPr>
          <w:rFonts w:cs="David" w:hint="cs"/>
          <w:sz w:val="20"/>
          <w:szCs w:val="24"/>
          <w:rtl/>
        </w:rPr>
        <w:t>אופן ניהולן ותפעולן של קרנות המבוטחים בביטוח הסיעודי לחברי קופת החולים הוסדרו בחוזר ביטוח 2020-1-14 שעניינו "</w:t>
      </w:r>
      <w:r w:rsidRPr="00D8195F">
        <w:rPr>
          <w:rFonts w:cs="David"/>
          <w:sz w:val="20"/>
          <w:szCs w:val="24"/>
          <w:rtl/>
        </w:rPr>
        <w:t>תיקון הוראות החוזר המאוחד - שער 6 חלק 3 - ביטוח סיעודי</w:t>
      </w:r>
      <w:r w:rsidRPr="00D8195F">
        <w:rPr>
          <w:rFonts w:cs="David" w:hint="cs"/>
          <w:sz w:val="20"/>
          <w:szCs w:val="24"/>
          <w:rtl/>
        </w:rPr>
        <w:t xml:space="preserve">" (30.09.20) (להלן </w:t>
      </w:r>
      <w:r w:rsidRPr="00D8195F">
        <w:rPr>
          <w:rFonts w:cs="David"/>
          <w:sz w:val="20"/>
          <w:szCs w:val="24"/>
          <w:rtl/>
        </w:rPr>
        <w:t>–</w:t>
      </w:r>
      <w:r w:rsidRPr="00D8195F">
        <w:rPr>
          <w:rFonts w:cs="David" w:hint="cs"/>
          <w:sz w:val="20"/>
          <w:szCs w:val="24"/>
          <w:rtl/>
        </w:rPr>
        <w:t xml:space="preserve"> </w:t>
      </w:r>
      <w:r w:rsidRPr="00D8195F">
        <w:rPr>
          <w:rFonts w:cs="David" w:hint="cs"/>
          <w:b/>
          <w:bCs/>
          <w:sz w:val="20"/>
          <w:szCs w:val="24"/>
          <w:rtl/>
        </w:rPr>
        <w:t>החוזר</w:t>
      </w:r>
      <w:r w:rsidRPr="00D8195F">
        <w:rPr>
          <w:rFonts w:cs="David" w:hint="cs"/>
          <w:sz w:val="20"/>
          <w:szCs w:val="24"/>
          <w:rtl/>
        </w:rPr>
        <w:t xml:space="preserve">). </w:t>
      </w:r>
    </w:p>
    <w:p w14:paraId="467CEF94" w14:textId="213E7FC8" w:rsidR="00505D7C" w:rsidRDefault="00D8195F" w:rsidP="00B31DDD">
      <w:pPr>
        <w:pStyle w:val="a7"/>
        <w:rPr>
          <w:rFonts w:cs="David"/>
          <w:sz w:val="20"/>
          <w:szCs w:val="24"/>
          <w:rtl/>
        </w:rPr>
      </w:pPr>
      <w:r w:rsidRPr="00D8195F">
        <w:rPr>
          <w:rFonts w:cs="David" w:hint="cs"/>
          <w:sz w:val="20"/>
          <w:szCs w:val="24"/>
          <w:rtl/>
        </w:rPr>
        <w:t xml:space="preserve">במסגרת החוזר נקבע כי </w:t>
      </w:r>
      <w:r w:rsidRPr="00D8195F">
        <w:rPr>
          <w:rFonts w:cs="David"/>
          <w:sz w:val="20"/>
          <w:szCs w:val="24"/>
          <w:rtl/>
        </w:rPr>
        <w:t>הפרמיה עבור כלל הרבדים תקבע על בסיס ההנחה שמדובר בקרנות נפרדות, ובהתאם להנחות שיפרסם הממונה</w:t>
      </w:r>
      <w:r w:rsidRPr="00D8195F">
        <w:rPr>
          <w:rFonts w:cs="David" w:hint="cs"/>
          <w:sz w:val="20"/>
          <w:szCs w:val="24"/>
          <w:rtl/>
        </w:rPr>
        <w:t xml:space="preserve">. </w:t>
      </w:r>
      <w:r w:rsidR="00B31DDD">
        <w:rPr>
          <w:rFonts w:cs="David" w:hint="cs"/>
          <w:sz w:val="20"/>
          <w:szCs w:val="24"/>
          <w:rtl/>
        </w:rPr>
        <w:t>בהתאם,</w:t>
      </w:r>
      <w:r w:rsidRPr="00D8195F">
        <w:rPr>
          <w:rFonts w:cs="David" w:hint="cs"/>
          <w:sz w:val="20"/>
          <w:szCs w:val="24"/>
          <w:rtl/>
        </w:rPr>
        <w:t xml:space="preserve"> מוצע לקבוע </w:t>
      </w:r>
      <w:r w:rsidR="00B31DDD">
        <w:rPr>
          <w:rFonts w:cs="David" w:hint="cs"/>
          <w:sz w:val="20"/>
          <w:szCs w:val="24"/>
          <w:rtl/>
        </w:rPr>
        <w:t xml:space="preserve">במסגרת נספח לחוזר </w:t>
      </w:r>
      <w:r w:rsidRPr="00D8195F">
        <w:rPr>
          <w:rFonts w:cs="David" w:hint="cs"/>
          <w:sz w:val="20"/>
          <w:szCs w:val="24"/>
          <w:rtl/>
        </w:rPr>
        <w:t>את ההנחות האמורות.</w:t>
      </w:r>
    </w:p>
    <w:p w14:paraId="01816274" w14:textId="77777777" w:rsidR="00D8195F" w:rsidRDefault="00D8195F" w:rsidP="008107B9">
      <w:pPr>
        <w:pStyle w:val="a7"/>
        <w:rPr>
          <w:rFonts w:cs="David"/>
          <w:sz w:val="20"/>
          <w:szCs w:val="24"/>
          <w:rtl/>
        </w:rPr>
      </w:pPr>
    </w:p>
    <w:p w14:paraId="2F246F68" w14:textId="1D466C4E" w:rsidR="00A2672F" w:rsidRPr="00A2672F" w:rsidRDefault="00A2672F" w:rsidP="00A2672F">
      <w:pPr>
        <w:pStyle w:val="a7"/>
        <w:numPr>
          <w:ilvl w:val="0"/>
          <w:numId w:val="8"/>
        </w:numPr>
        <w:overflowPunct w:val="0"/>
        <w:autoSpaceDE w:val="0"/>
        <w:autoSpaceDN w:val="0"/>
        <w:adjustRightInd w:val="0"/>
        <w:spacing w:after="240"/>
        <w:textAlignment w:val="baseline"/>
        <w:rPr>
          <w:rFonts w:cs="David"/>
          <w:sz w:val="20"/>
          <w:szCs w:val="24"/>
        </w:rPr>
      </w:pPr>
      <w:r>
        <w:rPr>
          <w:rFonts w:cs="David" w:hint="cs"/>
          <w:b/>
          <w:bCs/>
          <w:sz w:val="20"/>
          <w:szCs w:val="24"/>
          <w:rtl/>
        </w:rPr>
        <w:t>תיקון הוראות</w:t>
      </w:r>
    </w:p>
    <w:p w14:paraId="284D440F" w14:textId="4FACA8DC" w:rsidR="00B31DDD" w:rsidRPr="00A2672F" w:rsidRDefault="00D41A0C" w:rsidP="00DF7765">
      <w:pPr>
        <w:pStyle w:val="a7"/>
        <w:overflowPunct w:val="0"/>
        <w:autoSpaceDE w:val="0"/>
        <w:autoSpaceDN w:val="0"/>
        <w:adjustRightInd w:val="0"/>
        <w:spacing w:after="240"/>
        <w:ind w:left="748"/>
        <w:textAlignment w:val="baseline"/>
        <w:rPr>
          <w:rFonts w:cs="David"/>
          <w:sz w:val="20"/>
          <w:szCs w:val="24"/>
          <w:rtl/>
        </w:rPr>
      </w:pPr>
      <w:r w:rsidRPr="00A2672F">
        <w:rPr>
          <w:rFonts w:ascii="David" w:hAnsi="David" w:cs="David"/>
          <w:szCs w:val="24"/>
          <w:rtl/>
        </w:rPr>
        <w:t xml:space="preserve">בחוזר </w:t>
      </w:r>
      <w:r w:rsidRPr="00A2672F">
        <w:rPr>
          <w:rFonts w:ascii="David" w:hAnsi="David" w:cs="David" w:hint="cs"/>
          <w:szCs w:val="24"/>
          <w:rtl/>
        </w:rPr>
        <w:t>2020-1-14</w:t>
      </w:r>
      <w:r w:rsidRPr="00A2672F">
        <w:rPr>
          <w:rFonts w:ascii="David" w:hAnsi="David" w:cs="David"/>
          <w:szCs w:val="24"/>
          <w:rtl/>
        </w:rPr>
        <w:t xml:space="preserve"> </w:t>
      </w:r>
      <w:r w:rsidRPr="00A2672F">
        <w:rPr>
          <w:rFonts w:ascii="David" w:hAnsi="David" w:cs="David" w:hint="cs"/>
          <w:szCs w:val="24"/>
          <w:rtl/>
        </w:rPr>
        <w:t>"</w:t>
      </w:r>
      <w:r w:rsidRPr="00A2672F">
        <w:rPr>
          <w:rFonts w:ascii="David" w:hAnsi="David" w:cs="David"/>
          <w:szCs w:val="24"/>
          <w:rtl/>
        </w:rPr>
        <w:t>תיקון הוראות החוזר המאוחד - שער 6 חלק 3 - ביטוח סיעודי</w:t>
      </w:r>
      <w:r w:rsidRPr="00A2672F">
        <w:rPr>
          <w:rFonts w:ascii="David" w:hAnsi="David" w:cs="David" w:hint="cs"/>
          <w:szCs w:val="24"/>
          <w:rtl/>
        </w:rPr>
        <w:t xml:space="preserve">" (30.09.20) </w:t>
      </w:r>
      <w:r w:rsidRPr="00A2672F">
        <w:rPr>
          <w:rFonts w:ascii="David" w:hAnsi="David" w:cs="David"/>
          <w:szCs w:val="24"/>
          <w:rtl/>
        </w:rPr>
        <w:t>יבואו השינויים המסומנים בתיקוני מהדורה בנספח לחוזר זה</w:t>
      </w:r>
      <w:r w:rsidR="00B31DDD">
        <w:rPr>
          <w:rFonts w:ascii="David" w:hAnsi="David" w:cs="David" w:hint="cs"/>
          <w:szCs w:val="24"/>
          <w:rtl/>
        </w:rPr>
        <w:t xml:space="preserve"> וכן יתווסף לו "נספח פרמטרים לתמחור רובד סיעוד </w:t>
      </w:r>
      <w:r w:rsidR="00760B47" w:rsidRPr="00DF7765">
        <w:rPr>
          <w:rFonts w:ascii="David" w:hAnsi="David" w:cs="David" w:hint="cs"/>
          <w:szCs w:val="24"/>
          <w:rtl/>
        </w:rPr>
        <w:t xml:space="preserve">מורחב  </w:t>
      </w:r>
      <w:r w:rsidR="00B31DDD">
        <w:rPr>
          <w:rFonts w:ascii="David" w:hAnsi="David" w:cs="David" w:hint="cs"/>
          <w:szCs w:val="24"/>
          <w:rtl/>
        </w:rPr>
        <w:t>בקופות חולים"</w:t>
      </w:r>
      <w:r w:rsidR="00B31DDD" w:rsidRPr="00A2672F">
        <w:rPr>
          <w:rFonts w:ascii="David" w:hAnsi="David" w:cs="David"/>
          <w:szCs w:val="24"/>
          <w:rtl/>
        </w:rPr>
        <w:t>.</w:t>
      </w:r>
    </w:p>
    <w:p w14:paraId="081D19EB" w14:textId="5AFE10FE" w:rsidR="008F3619" w:rsidRPr="00A2672F" w:rsidRDefault="008F3619" w:rsidP="00B31DDD">
      <w:pPr>
        <w:pStyle w:val="a7"/>
        <w:overflowPunct w:val="0"/>
        <w:autoSpaceDE w:val="0"/>
        <w:autoSpaceDN w:val="0"/>
        <w:adjustRightInd w:val="0"/>
        <w:spacing w:after="240"/>
        <w:ind w:left="748"/>
        <w:textAlignment w:val="baseline"/>
        <w:rPr>
          <w:rFonts w:cs="David"/>
          <w:sz w:val="20"/>
          <w:szCs w:val="24"/>
          <w:rtl/>
        </w:rPr>
      </w:pPr>
    </w:p>
    <w:p w14:paraId="7E0DE17E" w14:textId="77777777" w:rsidR="00777F75" w:rsidRDefault="00777F75" w:rsidP="00777F75">
      <w:pPr>
        <w:numPr>
          <w:ilvl w:val="0"/>
          <w:numId w:val="8"/>
        </w:numPr>
        <w:overflowPunct w:val="0"/>
        <w:autoSpaceDE w:val="0"/>
        <w:autoSpaceDN w:val="0"/>
        <w:adjustRightInd w:val="0"/>
        <w:spacing w:before="120" w:after="120" w:line="360" w:lineRule="auto"/>
        <w:contextualSpacing/>
        <w:textAlignment w:val="baseline"/>
        <w:rPr>
          <w:rFonts w:eastAsiaTheme="minorHAnsi" w:cs="David"/>
          <w:b/>
          <w:bCs/>
          <w:sz w:val="24"/>
          <w:szCs w:val="24"/>
          <w:lang w:eastAsia="en-US"/>
        </w:rPr>
      </w:pPr>
      <w:r>
        <w:rPr>
          <w:rFonts w:eastAsiaTheme="minorHAnsi" w:cs="David" w:hint="cs"/>
          <w:b/>
          <w:bCs/>
          <w:sz w:val="24"/>
          <w:szCs w:val="24"/>
          <w:rtl/>
          <w:lang w:eastAsia="en-US"/>
        </w:rPr>
        <w:lastRenderedPageBreak/>
        <w:t>תחולה</w:t>
      </w:r>
    </w:p>
    <w:p w14:paraId="7590929C" w14:textId="1E4DCF13" w:rsidR="00777F75" w:rsidRDefault="00777F75" w:rsidP="005A4629">
      <w:pPr>
        <w:overflowPunct w:val="0"/>
        <w:autoSpaceDE w:val="0"/>
        <w:autoSpaceDN w:val="0"/>
        <w:adjustRightInd w:val="0"/>
        <w:spacing w:before="120" w:after="120" w:line="360" w:lineRule="auto"/>
        <w:ind w:left="748"/>
        <w:contextualSpacing/>
        <w:textAlignment w:val="baseline"/>
        <w:rPr>
          <w:rFonts w:eastAsiaTheme="minorHAnsi" w:cs="David"/>
          <w:sz w:val="24"/>
          <w:szCs w:val="24"/>
          <w:rtl/>
          <w:lang w:eastAsia="en-US"/>
        </w:rPr>
      </w:pPr>
      <w:r w:rsidRPr="003B089E">
        <w:rPr>
          <w:rFonts w:eastAsiaTheme="minorHAnsi" w:cs="David" w:hint="eastAsia"/>
          <w:sz w:val="24"/>
          <w:szCs w:val="24"/>
          <w:rtl/>
          <w:lang w:eastAsia="en-US"/>
        </w:rPr>
        <w:t>הוראות</w:t>
      </w:r>
      <w:r w:rsidRPr="003B089E">
        <w:rPr>
          <w:rFonts w:eastAsiaTheme="minorHAnsi" w:cs="David"/>
          <w:sz w:val="24"/>
          <w:szCs w:val="24"/>
          <w:rtl/>
          <w:lang w:eastAsia="en-US"/>
        </w:rPr>
        <w:t xml:space="preserve"> חוזר זה יחולו על חוזים לביטוח סיעודי לחברי קופת חולים שייכרתו או יחודשו מיום פרסומ</w:t>
      </w:r>
      <w:r w:rsidRPr="003B089E">
        <w:rPr>
          <w:rFonts w:eastAsiaTheme="minorHAnsi" w:cs="David" w:hint="eastAsia"/>
          <w:sz w:val="24"/>
          <w:szCs w:val="24"/>
          <w:rtl/>
          <w:lang w:eastAsia="en-US"/>
        </w:rPr>
        <w:t>ו</w:t>
      </w:r>
      <w:r w:rsidRPr="003B089E">
        <w:rPr>
          <w:rFonts w:eastAsiaTheme="minorHAnsi" w:cs="David"/>
          <w:sz w:val="24"/>
          <w:szCs w:val="24"/>
          <w:rtl/>
          <w:lang w:eastAsia="en-US"/>
        </w:rPr>
        <w:t xml:space="preserve"> של </w:t>
      </w:r>
      <w:r w:rsidRPr="003B089E">
        <w:rPr>
          <w:rFonts w:eastAsiaTheme="minorHAnsi" w:cs="David" w:hint="eastAsia"/>
          <w:sz w:val="24"/>
          <w:szCs w:val="24"/>
          <w:rtl/>
          <w:lang w:eastAsia="en-US"/>
        </w:rPr>
        <w:t>חוזר</w:t>
      </w:r>
      <w:r w:rsidRPr="003B089E">
        <w:rPr>
          <w:rFonts w:eastAsiaTheme="minorHAnsi" w:cs="David"/>
          <w:sz w:val="24"/>
          <w:szCs w:val="24"/>
          <w:rtl/>
          <w:lang w:eastAsia="en-US"/>
        </w:rPr>
        <w:t xml:space="preserve"> </w:t>
      </w:r>
      <w:r w:rsidRPr="003B089E">
        <w:rPr>
          <w:rFonts w:eastAsiaTheme="minorHAnsi" w:cs="David" w:hint="eastAsia"/>
          <w:sz w:val="24"/>
          <w:szCs w:val="24"/>
          <w:rtl/>
          <w:lang w:eastAsia="en-US"/>
        </w:rPr>
        <w:t>זה</w:t>
      </w:r>
      <w:r w:rsidRPr="003B089E">
        <w:rPr>
          <w:rFonts w:eastAsiaTheme="minorHAnsi" w:cs="David"/>
          <w:sz w:val="24"/>
          <w:szCs w:val="24"/>
          <w:rtl/>
          <w:lang w:eastAsia="en-US"/>
        </w:rPr>
        <w:t>.</w:t>
      </w:r>
    </w:p>
    <w:p w14:paraId="44ACEBA4" w14:textId="0EF469B2" w:rsidR="00505D7C" w:rsidRPr="00B52009" w:rsidRDefault="00777F75" w:rsidP="00777F75">
      <w:pPr>
        <w:pStyle w:val="a7"/>
        <w:numPr>
          <w:ilvl w:val="0"/>
          <w:numId w:val="8"/>
        </w:numPr>
        <w:overflowPunct w:val="0"/>
        <w:autoSpaceDE w:val="0"/>
        <w:autoSpaceDN w:val="0"/>
        <w:adjustRightInd w:val="0"/>
        <w:textAlignment w:val="baseline"/>
        <w:rPr>
          <w:rFonts w:cs="David"/>
          <w:szCs w:val="24"/>
        </w:rPr>
      </w:pPr>
      <w:r w:rsidRPr="00B52009">
        <w:rPr>
          <w:rFonts w:cs="David" w:hint="eastAsia"/>
          <w:b/>
          <w:bCs/>
          <w:szCs w:val="24"/>
          <w:rtl/>
        </w:rPr>
        <w:t>תחילה</w:t>
      </w:r>
    </w:p>
    <w:p w14:paraId="54E97105" w14:textId="77777777" w:rsidR="00777F75" w:rsidRPr="008107B9" w:rsidRDefault="00777F75" w:rsidP="008107B9">
      <w:pPr>
        <w:pStyle w:val="a7"/>
        <w:overflowPunct w:val="0"/>
        <w:autoSpaceDE w:val="0"/>
        <w:autoSpaceDN w:val="0"/>
        <w:adjustRightInd w:val="0"/>
        <w:ind w:left="748"/>
        <w:textAlignment w:val="baseline"/>
        <w:rPr>
          <w:rFonts w:eastAsia="Times New Roman" w:cs="David"/>
          <w:sz w:val="26"/>
          <w:szCs w:val="24"/>
          <w:rtl/>
          <w:lang w:eastAsia="he-IL"/>
        </w:rPr>
      </w:pPr>
      <w:r w:rsidRPr="008107B9">
        <w:rPr>
          <w:rFonts w:cs="David" w:hint="eastAsia"/>
          <w:szCs w:val="24"/>
          <w:rtl/>
        </w:rPr>
        <w:t>תחילתו</w:t>
      </w:r>
      <w:r w:rsidRPr="008107B9">
        <w:rPr>
          <w:rFonts w:eastAsia="Times New Roman" w:cs="David"/>
          <w:sz w:val="26"/>
          <w:szCs w:val="24"/>
          <w:rtl/>
          <w:lang w:eastAsia="he-IL"/>
        </w:rPr>
        <w:t xml:space="preserve"> של חוזר זה </w:t>
      </w:r>
      <w:r w:rsidRPr="008107B9">
        <w:rPr>
          <w:rFonts w:eastAsia="Times New Roman" w:cs="David" w:hint="eastAsia"/>
          <w:sz w:val="26"/>
          <w:szCs w:val="24"/>
          <w:rtl/>
          <w:lang w:eastAsia="he-IL"/>
        </w:rPr>
        <w:t>מ</w:t>
      </w:r>
      <w:r w:rsidRPr="008107B9">
        <w:rPr>
          <w:rFonts w:eastAsia="Times New Roman" w:cs="David"/>
          <w:sz w:val="26"/>
          <w:szCs w:val="24"/>
          <w:rtl/>
          <w:lang w:eastAsia="he-IL"/>
        </w:rPr>
        <w:t xml:space="preserve">יום </w:t>
      </w:r>
      <w:r w:rsidRPr="008107B9">
        <w:rPr>
          <w:rFonts w:eastAsia="Times New Roman" w:cs="David" w:hint="eastAsia"/>
          <w:sz w:val="26"/>
          <w:szCs w:val="24"/>
          <w:rtl/>
          <w:lang w:eastAsia="he-IL"/>
        </w:rPr>
        <w:t>פרסומו</w:t>
      </w:r>
      <w:r w:rsidRPr="008107B9">
        <w:rPr>
          <w:rFonts w:eastAsia="Times New Roman" w:cs="David"/>
          <w:sz w:val="26"/>
          <w:szCs w:val="24"/>
          <w:rtl/>
          <w:lang w:eastAsia="he-IL"/>
        </w:rPr>
        <w:t xml:space="preserve"> (להלן - </w:t>
      </w:r>
      <w:r w:rsidRPr="008107B9">
        <w:rPr>
          <w:rFonts w:eastAsia="Times New Roman" w:cs="David" w:hint="eastAsia"/>
          <w:b/>
          <w:bCs/>
          <w:sz w:val="26"/>
          <w:szCs w:val="24"/>
          <w:rtl/>
          <w:lang w:eastAsia="he-IL"/>
        </w:rPr>
        <w:t>יום</w:t>
      </w:r>
      <w:r w:rsidRPr="008107B9">
        <w:rPr>
          <w:rFonts w:eastAsia="Times New Roman" w:cs="David"/>
          <w:b/>
          <w:bCs/>
          <w:sz w:val="26"/>
          <w:szCs w:val="24"/>
          <w:rtl/>
          <w:lang w:eastAsia="he-IL"/>
        </w:rPr>
        <w:t xml:space="preserve"> </w:t>
      </w:r>
      <w:r w:rsidRPr="008107B9">
        <w:rPr>
          <w:rFonts w:eastAsia="Times New Roman" w:cs="David" w:hint="eastAsia"/>
          <w:b/>
          <w:bCs/>
          <w:sz w:val="26"/>
          <w:szCs w:val="24"/>
          <w:rtl/>
          <w:lang w:eastAsia="he-IL"/>
        </w:rPr>
        <w:t>התחילה</w:t>
      </w:r>
      <w:r w:rsidRPr="008107B9">
        <w:rPr>
          <w:rFonts w:eastAsia="Times New Roman" w:cs="David"/>
          <w:sz w:val="26"/>
          <w:szCs w:val="24"/>
          <w:rtl/>
          <w:lang w:eastAsia="he-IL"/>
        </w:rPr>
        <w:t xml:space="preserve">). </w:t>
      </w:r>
    </w:p>
    <w:p w14:paraId="46D0E936" w14:textId="607719B2" w:rsidR="00777F75" w:rsidRDefault="00777F75" w:rsidP="00777F75">
      <w:pPr>
        <w:overflowPunct w:val="0"/>
        <w:autoSpaceDE w:val="0"/>
        <w:autoSpaceDN w:val="0"/>
        <w:adjustRightInd w:val="0"/>
        <w:spacing w:before="120" w:after="120" w:line="360" w:lineRule="auto"/>
        <w:ind w:left="4348" w:firstLine="692"/>
        <w:contextualSpacing/>
        <w:textAlignment w:val="baseline"/>
        <w:rPr>
          <w:rFonts w:cs="David"/>
          <w:sz w:val="24"/>
          <w:szCs w:val="24"/>
          <w:rtl/>
        </w:rPr>
      </w:pPr>
    </w:p>
    <w:p w14:paraId="578F99D4" w14:textId="77777777" w:rsidR="00777F75" w:rsidRDefault="00777F75" w:rsidP="00777F75">
      <w:pPr>
        <w:overflowPunct w:val="0"/>
        <w:autoSpaceDE w:val="0"/>
        <w:autoSpaceDN w:val="0"/>
        <w:adjustRightInd w:val="0"/>
        <w:spacing w:before="120" w:after="120" w:line="360" w:lineRule="auto"/>
        <w:ind w:left="4348" w:firstLine="692"/>
        <w:contextualSpacing/>
        <w:textAlignment w:val="baseline"/>
        <w:rPr>
          <w:rFonts w:cs="David"/>
          <w:sz w:val="24"/>
          <w:szCs w:val="24"/>
          <w:rtl/>
        </w:rPr>
      </w:pPr>
    </w:p>
    <w:p w14:paraId="3B0D325B" w14:textId="77777777" w:rsidR="00777F75" w:rsidRPr="00DC08AF" w:rsidRDefault="00777F75" w:rsidP="007A6A16">
      <w:pPr>
        <w:overflowPunct w:val="0"/>
        <w:autoSpaceDE w:val="0"/>
        <w:autoSpaceDN w:val="0"/>
        <w:adjustRightInd w:val="0"/>
        <w:spacing w:before="120" w:after="120" w:line="360" w:lineRule="auto"/>
        <w:ind w:left="4320" w:firstLine="692"/>
        <w:contextualSpacing/>
        <w:textAlignment w:val="baseline"/>
        <w:rPr>
          <w:rFonts w:cs="David"/>
          <w:sz w:val="24"/>
          <w:szCs w:val="24"/>
          <w:rtl/>
        </w:rPr>
      </w:pPr>
      <w:r>
        <w:rPr>
          <w:rFonts w:cs="David" w:hint="cs"/>
          <w:sz w:val="24"/>
          <w:szCs w:val="24"/>
          <w:rtl/>
        </w:rPr>
        <w:t>ד"ר משה ברקת</w:t>
      </w:r>
    </w:p>
    <w:p w14:paraId="0451ACD2" w14:textId="77777777" w:rsidR="00777F75" w:rsidRDefault="00777F75" w:rsidP="007A6A16">
      <w:pPr>
        <w:tabs>
          <w:tab w:val="center" w:pos="2359"/>
          <w:tab w:val="center" w:pos="5619"/>
        </w:tabs>
        <w:spacing w:line="360" w:lineRule="auto"/>
        <w:ind w:left="1440"/>
        <w:contextualSpacing/>
        <w:jc w:val="left"/>
        <w:rPr>
          <w:rFonts w:cs="David"/>
          <w:sz w:val="24"/>
          <w:szCs w:val="24"/>
          <w:rtl/>
        </w:rPr>
      </w:pPr>
      <w:r>
        <w:rPr>
          <w:rFonts w:cs="David" w:hint="cs"/>
          <w:sz w:val="24"/>
          <w:szCs w:val="24"/>
          <w:rtl/>
        </w:rPr>
        <w:tab/>
      </w:r>
      <w:r>
        <w:rPr>
          <w:rFonts w:cs="David" w:hint="cs"/>
          <w:sz w:val="24"/>
          <w:szCs w:val="24"/>
          <w:rtl/>
        </w:rPr>
        <w:tab/>
      </w:r>
      <w:r w:rsidRPr="00A3535F">
        <w:rPr>
          <w:rFonts w:cs="David"/>
          <w:sz w:val="24"/>
          <w:szCs w:val="24"/>
          <w:rtl/>
        </w:rPr>
        <w:t>הממונה על שוק ההון, ביטוח וחיסכון</w:t>
      </w:r>
    </w:p>
    <w:p w14:paraId="4C5FAD02" w14:textId="77777777" w:rsidR="00777F75" w:rsidRPr="00E80D71" w:rsidRDefault="00777F75" w:rsidP="00777F75">
      <w:pPr>
        <w:pStyle w:val="2"/>
        <w:contextualSpacing/>
        <w:jc w:val="center"/>
        <w:rPr>
          <w:rFonts w:ascii="David" w:eastAsia="Times New Roman" w:hAnsi="David" w:cs="David"/>
          <w:caps w:val="0"/>
          <w:spacing w:val="0"/>
          <w:sz w:val="24"/>
          <w:szCs w:val="24"/>
          <w:u w:val="single"/>
          <w:rtl/>
          <w:lang w:eastAsia="he-IL"/>
        </w:rPr>
      </w:pPr>
      <w:r w:rsidRPr="00316DCE">
        <w:rPr>
          <w:rFonts w:cs="David"/>
          <w:sz w:val="24"/>
          <w:szCs w:val="24"/>
          <w:rtl/>
        </w:rPr>
        <w:br w:type="page"/>
      </w:r>
      <w:r w:rsidRPr="00E80D71">
        <w:rPr>
          <w:rFonts w:ascii="David" w:eastAsia="Times New Roman" w:hAnsi="David" w:cs="David"/>
          <w:caps w:val="0"/>
          <w:spacing w:val="0"/>
          <w:sz w:val="24"/>
          <w:szCs w:val="24"/>
          <w:u w:val="single"/>
          <w:rtl/>
          <w:lang w:eastAsia="he-IL"/>
        </w:rPr>
        <w:lastRenderedPageBreak/>
        <w:t>נספח</w:t>
      </w:r>
    </w:p>
    <w:p w14:paraId="0D7D12D3" w14:textId="77777777" w:rsidR="00777F75" w:rsidRPr="00E80D71" w:rsidRDefault="00777F75" w:rsidP="00777F75">
      <w:pPr>
        <w:spacing w:after="240" w:line="360" w:lineRule="auto"/>
        <w:ind w:left="357"/>
        <w:jc w:val="center"/>
        <w:outlineLvl w:val="1"/>
        <w:rPr>
          <w:rFonts w:ascii="David" w:hAnsi="David" w:cs="David"/>
          <w:b/>
          <w:bCs/>
          <w:sz w:val="24"/>
          <w:szCs w:val="24"/>
          <w:u w:val="single"/>
          <w:rtl/>
        </w:rPr>
      </w:pPr>
      <w:r w:rsidRPr="00E80D71">
        <w:rPr>
          <w:rFonts w:ascii="David" w:hAnsi="David" w:cs="David"/>
          <w:b/>
          <w:bCs/>
          <w:sz w:val="24"/>
          <w:szCs w:val="24"/>
          <w:u w:val="single"/>
          <w:rtl/>
        </w:rPr>
        <w:t xml:space="preserve"> תיקון הוראות החוזר המאוחד שער 6 חלק 3 - ביטוח סיעודי</w:t>
      </w:r>
    </w:p>
    <w:p w14:paraId="1247EE1D" w14:textId="77777777" w:rsidR="00777F75" w:rsidRPr="00E80D71" w:rsidRDefault="00777F75" w:rsidP="00777F75">
      <w:pPr>
        <w:spacing w:after="480" w:line="360" w:lineRule="auto"/>
        <w:ind w:left="651" w:hanging="651"/>
        <w:contextualSpacing/>
        <w:rPr>
          <w:rFonts w:ascii="David" w:hAnsi="David" w:cs="David"/>
          <w:b/>
          <w:bCs/>
          <w:sz w:val="24"/>
          <w:szCs w:val="24"/>
          <w:u w:val="single"/>
          <w:rtl/>
        </w:rPr>
      </w:pPr>
      <w:r w:rsidRPr="00E80D71">
        <w:rPr>
          <w:rFonts w:ascii="David" w:hAnsi="David" w:cs="David"/>
          <w:b/>
          <w:bCs/>
          <w:sz w:val="24"/>
          <w:szCs w:val="24"/>
          <w:u w:val="single"/>
          <w:rtl/>
        </w:rPr>
        <w:t>הגדרות</w:t>
      </w:r>
    </w:p>
    <w:tbl>
      <w:tblPr>
        <w:bidiVisual/>
        <w:tblW w:w="9697"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8053"/>
      </w:tblGrid>
      <w:tr w:rsidR="00777F75" w:rsidRPr="00E80D71" w14:paraId="684C80FB" w14:textId="77777777" w:rsidTr="00505D7C">
        <w:trPr>
          <w:trHeight w:val="315"/>
        </w:trPr>
        <w:tc>
          <w:tcPr>
            <w:tcW w:w="1644" w:type="dxa"/>
            <w:shd w:val="clear" w:color="auto" w:fill="auto"/>
            <w:hideMark/>
          </w:tcPr>
          <w:p w14:paraId="6C86909F" w14:textId="77777777" w:rsidR="00777F75" w:rsidRPr="00E80D71" w:rsidRDefault="00777F75" w:rsidP="00505D7C">
            <w:pPr>
              <w:tabs>
                <w:tab w:val="left" w:pos="4762"/>
              </w:tabs>
              <w:spacing w:before="120" w:after="120" w:line="360" w:lineRule="auto"/>
              <w:rPr>
                <w:rFonts w:ascii="David" w:eastAsia="Calibri" w:hAnsi="David" w:cs="David"/>
                <w:b/>
                <w:bCs/>
                <w:sz w:val="24"/>
                <w:szCs w:val="24"/>
                <w:lang w:eastAsia="en-US"/>
              </w:rPr>
            </w:pPr>
            <w:r w:rsidRPr="00E80D71">
              <w:rPr>
                <w:rFonts w:ascii="David" w:eastAsia="Calibri" w:hAnsi="David" w:cs="David"/>
                <w:b/>
                <w:bCs/>
                <w:sz w:val="24"/>
                <w:szCs w:val="24"/>
                <w:rtl/>
                <w:lang w:eastAsia="en-US"/>
              </w:rPr>
              <w:t>מונח</w:t>
            </w:r>
          </w:p>
        </w:tc>
        <w:tc>
          <w:tcPr>
            <w:tcW w:w="8053" w:type="dxa"/>
            <w:shd w:val="clear" w:color="auto" w:fill="auto"/>
            <w:hideMark/>
          </w:tcPr>
          <w:p w14:paraId="0167058C"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Calibri" w:hAnsi="David" w:cs="David"/>
                <w:b/>
                <w:bCs/>
                <w:sz w:val="24"/>
                <w:szCs w:val="24"/>
                <w:rtl/>
                <w:lang w:eastAsia="en-US"/>
              </w:rPr>
              <w:t>הגדרה</w:t>
            </w:r>
          </w:p>
        </w:tc>
      </w:tr>
      <w:tr w:rsidR="00777F75" w:rsidRPr="00E80D71" w14:paraId="694F98F4" w14:textId="77777777" w:rsidTr="00505D7C">
        <w:trPr>
          <w:trHeight w:val="315"/>
        </w:trPr>
        <w:tc>
          <w:tcPr>
            <w:tcW w:w="1644" w:type="dxa"/>
            <w:shd w:val="clear" w:color="auto" w:fill="auto"/>
          </w:tcPr>
          <w:p w14:paraId="59FD1512"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b/>
                <w:bCs/>
                <w:sz w:val="24"/>
                <w:szCs w:val="24"/>
                <w:rtl/>
                <w:lang w:eastAsia="en-US"/>
              </w:rPr>
              <w:t>אמצעי דיגיטלי</w:t>
            </w:r>
          </w:p>
        </w:tc>
        <w:tc>
          <w:tcPr>
            <w:tcW w:w="8053" w:type="dxa"/>
            <w:shd w:val="clear" w:color="auto" w:fill="auto"/>
          </w:tcPr>
          <w:p w14:paraId="5D1E2A74"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sz w:val="24"/>
                <w:szCs w:val="24"/>
                <w:rtl/>
                <w:lang w:eastAsia="en-US"/>
              </w:rPr>
              <w:t>כתובת דואר אלקטרוני או מסרון למספר טלפון נייד, ככל שמספר הטלפון הנייד מקבל הודעות טקסט;</w:t>
            </w:r>
          </w:p>
        </w:tc>
      </w:tr>
      <w:tr w:rsidR="00777F75" w:rsidRPr="00E80D71" w14:paraId="3C589280" w14:textId="77777777" w:rsidTr="00505D7C">
        <w:trPr>
          <w:trHeight w:val="315"/>
        </w:trPr>
        <w:tc>
          <w:tcPr>
            <w:tcW w:w="1644" w:type="dxa"/>
            <w:shd w:val="clear" w:color="auto" w:fill="auto"/>
          </w:tcPr>
          <w:p w14:paraId="2DABA94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בגיר </w:t>
            </w:r>
          </w:p>
        </w:tc>
        <w:tc>
          <w:tcPr>
            <w:tcW w:w="8053" w:type="dxa"/>
            <w:shd w:val="clear" w:color="auto" w:fill="auto"/>
          </w:tcPr>
          <w:p w14:paraId="2D8AAE97"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מבוטח שהגיע לגיל בגרות בהתאם להוראות הפוליסה</w:t>
            </w:r>
            <w:r w:rsidRPr="00E80D71">
              <w:rPr>
                <w:rFonts w:ascii="David" w:eastAsiaTheme="minorHAnsi" w:hAnsi="David" w:cs="David"/>
                <w:sz w:val="24"/>
                <w:szCs w:val="24"/>
                <w:rtl/>
              </w:rPr>
              <w:t xml:space="preserve"> או שהגיע לגיל 25 המוקדם מביניהם</w:t>
            </w:r>
          </w:p>
        </w:tc>
      </w:tr>
      <w:tr w:rsidR="00777F75" w:rsidRPr="00E80D71" w14:paraId="17877D5D" w14:textId="77777777" w:rsidTr="00505D7C">
        <w:trPr>
          <w:trHeight w:val="315"/>
        </w:trPr>
        <w:tc>
          <w:tcPr>
            <w:tcW w:w="1644" w:type="dxa"/>
            <w:shd w:val="clear" w:color="auto" w:fill="auto"/>
          </w:tcPr>
          <w:p w14:paraId="2CF90275"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לחברי קופ"ח</w:t>
            </w:r>
            <w:r w:rsidRPr="00E80D71">
              <w:rPr>
                <w:rFonts w:ascii="David" w:eastAsiaTheme="minorHAnsi" w:hAnsi="David" w:cs="David"/>
                <w:b/>
                <w:bCs/>
                <w:sz w:val="24"/>
                <w:szCs w:val="24"/>
                <w:vertAlign w:val="superscript"/>
                <w:rtl/>
                <w:lang w:eastAsia="en-US"/>
              </w:rPr>
              <w:footnoteReference w:id="1"/>
            </w:r>
          </w:p>
        </w:tc>
        <w:tc>
          <w:tcPr>
            <w:tcW w:w="8053" w:type="dxa"/>
            <w:shd w:val="clear" w:color="auto" w:fill="auto"/>
          </w:tcPr>
          <w:p w14:paraId="67E000B1"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כהגדרתו בהוראות הפיקוח על שירותים פיננסיים (ביטוח)(ביטוח סיעוד קבוצתי לחברי קופת חולים), התשע"ו-2015</w:t>
            </w:r>
            <w:r w:rsidRPr="00E80D71">
              <w:rPr>
                <w:rFonts w:ascii="David" w:eastAsiaTheme="minorHAnsi" w:hAnsi="David" w:cs="David"/>
                <w:sz w:val="24"/>
                <w:szCs w:val="24"/>
                <w:rtl/>
                <w:lang w:eastAsia="en-US"/>
              </w:rPr>
              <w:t>;</w:t>
            </w:r>
          </w:p>
        </w:tc>
      </w:tr>
      <w:tr w:rsidR="00777F75" w:rsidRPr="00E80D71" w14:paraId="02DC6B63" w14:textId="77777777" w:rsidTr="00505D7C">
        <w:trPr>
          <w:trHeight w:val="315"/>
        </w:trPr>
        <w:tc>
          <w:tcPr>
            <w:tcW w:w="1644" w:type="dxa"/>
            <w:shd w:val="clear" w:color="auto" w:fill="auto"/>
          </w:tcPr>
          <w:p w14:paraId="43E1245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קבוצתי</w:t>
            </w:r>
            <w:r w:rsidRPr="00E80D71">
              <w:rPr>
                <w:rFonts w:ascii="David" w:eastAsiaTheme="minorHAnsi" w:hAnsi="David" w:cs="David"/>
                <w:b/>
                <w:bCs/>
                <w:sz w:val="24"/>
                <w:szCs w:val="24"/>
                <w:vertAlign w:val="superscript"/>
                <w:rtl/>
                <w:lang w:eastAsia="en-US"/>
              </w:rPr>
              <w:footnoteReference w:id="2"/>
            </w:r>
          </w:p>
        </w:tc>
        <w:tc>
          <w:tcPr>
            <w:tcW w:w="8053" w:type="dxa"/>
            <w:shd w:val="clear" w:color="auto" w:fill="auto"/>
          </w:tcPr>
          <w:p w14:paraId="2F3AEE80"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ביטוח שעורך בעל פוליסה עבור חבריו, למעט בעל פוליסה שהוא קופת חולים;</w:t>
            </w:r>
          </w:p>
        </w:tc>
      </w:tr>
      <w:tr w:rsidR="00777F75" w:rsidRPr="00E80D71" w14:paraId="420A14AB" w14:textId="77777777" w:rsidTr="00505D7C">
        <w:trPr>
          <w:trHeight w:val="315"/>
        </w:trPr>
        <w:tc>
          <w:tcPr>
            <w:tcW w:w="1644" w:type="dxa"/>
            <w:shd w:val="clear" w:color="auto" w:fill="auto"/>
          </w:tcPr>
          <w:p w14:paraId="5D1061FF"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בן משפחה קרוב</w:t>
            </w:r>
            <w:r w:rsidRPr="00E80D71">
              <w:rPr>
                <w:rFonts w:ascii="David" w:eastAsiaTheme="minorHAnsi" w:hAnsi="David" w:cs="David"/>
                <w:b/>
                <w:bCs/>
                <w:sz w:val="24"/>
                <w:szCs w:val="24"/>
                <w:vertAlign w:val="superscript"/>
                <w:rtl/>
                <w:lang w:eastAsia="en-US"/>
              </w:rPr>
              <w:footnoteReference w:id="3"/>
            </w:r>
          </w:p>
        </w:tc>
        <w:tc>
          <w:tcPr>
            <w:tcW w:w="8053" w:type="dxa"/>
            <w:shd w:val="clear" w:color="auto" w:fill="auto"/>
          </w:tcPr>
          <w:p w14:paraId="588C53D9"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לרבות בן או בת זוג של מבוטח, הוריו, ילדיו, אחיו, סבו, סבתו, נכדיו;</w:t>
            </w:r>
          </w:p>
          <w:p w14:paraId="1A797F01"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p>
        </w:tc>
      </w:tr>
      <w:tr w:rsidR="00777F75" w:rsidRPr="00E80D71" w14:paraId="7FE7C447" w14:textId="77777777" w:rsidTr="00505D7C">
        <w:trPr>
          <w:trHeight w:val="315"/>
        </w:trPr>
        <w:tc>
          <w:tcPr>
            <w:tcW w:w="1644" w:type="dxa"/>
            <w:shd w:val="clear" w:color="auto" w:fill="auto"/>
          </w:tcPr>
          <w:p w14:paraId="17C7ACA8"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גבול אחריות</w:t>
            </w:r>
            <w:r w:rsidRPr="00E80D71">
              <w:rPr>
                <w:rFonts w:ascii="David" w:eastAsiaTheme="minorHAnsi" w:hAnsi="David" w:cs="David"/>
                <w:b/>
                <w:bCs/>
                <w:sz w:val="24"/>
                <w:szCs w:val="24"/>
                <w:vertAlign w:val="superscript"/>
                <w:rtl/>
                <w:lang w:eastAsia="en-US"/>
              </w:rPr>
              <w:footnoteReference w:id="4"/>
            </w:r>
          </w:p>
        </w:tc>
        <w:tc>
          <w:tcPr>
            <w:tcW w:w="8053" w:type="dxa"/>
            <w:shd w:val="clear" w:color="auto" w:fill="auto"/>
          </w:tcPr>
          <w:p w14:paraId="623755E9"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hAnsi="David" w:cs="David"/>
                <w:sz w:val="24"/>
                <w:szCs w:val="24"/>
                <w:rtl/>
              </w:rPr>
              <w:t>סכום הכיסוי המקסימלי אותו מתחייבת חברת ביטוח לשלם למבוטח בקרות מקרה ביטוח בהתאם לתנאי הביטוח;</w:t>
            </w:r>
          </w:p>
        </w:tc>
      </w:tr>
      <w:tr w:rsidR="00777F75" w:rsidRPr="00E80D71" w14:paraId="4FB7FA4E" w14:textId="77777777" w:rsidTr="00505D7C">
        <w:trPr>
          <w:trHeight w:val="315"/>
        </w:trPr>
        <w:tc>
          <w:tcPr>
            <w:tcW w:w="1644" w:type="dxa"/>
            <w:shd w:val="clear" w:color="auto" w:fill="auto"/>
          </w:tcPr>
          <w:p w14:paraId="7961C29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הערכת תפקוד</w:t>
            </w:r>
          </w:p>
        </w:tc>
        <w:tc>
          <w:tcPr>
            <w:tcW w:w="8053" w:type="dxa"/>
            <w:shd w:val="clear" w:color="auto" w:fill="auto"/>
          </w:tcPr>
          <w:p w14:paraId="3672085F" w14:textId="77777777" w:rsidR="00777F75" w:rsidRPr="00E80D71" w:rsidRDefault="00777F75" w:rsidP="00505D7C">
            <w:pPr>
              <w:tabs>
                <w:tab w:val="left" w:pos="4762"/>
              </w:tabs>
              <w:spacing w:before="120" w:after="120" w:line="360" w:lineRule="auto"/>
              <w:rPr>
                <w:rFonts w:ascii="David" w:hAnsi="David" w:cs="David"/>
                <w:sz w:val="24"/>
                <w:szCs w:val="24"/>
                <w:rtl/>
              </w:rPr>
            </w:pPr>
            <w:r w:rsidRPr="00E80D71">
              <w:rPr>
                <w:rFonts w:ascii="David" w:hAnsi="David" w:cs="David"/>
                <w:sz w:val="24"/>
                <w:szCs w:val="24"/>
                <w:rtl/>
              </w:rPr>
              <w:t>בחינת יכולתו התפקודית של מבוטח בביטוח סיעודי;</w:t>
            </w:r>
          </w:p>
        </w:tc>
      </w:tr>
      <w:tr w:rsidR="00777F75" w:rsidRPr="00E80D71" w14:paraId="4D909868" w14:textId="77777777" w:rsidTr="00505D7C">
        <w:trPr>
          <w:trHeight w:val="630"/>
        </w:trPr>
        <w:tc>
          <w:tcPr>
            <w:tcW w:w="1644" w:type="dxa"/>
            <w:shd w:val="clear" w:color="auto" w:fill="auto"/>
          </w:tcPr>
          <w:p w14:paraId="600A5B5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הצטרפות לראשונה לביטוח</w:t>
            </w:r>
            <w:r w:rsidRPr="00E80D71">
              <w:rPr>
                <w:rFonts w:ascii="David" w:eastAsiaTheme="minorHAnsi" w:hAnsi="David" w:cs="David"/>
                <w:b/>
                <w:bCs/>
                <w:sz w:val="24"/>
                <w:szCs w:val="24"/>
                <w:vertAlign w:val="superscript"/>
                <w:rtl/>
                <w:lang w:eastAsia="en-US"/>
              </w:rPr>
              <w:footnoteReference w:id="5"/>
            </w:r>
          </w:p>
        </w:tc>
        <w:tc>
          <w:tcPr>
            <w:tcW w:w="8053" w:type="dxa"/>
            <w:shd w:val="clear" w:color="auto" w:fill="auto"/>
          </w:tcPr>
          <w:p w14:paraId="085F5D72"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הצטרפות מבוטח לביטוח סיעודי קבוצתי כלשהו, ששווק לראשונה או חודש לראשונה אחרי 1 בספטמבר 2017, אשר החל ממנה הוא מבוטח ברצף;</w:t>
            </w:r>
          </w:p>
        </w:tc>
      </w:tr>
      <w:tr w:rsidR="00777F75" w:rsidRPr="00E80D71" w14:paraId="6D3756F0" w14:textId="77777777" w:rsidTr="00505D7C">
        <w:trPr>
          <w:trHeight w:val="630"/>
        </w:trPr>
        <w:tc>
          <w:tcPr>
            <w:tcW w:w="1644" w:type="dxa"/>
            <w:shd w:val="clear" w:color="auto" w:fill="auto"/>
          </w:tcPr>
          <w:p w14:paraId="3F33BE4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lastRenderedPageBreak/>
              <w:t>השתלה</w:t>
            </w:r>
            <w:r w:rsidRPr="00E80D71">
              <w:rPr>
                <w:rFonts w:ascii="David" w:eastAsiaTheme="minorHAnsi" w:hAnsi="David" w:cs="David"/>
                <w:b/>
                <w:bCs/>
                <w:sz w:val="24"/>
                <w:szCs w:val="24"/>
                <w:vertAlign w:val="superscript"/>
                <w:lang w:eastAsia="en-US"/>
              </w:rPr>
              <w:footnoteReference w:id="6"/>
            </w:r>
          </w:p>
        </w:tc>
        <w:tc>
          <w:tcPr>
            <w:tcW w:w="8053" w:type="dxa"/>
            <w:shd w:val="clear" w:color="auto" w:fill="auto"/>
          </w:tcPr>
          <w:p w14:paraId="3F166961"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כריתה כירורגית או הוצאה מגוף המבוטח של ריאה, לב, כליה, לבלב, כבד, וכל שילוב ביניהם, והשתלת איבר שלם או חלק מאיבר אשר נלקחו מגופו של אדם אחר במקומם, או השתלה של מח עצמות מתורם אחר בגוף המבוטח; </w:t>
            </w:r>
          </w:p>
          <w:p w14:paraId="59D576B1" w14:textId="77777777" w:rsidR="00777F75" w:rsidRPr="00E80D71" w:rsidRDefault="00777F75" w:rsidP="00505D7C">
            <w:pPr>
              <w:tabs>
                <w:tab w:val="left" w:pos="1800"/>
                <w:tab w:val="left" w:pos="4762"/>
              </w:tabs>
              <w:spacing w:before="120" w:after="120" w:line="360" w:lineRule="auto"/>
              <w:rPr>
                <w:rFonts w:ascii="David" w:hAnsi="David" w:cs="David"/>
                <w:b/>
                <w:noProof/>
                <w:sz w:val="24"/>
                <w:szCs w:val="24"/>
                <w:highlight w:val="cyan"/>
              </w:rPr>
            </w:pPr>
            <w:r w:rsidRPr="00E80D71">
              <w:rPr>
                <w:rFonts w:ascii="David" w:eastAsiaTheme="minorHAnsi" w:hAnsi="David" w:cs="David"/>
                <w:sz w:val="24"/>
                <w:szCs w:val="24"/>
                <w:rtl/>
                <w:lang w:eastAsia="en-US"/>
              </w:rPr>
              <w:t>השתלה תכלול גם השתלת לב מלאכותי, בשלב בו הפרוצדורה הפסיקה להיות מוגדרת כניסיונית בישראל. במקרה בו יושתל לב מלאכותי כפרוצדורה הקודמת להשתלת לב מגופו של אדם אחר, יחשב הדבר כמקרה ביטוח אחד;</w:t>
            </w:r>
          </w:p>
        </w:tc>
      </w:tr>
      <w:tr w:rsidR="00777F75" w:rsidRPr="00E80D71" w14:paraId="4C28255D" w14:textId="77777777" w:rsidTr="00505D7C">
        <w:trPr>
          <w:trHeight w:val="945"/>
        </w:trPr>
        <w:tc>
          <w:tcPr>
            <w:tcW w:w="1644" w:type="dxa"/>
            <w:shd w:val="clear" w:color="auto" w:fill="auto"/>
          </w:tcPr>
          <w:p w14:paraId="7F0F31F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זכות המשכיות לפוליסת פרט</w:t>
            </w:r>
          </w:p>
        </w:tc>
        <w:tc>
          <w:tcPr>
            <w:tcW w:w="8053" w:type="dxa"/>
            <w:shd w:val="clear" w:color="auto" w:fill="auto"/>
          </w:tcPr>
          <w:p w14:paraId="04FBD507"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בהוראות הפיקוח על שירותים פיננסיים (ביטוח) (ביטוח סיעוד קבוצתי לחברי קופת חולים), התשע"ו-2015;</w:t>
            </w:r>
          </w:p>
        </w:tc>
      </w:tr>
      <w:tr w:rsidR="00777F75" w:rsidRPr="00E80D71" w14:paraId="5F2AF475" w14:textId="77777777" w:rsidTr="00505D7C">
        <w:trPr>
          <w:trHeight w:val="945"/>
        </w:trPr>
        <w:tc>
          <w:tcPr>
            <w:tcW w:w="1644" w:type="dxa"/>
            <w:shd w:val="clear" w:color="auto" w:fill="auto"/>
          </w:tcPr>
          <w:p w14:paraId="3B2E46FD" w14:textId="77777777" w:rsidR="00777F75" w:rsidRPr="00E80D71" w:rsidDel="004C2486"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חבילה</w:t>
            </w:r>
            <w:r w:rsidRPr="00E80D71">
              <w:rPr>
                <w:rFonts w:ascii="David" w:eastAsiaTheme="minorHAnsi" w:hAnsi="David" w:cs="David"/>
                <w:b/>
                <w:bCs/>
                <w:sz w:val="24"/>
                <w:szCs w:val="24"/>
                <w:vertAlign w:val="superscript"/>
                <w:rtl/>
                <w:lang w:eastAsia="en-US"/>
              </w:rPr>
              <w:footnoteReference w:id="7"/>
            </w:r>
          </w:p>
        </w:tc>
        <w:tc>
          <w:tcPr>
            <w:tcW w:w="8053" w:type="dxa"/>
            <w:shd w:val="clear" w:color="auto" w:fill="auto"/>
          </w:tcPr>
          <w:p w14:paraId="79662874" w14:textId="77777777" w:rsidR="00777F75" w:rsidRPr="00E80D71" w:rsidDel="004C2486"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תכניות לביטוח בריאות המשווקות ביחד, בין אם נעשו לפי תכנית בסיס ובין אם שנעשו לפי תכנית נוספת;</w:t>
            </w:r>
          </w:p>
        </w:tc>
      </w:tr>
      <w:tr w:rsidR="00777F75" w:rsidRPr="00E80D71" w14:paraId="196BAE7A" w14:textId="77777777" w:rsidTr="00505D7C">
        <w:trPr>
          <w:trHeight w:val="375"/>
        </w:trPr>
        <w:tc>
          <w:tcPr>
            <w:tcW w:w="1644" w:type="dxa"/>
            <w:shd w:val="clear" w:color="auto" w:fill="auto"/>
          </w:tcPr>
          <w:p w14:paraId="0DF1125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חשבון אישי מקוון</w:t>
            </w:r>
          </w:p>
        </w:tc>
        <w:tc>
          <w:tcPr>
            <w:tcW w:w="8053" w:type="dxa"/>
            <w:shd w:val="clear" w:color="auto" w:fill="auto"/>
          </w:tcPr>
          <w:p w14:paraId="74591AF2"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חשבון פרטי של מבוטח באתר האינטרנט של גוף מוסדי שבו מקבל הלקוח שירותי אחזור מידע, בהתאם להוראות חוזר ביטוח 2016-1-6, בנושא "אחזור מידע אישי", מיום 23 במאי 2016;</w:t>
            </w:r>
          </w:p>
        </w:tc>
      </w:tr>
      <w:tr w:rsidR="00777F75" w:rsidRPr="00E80D71" w14:paraId="1C27AF66" w14:textId="77777777" w:rsidTr="00505D7C">
        <w:trPr>
          <w:trHeight w:val="375"/>
        </w:trPr>
        <w:tc>
          <w:tcPr>
            <w:tcW w:w="1644" w:type="dxa"/>
            <w:shd w:val="clear" w:color="auto" w:fill="auto"/>
          </w:tcPr>
          <w:p w14:paraId="53113BD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יכולת תפקודית</w:t>
            </w:r>
          </w:p>
        </w:tc>
        <w:tc>
          <w:tcPr>
            <w:tcW w:w="8053" w:type="dxa"/>
            <w:shd w:val="clear" w:color="auto" w:fill="auto"/>
          </w:tcPr>
          <w:p w14:paraId="57315F73"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יכולתו של מבוטח לבצע פעולות </w:t>
            </w:r>
            <w:r w:rsidRPr="00E80D71">
              <w:rPr>
                <w:rFonts w:ascii="David" w:eastAsiaTheme="minorHAnsi" w:hAnsi="David" w:cs="David"/>
                <w:sz w:val="24"/>
                <w:szCs w:val="24"/>
                <w:lang w:eastAsia="en-US"/>
              </w:rPr>
              <w:t>ADL</w:t>
            </w:r>
            <w:r w:rsidRPr="00E80D71">
              <w:rPr>
                <w:rFonts w:ascii="David" w:eastAsiaTheme="minorHAnsi" w:hAnsi="David" w:cs="David"/>
                <w:sz w:val="24"/>
                <w:szCs w:val="24"/>
                <w:rtl/>
                <w:lang w:eastAsia="en-US"/>
              </w:rPr>
              <w:t xml:space="preserve"> בהתאם לסעיף 2.2.6(א)(1), או היותו של המבוטח תשוש נפש, כהגדרתו בסעיף 2.2.6(א)(2) או יכולתו של מבוטח כמוגדר בהגדרת מקרה הביטוח בפוליסה שברשות המבוטח, אם נקבעה בפוליסה הגדרה אחרת מהאמור;</w:t>
            </w:r>
          </w:p>
        </w:tc>
      </w:tr>
      <w:tr w:rsidR="00777F75" w:rsidRPr="00E80D71" w14:paraId="6F07E453" w14:textId="77777777" w:rsidTr="00505D7C">
        <w:trPr>
          <w:trHeight w:val="375"/>
        </w:trPr>
        <w:tc>
          <w:tcPr>
            <w:tcW w:w="1644" w:type="dxa"/>
            <w:shd w:val="clear" w:color="auto" w:fill="auto"/>
          </w:tcPr>
          <w:p w14:paraId="39808FC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כיסוי ביטוחי לניתוחים 'מהשקל הראשון'</w:t>
            </w:r>
            <w:r w:rsidRPr="00E80D71">
              <w:rPr>
                <w:rFonts w:ascii="David" w:eastAsiaTheme="minorHAnsi" w:hAnsi="David" w:cs="David"/>
                <w:b/>
                <w:bCs/>
                <w:sz w:val="24"/>
                <w:szCs w:val="24"/>
                <w:vertAlign w:val="superscript"/>
                <w:rtl/>
                <w:lang w:eastAsia="en-US"/>
              </w:rPr>
              <w:footnoteReference w:id="8"/>
            </w:r>
          </w:p>
        </w:tc>
        <w:tc>
          <w:tcPr>
            <w:tcW w:w="8053" w:type="dxa"/>
            <w:shd w:val="clear" w:color="auto" w:fill="auto"/>
          </w:tcPr>
          <w:p w14:paraId="1417C5B1"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כיסוי המקנה שיפוי (החזר הוצאות) בשל ביצוע ניתוחים פרטיים בישראל;</w:t>
            </w:r>
          </w:p>
        </w:tc>
      </w:tr>
      <w:tr w:rsidR="00777F75" w:rsidRPr="00E80D71" w14:paraId="726E5E80" w14:textId="77777777" w:rsidTr="00505D7C">
        <w:trPr>
          <w:trHeight w:val="375"/>
        </w:trPr>
        <w:tc>
          <w:tcPr>
            <w:tcW w:w="1644" w:type="dxa"/>
            <w:shd w:val="clear" w:color="auto" w:fill="auto"/>
          </w:tcPr>
          <w:p w14:paraId="1CCF39D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כיסוי ביטוחי משלים לניתוחים</w:t>
            </w:r>
            <w:r w:rsidRPr="00E80D71">
              <w:rPr>
                <w:rFonts w:ascii="David" w:eastAsiaTheme="minorHAnsi" w:hAnsi="David" w:cs="David"/>
                <w:b/>
                <w:bCs/>
                <w:sz w:val="24"/>
                <w:szCs w:val="24"/>
                <w:vertAlign w:val="superscript"/>
                <w:rtl/>
                <w:lang w:eastAsia="en-US"/>
              </w:rPr>
              <w:footnoteReference w:id="9"/>
            </w:r>
          </w:p>
        </w:tc>
        <w:tc>
          <w:tcPr>
            <w:tcW w:w="8053" w:type="dxa"/>
            <w:shd w:val="clear" w:color="auto" w:fill="auto"/>
          </w:tcPr>
          <w:p w14:paraId="54EBBAE9"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תכנית בעלת כיסוי ביטוחי משלים לביצוע ניתוחים פרטיים בישראל, היינו תכנית שמתחשבת בזכויות הניתנות במסגרת תכנית השב"ן לביצוע ניתוחים פרטיים;</w:t>
            </w:r>
          </w:p>
        </w:tc>
      </w:tr>
      <w:tr w:rsidR="00777F75" w:rsidRPr="00E80D71" w14:paraId="3F023197" w14:textId="77777777" w:rsidTr="00505D7C">
        <w:trPr>
          <w:trHeight w:val="375"/>
        </w:trPr>
        <w:tc>
          <w:tcPr>
            <w:tcW w:w="1644" w:type="dxa"/>
            <w:shd w:val="clear" w:color="auto" w:fill="auto"/>
          </w:tcPr>
          <w:p w14:paraId="0F2C36E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ראשי</w:t>
            </w:r>
          </w:p>
        </w:tc>
        <w:tc>
          <w:tcPr>
            <w:tcW w:w="8053" w:type="dxa"/>
            <w:shd w:val="clear" w:color="auto" w:fill="auto"/>
          </w:tcPr>
          <w:p w14:paraId="2E42429C"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 xml:space="preserve">מי שהתקשר עם </w:t>
            </w:r>
            <w:r>
              <w:rPr>
                <w:rFonts w:ascii="David" w:hAnsi="David" w:cs="David" w:hint="cs"/>
                <w:sz w:val="24"/>
                <w:szCs w:val="24"/>
                <w:rtl/>
              </w:rPr>
              <w:t>חברת ביטוח</w:t>
            </w:r>
            <w:r w:rsidRPr="00E80D71">
              <w:rPr>
                <w:rFonts w:ascii="David" w:hAnsi="David" w:cs="David"/>
                <w:sz w:val="24"/>
                <w:szCs w:val="24"/>
                <w:rtl/>
              </w:rPr>
              <w:t xml:space="preserve"> בחוזה ביטוח עבורו וגם עבור משפחתו</w:t>
            </w:r>
          </w:p>
        </w:tc>
      </w:tr>
      <w:tr w:rsidR="00777F75" w:rsidRPr="00E80D71" w14:paraId="35976240" w14:textId="77777777" w:rsidTr="00505D7C">
        <w:trPr>
          <w:trHeight w:val="375"/>
        </w:trPr>
        <w:tc>
          <w:tcPr>
            <w:tcW w:w="1644" w:type="dxa"/>
            <w:shd w:val="clear" w:color="auto" w:fill="auto"/>
          </w:tcPr>
          <w:p w14:paraId="52353C4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זכאי</w:t>
            </w:r>
          </w:p>
        </w:tc>
        <w:tc>
          <w:tcPr>
            <w:tcW w:w="8053" w:type="dxa"/>
            <w:shd w:val="clear" w:color="auto" w:fill="auto"/>
          </w:tcPr>
          <w:p w14:paraId="5F575CF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כהגדרתו בהוראות הפיקוח על שירותים פיננסיים (ביטוח) (ביטוח סיעוד קבוצתי לחברי קופת חולים), התשע"ו-2015;</w:t>
            </w:r>
          </w:p>
        </w:tc>
      </w:tr>
      <w:tr w:rsidR="00777F75" w:rsidRPr="00E80D71" w14:paraId="532050B2" w14:textId="77777777" w:rsidTr="00505D7C">
        <w:trPr>
          <w:trHeight w:val="375"/>
        </w:trPr>
        <w:tc>
          <w:tcPr>
            <w:tcW w:w="1644" w:type="dxa"/>
            <w:shd w:val="clear" w:color="auto" w:fill="auto"/>
          </w:tcPr>
          <w:p w14:paraId="0BA1134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מחלה קשה</w:t>
            </w:r>
            <w:r w:rsidRPr="00E80D71">
              <w:rPr>
                <w:rFonts w:ascii="David" w:eastAsiaTheme="minorHAnsi" w:hAnsi="David" w:cs="David"/>
                <w:b/>
                <w:bCs/>
                <w:sz w:val="24"/>
                <w:szCs w:val="24"/>
                <w:vertAlign w:val="superscript"/>
                <w:rtl/>
                <w:lang w:eastAsia="en-US"/>
              </w:rPr>
              <w:footnoteReference w:id="10"/>
            </w:r>
          </w:p>
        </w:tc>
        <w:tc>
          <w:tcPr>
            <w:tcW w:w="8053" w:type="dxa"/>
            <w:shd w:val="clear" w:color="auto" w:fill="auto"/>
          </w:tcPr>
          <w:p w14:paraId="3D6C94E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מחלה קשה, אירוע רפואי חמור או פרוצדורה רפואית משמעותית, שנהוג לכסותם בביטוח מסוג מחלות קשות;</w:t>
            </w:r>
          </w:p>
          <w:p w14:paraId="099A5305" w14:textId="77777777" w:rsidR="00777F75" w:rsidRPr="00E80D71" w:rsidRDefault="00777F75" w:rsidP="00505D7C">
            <w:pPr>
              <w:tabs>
                <w:tab w:val="left" w:pos="1800"/>
                <w:tab w:val="left" w:pos="4762"/>
              </w:tabs>
              <w:spacing w:before="120" w:after="120" w:line="360" w:lineRule="auto"/>
              <w:rPr>
                <w:rFonts w:ascii="David" w:hAnsi="David" w:cs="David"/>
                <w:sz w:val="24"/>
                <w:szCs w:val="24"/>
                <w:rtl/>
              </w:rPr>
            </w:pPr>
          </w:p>
          <w:p w14:paraId="006F9128"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r w:rsidR="00777F75" w:rsidRPr="00E80D71" w14:paraId="32769C20" w14:textId="77777777" w:rsidTr="00505D7C">
        <w:trPr>
          <w:trHeight w:val="375"/>
        </w:trPr>
        <w:tc>
          <w:tcPr>
            <w:tcW w:w="1644" w:type="dxa"/>
            <w:shd w:val="clear" w:color="auto" w:fill="auto"/>
          </w:tcPr>
          <w:p w14:paraId="19C49A1A"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מצב רפואי קודם</w:t>
            </w:r>
            <w:r w:rsidRPr="00E80D71">
              <w:rPr>
                <w:rFonts w:ascii="David" w:eastAsiaTheme="minorHAnsi" w:hAnsi="David" w:cs="David"/>
                <w:b/>
                <w:bCs/>
                <w:sz w:val="24"/>
                <w:szCs w:val="24"/>
                <w:vertAlign w:val="superscript"/>
                <w:rtl/>
                <w:lang w:eastAsia="en-US"/>
              </w:rPr>
              <w:footnoteReference w:id="11"/>
            </w:r>
          </w:p>
        </w:tc>
        <w:tc>
          <w:tcPr>
            <w:tcW w:w="8053" w:type="dxa"/>
            <w:shd w:val="clear" w:color="auto" w:fill="auto"/>
          </w:tcPr>
          <w:p w14:paraId="2658A9CB"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מחלה שבשלה היה המבוטח בטיפול או בהשגחה בעת צאתו לחוץ לארץ או במשך ששת החדשים שקדמו לצאתו, ולמעט כאשר קבלת הטיפול היתה מטרת הנסיעה;</w:t>
            </w:r>
          </w:p>
        </w:tc>
      </w:tr>
      <w:tr w:rsidR="00777F75" w:rsidRPr="00E80D71" w14:paraId="2CDD4966" w14:textId="77777777" w:rsidTr="00505D7C">
        <w:trPr>
          <w:trHeight w:val="375"/>
        </w:trPr>
        <w:tc>
          <w:tcPr>
            <w:tcW w:w="1644" w:type="dxa"/>
            <w:shd w:val="clear" w:color="auto" w:fill="auto"/>
          </w:tcPr>
          <w:p w14:paraId="0B50472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משפחה גרעינית</w:t>
            </w:r>
            <w:r w:rsidRPr="00E80D71">
              <w:rPr>
                <w:rFonts w:ascii="David" w:eastAsiaTheme="minorHAnsi" w:hAnsi="David" w:cs="David"/>
                <w:b/>
                <w:bCs/>
                <w:sz w:val="24"/>
                <w:szCs w:val="24"/>
                <w:vertAlign w:val="superscript"/>
                <w:rtl/>
                <w:lang w:eastAsia="en-US"/>
              </w:rPr>
              <w:footnoteReference w:id="12"/>
            </w:r>
          </w:p>
        </w:tc>
        <w:tc>
          <w:tcPr>
            <w:tcW w:w="8053" w:type="dxa"/>
            <w:shd w:val="clear" w:color="auto" w:fill="auto"/>
          </w:tcPr>
          <w:p w14:paraId="21C565C0"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בן או בת זוג של מבוטח וילדי כל אחד מהם;</w:t>
            </w:r>
          </w:p>
        </w:tc>
      </w:tr>
      <w:tr w:rsidR="00777F75" w:rsidRPr="00E80D71" w14:paraId="567F178D" w14:textId="77777777" w:rsidTr="00505D7C">
        <w:trPr>
          <w:trHeight w:val="375"/>
        </w:trPr>
        <w:tc>
          <w:tcPr>
            <w:tcW w:w="1644" w:type="dxa"/>
            <w:shd w:val="clear" w:color="auto" w:fill="auto"/>
          </w:tcPr>
          <w:p w14:paraId="40558EF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ניתוח</w:t>
            </w:r>
            <w:r w:rsidRPr="00E80D71">
              <w:rPr>
                <w:rFonts w:ascii="David" w:eastAsiaTheme="minorHAnsi" w:hAnsi="David" w:cs="David"/>
                <w:b/>
                <w:bCs/>
                <w:sz w:val="24"/>
                <w:szCs w:val="24"/>
                <w:vertAlign w:val="superscript"/>
                <w:lang w:eastAsia="en-US"/>
              </w:rPr>
              <w:footnoteReference w:id="13"/>
            </w:r>
          </w:p>
        </w:tc>
        <w:tc>
          <w:tcPr>
            <w:tcW w:w="8053" w:type="dxa"/>
            <w:shd w:val="clear" w:color="auto" w:fill="auto"/>
          </w:tcPr>
          <w:p w14:paraId="2D5998E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פעולה פולשנית-חדירתית (</w:t>
            </w:r>
            <w:r w:rsidRPr="00E80D71">
              <w:rPr>
                <w:rFonts w:ascii="David" w:eastAsiaTheme="minorHAnsi" w:hAnsi="David" w:cs="David"/>
                <w:sz w:val="24"/>
                <w:szCs w:val="24"/>
                <w:lang w:eastAsia="en-US"/>
              </w:rPr>
              <w:t>Invasive Procedure</w:t>
            </w:r>
            <w:r w:rsidRPr="00E80D71">
              <w:rPr>
                <w:rFonts w:ascii="David" w:eastAsiaTheme="minorHAnsi" w:hAnsi="David" w:cs="David"/>
                <w:sz w:val="24"/>
                <w:szCs w:val="24"/>
                <w:rtl/>
                <w:lang w:eastAsia="en-US"/>
              </w:rPr>
              <w:t>) החודרת דרך רקמות ומטרתה טיפול במחלה ו/או פגיעה ו/או תיקון פגם או עיוות אצל המבוטח;</w:t>
            </w:r>
          </w:p>
          <w:p w14:paraId="614CB31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במסגרת זו יראו כניתוח גם פעולות פולשניות-חודרניות, כולל פעולה המתבצעת באמצעות קרן לייזר, לאבחון או לטיפול, וכן הראית אברים פנימיים בדרך אנדוסקופית, צנתור, אנגיוגרפיה וכן ריסוק אבני כליה או מרה על ידי גלי קול;</w:t>
            </w:r>
          </w:p>
        </w:tc>
      </w:tr>
      <w:tr w:rsidR="00777F75" w:rsidRPr="00E80D71" w14:paraId="28958A2D" w14:textId="77777777" w:rsidTr="00505D7C">
        <w:trPr>
          <w:trHeight w:val="375"/>
        </w:trPr>
        <w:tc>
          <w:tcPr>
            <w:tcW w:w="1644" w:type="dxa"/>
            <w:shd w:val="clear" w:color="auto" w:fill="auto"/>
          </w:tcPr>
          <w:p w14:paraId="64B75DC7"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ניתוח אלקטיבי</w:t>
            </w:r>
            <w:r w:rsidRPr="00E80D71">
              <w:rPr>
                <w:rFonts w:ascii="David" w:eastAsiaTheme="minorHAnsi" w:hAnsi="David" w:cs="David"/>
                <w:b/>
                <w:bCs/>
                <w:sz w:val="24"/>
                <w:szCs w:val="24"/>
                <w:vertAlign w:val="superscript"/>
                <w:lang w:eastAsia="en-US"/>
              </w:rPr>
              <w:footnoteReference w:id="14"/>
            </w:r>
          </w:p>
        </w:tc>
        <w:tc>
          <w:tcPr>
            <w:tcW w:w="8053" w:type="dxa"/>
            <w:shd w:val="clear" w:color="auto" w:fill="auto"/>
          </w:tcPr>
          <w:p w14:paraId="69958829"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ניתוח שהצורך בו היה צפוי, ואשר קבלתו של המבוטח לבית החולים לצורך ביצוע הניתוח אינה נעשית באמצעות הפניה מחדר מיון כמקרה דחוף, אלא שהמבוטח הופנה לניתוח על ידי רופא מומחה ממרפאה (לרבות מרפאת חוץ של בית החולים);</w:t>
            </w:r>
            <w:r w:rsidRPr="00E80D71">
              <w:rPr>
                <w:rFonts w:ascii="David" w:eastAsia="Calibri" w:hAnsi="David" w:cs="David"/>
                <w:sz w:val="24"/>
                <w:szCs w:val="24"/>
                <w:rtl/>
                <w:lang w:eastAsia="en-US"/>
              </w:rPr>
              <w:t xml:space="preserve"> </w:t>
            </w:r>
          </w:p>
        </w:tc>
      </w:tr>
      <w:tr w:rsidR="00777F75" w:rsidRPr="00E80D71" w14:paraId="7350BFB7" w14:textId="77777777" w:rsidTr="00505D7C">
        <w:trPr>
          <w:trHeight w:val="375"/>
        </w:trPr>
        <w:tc>
          <w:tcPr>
            <w:tcW w:w="1644" w:type="dxa"/>
            <w:shd w:val="clear" w:color="auto" w:fill="auto"/>
          </w:tcPr>
          <w:p w14:paraId="0BE2AEC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סל טיפולים</w:t>
            </w:r>
            <w:r w:rsidRPr="00E80D71">
              <w:rPr>
                <w:rFonts w:ascii="David" w:eastAsiaTheme="minorHAnsi" w:hAnsi="David" w:cs="David"/>
                <w:b/>
                <w:bCs/>
                <w:sz w:val="24"/>
                <w:szCs w:val="24"/>
                <w:vertAlign w:val="superscript"/>
                <w:rtl/>
                <w:lang w:eastAsia="en-US"/>
              </w:rPr>
              <w:footnoteReference w:id="15"/>
            </w:r>
          </w:p>
        </w:tc>
        <w:tc>
          <w:tcPr>
            <w:tcW w:w="8053" w:type="dxa"/>
            <w:shd w:val="clear" w:color="auto" w:fill="auto"/>
          </w:tcPr>
          <w:p w14:paraId="1258A8C5"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ביטוחי שיניים - </w:t>
            </w:r>
          </w:p>
          <w:p w14:paraId="6E4F4D2E"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קבוצת טיפולים שקובצו ומהווים פרק בתכנית הביטוח (לדוגמה: סל בסיסי - הכולל טיפולים משמרים בלבד, סל מורחב - הכולל גם טיפולים משקמים, סל הכולל טיפולים אורתודנטים וכדומה); </w:t>
            </w:r>
            <w:r w:rsidRPr="00E80D71">
              <w:rPr>
                <w:rFonts w:ascii="David" w:eastAsia="Calibri" w:hAnsi="David" w:cs="David"/>
                <w:sz w:val="24"/>
                <w:szCs w:val="24"/>
                <w:rtl/>
                <w:lang w:eastAsia="en-US"/>
              </w:rPr>
              <w:t xml:space="preserve"> </w:t>
            </w:r>
          </w:p>
        </w:tc>
      </w:tr>
      <w:tr w:rsidR="00777F75" w:rsidRPr="00E80D71" w14:paraId="72DEFF66" w14:textId="77777777" w:rsidTr="00505D7C">
        <w:trPr>
          <w:trHeight w:val="375"/>
        </w:trPr>
        <w:tc>
          <w:tcPr>
            <w:tcW w:w="1644" w:type="dxa"/>
            <w:shd w:val="clear" w:color="auto" w:fill="auto"/>
          </w:tcPr>
          <w:p w14:paraId="7BD7BFCB"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ספק הערכות תפקוד</w:t>
            </w:r>
          </w:p>
        </w:tc>
        <w:tc>
          <w:tcPr>
            <w:tcW w:w="8053" w:type="dxa"/>
            <w:shd w:val="clear" w:color="auto" w:fill="auto"/>
          </w:tcPr>
          <w:p w14:paraId="1EE5D9BE"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בעל מקצוע, לרבות תאגיד, שהוא, או מי מעובדיו, בעל רישיון לעסוק ברפואה, לפי פקודת הרופאים [נוסח חדש], התשל"ז-1976, או בעל תעודת אח מוסמך שרשום בפנקס הרלוונטי במשרד הבריאות, שהוא בעל הכשרה מספקת לביצוע הערכת תפקוד וכן בעל ניסיון בעבודה עם האוכלוסייה המבוגרת;</w:t>
            </w:r>
          </w:p>
        </w:tc>
      </w:tr>
      <w:tr w:rsidR="00777F75" w:rsidRPr="00E80D71" w14:paraId="099A116D" w14:textId="77777777" w:rsidTr="00505D7C">
        <w:trPr>
          <w:trHeight w:val="375"/>
        </w:trPr>
        <w:tc>
          <w:tcPr>
            <w:tcW w:w="1644" w:type="dxa"/>
            <w:shd w:val="clear" w:color="auto" w:fill="auto"/>
          </w:tcPr>
          <w:p w14:paraId="6FF8E0CA"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עלייה או שינוי בדמי הביטוח</w:t>
            </w:r>
            <w:r w:rsidRPr="00E80D71">
              <w:rPr>
                <w:rFonts w:ascii="David" w:eastAsiaTheme="minorHAnsi" w:hAnsi="David" w:cs="David"/>
                <w:b/>
                <w:bCs/>
                <w:sz w:val="24"/>
                <w:szCs w:val="24"/>
                <w:vertAlign w:val="superscript"/>
                <w:rtl/>
                <w:lang w:eastAsia="en-US"/>
              </w:rPr>
              <w:footnoteReference w:id="16"/>
            </w:r>
          </w:p>
          <w:p w14:paraId="39D4A59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2DE13D3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סעיף קטן 2.2.1 - </w:t>
            </w:r>
          </w:p>
          <w:p w14:paraId="34F72D8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למעט שינוי הנובע מהצמדה למדד שנקבע בתכנית או בשל מעבר בין קבוצות גיל או בשל סיום הנחה שניתנה לתקופה קצובה, כפי שפורטו בטבלת דמי הביטוח האחרונה שנמסרה למבוטח;</w:t>
            </w:r>
          </w:p>
        </w:tc>
      </w:tr>
      <w:tr w:rsidR="00777F75" w:rsidRPr="00E80D71" w14:paraId="6F7556DF" w14:textId="77777777" w:rsidTr="00505D7C">
        <w:trPr>
          <w:trHeight w:val="375"/>
        </w:trPr>
        <w:tc>
          <w:tcPr>
            <w:tcW w:w="1644" w:type="dxa"/>
            <w:shd w:val="clear" w:color="auto" w:fill="auto"/>
          </w:tcPr>
          <w:p w14:paraId="769B285C"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t>ערך מסולק</w:t>
            </w:r>
            <w:r w:rsidRPr="00E80D71">
              <w:rPr>
                <w:rFonts w:ascii="David" w:eastAsiaTheme="minorHAnsi" w:hAnsi="David" w:cs="David"/>
                <w:b/>
                <w:bCs/>
                <w:sz w:val="24"/>
                <w:szCs w:val="24"/>
                <w:vertAlign w:val="superscript"/>
                <w:rtl/>
                <w:lang w:eastAsia="en-US"/>
              </w:rPr>
              <w:footnoteReference w:id="17"/>
            </w:r>
          </w:p>
        </w:tc>
        <w:tc>
          <w:tcPr>
            <w:tcW w:w="8053" w:type="dxa"/>
            <w:shd w:val="clear" w:color="auto" w:fill="auto"/>
          </w:tcPr>
          <w:p w14:paraId="3968403E"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highlight w:val="lightGray"/>
                <w:lang w:eastAsia="en-US"/>
              </w:rPr>
            </w:pPr>
            <w:r w:rsidRPr="00E80D71">
              <w:rPr>
                <w:rFonts w:ascii="David" w:eastAsiaTheme="minorHAnsi" w:hAnsi="David" w:cs="David"/>
                <w:sz w:val="24"/>
                <w:szCs w:val="24"/>
                <w:rtl/>
                <w:lang w:eastAsia="en-US"/>
              </w:rPr>
              <w:t>סכום הביטוח שבתוקף לאחר הפסקת תשלומי הפרמיה, הנגזר מהרזרבה שנצברה למבוטח מסוים;</w:t>
            </w:r>
          </w:p>
        </w:tc>
      </w:tr>
      <w:tr w:rsidR="00777F75" w:rsidRPr="00E80D71" w14:paraId="7CE534A8" w14:textId="77777777" w:rsidTr="00505D7C">
        <w:trPr>
          <w:trHeight w:val="375"/>
        </w:trPr>
        <w:tc>
          <w:tcPr>
            <w:tcW w:w="1644" w:type="dxa"/>
            <w:shd w:val="clear" w:color="auto" w:fill="auto"/>
          </w:tcPr>
          <w:p w14:paraId="0392ACB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ערך פדיון</w:t>
            </w:r>
            <w:r w:rsidRPr="00E80D71">
              <w:rPr>
                <w:rFonts w:ascii="David" w:eastAsiaTheme="minorHAnsi" w:hAnsi="David" w:cs="David"/>
                <w:b/>
                <w:bCs/>
                <w:sz w:val="24"/>
                <w:szCs w:val="24"/>
                <w:vertAlign w:val="superscript"/>
                <w:rtl/>
                <w:lang w:eastAsia="en-US"/>
              </w:rPr>
              <w:footnoteReference w:id="18"/>
            </w:r>
            <w:r w:rsidRPr="00E80D71">
              <w:rPr>
                <w:rFonts w:ascii="David" w:eastAsiaTheme="minorHAnsi" w:hAnsi="David" w:cs="David"/>
                <w:b/>
                <w:bCs/>
                <w:sz w:val="24"/>
                <w:szCs w:val="24"/>
                <w:rtl/>
                <w:lang w:eastAsia="en-US"/>
              </w:rPr>
              <w:t xml:space="preserve"> </w:t>
            </w:r>
          </w:p>
        </w:tc>
        <w:tc>
          <w:tcPr>
            <w:tcW w:w="8053" w:type="dxa"/>
            <w:shd w:val="clear" w:color="auto" w:fill="auto"/>
          </w:tcPr>
          <w:p w14:paraId="2CF98EBA"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סכום כספי שהמבוטח זכאי לו בעת ביטול הפוליסה, הנגזר מהרזרבה שנצברה לזכותו באותו מועד;</w:t>
            </w:r>
          </w:p>
        </w:tc>
      </w:tr>
      <w:tr w:rsidR="00777F75" w:rsidRPr="00E80D71" w14:paraId="32D3D823" w14:textId="77777777" w:rsidTr="00505D7C">
        <w:trPr>
          <w:trHeight w:val="375"/>
        </w:trPr>
        <w:tc>
          <w:tcPr>
            <w:tcW w:w="1644" w:type="dxa"/>
            <w:shd w:val="clear" w:color="auto" w:fill="auto"/>
          </w:tcPr>
          <w:p w14:paraId="00220EF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 xml:space="preserve">פוליסה </w:t>
            </w:r>
            <w:r w:rsidRPr="00E80D71">
              <w:rPr>
                <w:rFonts w:ascii="David" w:eastAsiaTheme="minorHAnsi" w:hAnsi="David" w:cs="David"/>
                <w:b/>
                <w:bCs/>
                <w:sz w:val="24"/>
                <w:szCs w:val="24"/>
                <w:vertAlign w:val="superscript"/>
                <w:rtl/>
                <w:lang w:eastAsia="en-US"/>
              </w:rPr>
              <w:footnoteReference w:id="19"/>
            </w:r>
          </w:p>
        </w:tc>
        <w:tc>
          <w:tcPr>
            <w:tcW w:w="8053" w:type="dxa"/>
            <w:shd w:val="clear" w:color="auto" w:fill="auto"/>
          </w:tcPr>
          <w:p w14:paraId="35A5C06D"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פוליסה לביטוח בריאות שנעשתה לפי תכנית בסיס ותכנית נוספת, לרבות פוליסה שנעשתה לפי חבילה;</w:t>
            </w:r>
          </w:p>
        </w:tc>
      </w:tr>
      <w:tr w:rsidR="00777F75" w:rsidRPr="00E80D71" w14:paraId="33CA64BC" w14:textId="77777777" w:rsidTr="00505D7C">
        <w:trPr>
          <w:trHeight w:val="375"/>
        </w:trPr>
        <w:tc>
          <w:tcPr>
            <w:tcW w:w="1644" w:type="dxa"/>
            <w:shd w:val="clear" w:color="auto" w:fill="auto"/>
          </w:tcPr>
          <w:p w14:paraId="041783F8"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פוליסה מזכה אחרונה</w:t>
            </w:r>
          </w:p>
        </w:tc>
        <w:tc>
          <w:tcPr>
            <w:tcW w:w="8053" w:type="dxa"/>
            <w:shd w:val="clear" w:color="auto" w:fill="auto"/>
          </w:tcPr>
          <w:p w14:paraId="152E7EFD"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777F75" w:rsidRPr="00E80D71" w14:paraId="40BD2842" w14:textId="77777777" w:rsidTr="00505D7C">
        <w:trPr>
          <w:trHeight w:val="375"/>
        </w:trPr>
        <w:tc>
          <w:tcPr>
            <w:tcW w:w="1644" w:type="dxa"/>
            <w:shd w:val="clear" w:color="auto" w:fill="auto"/>
          </w:tcPr>
          <w:p w14:paraId="76875C4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פוליסת המשך</w:t>
            </w:r>
          </w:p>
        </w:tc>
        <w:tc>
          <w:tcPr>
            <w:tcW w:w="8053" w:type="dxa"/>
            <w:shd w:val="clear" w:color="auto" w:fill="auto"/>
          </w:tcPr>
          <w:p w14:paraId="41ED1EA3"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בסעיף 11(א) להוראות הפיקוח על שירותים פיננסיים (ביטוח) (ביטוח סיעוד קבוצתי לחברי קופת חולים), התשע"ו-2015;</w:t>
            </w:r>
          </w:p>
        </w:tc>
      </w:tr>
      <w:tr w:rsidR="00777F75" w:rsidRPr="00E80D71" w14:paraId="5C87FFE5" w14:textId="77777777" w:rsidTr="00505D7C">
        <w:trPr>
          <w:trHeight w:val="375"/>
        </w:trPr>
        <w:tc>
          <w:tcPr>
            <w:tcW w:w="1644" w:type="dxa"/>
            <w:shd w:val="clear" w:color="auto" w:fill="auto"/>
          </w:tcPr>
          <w:p w14:paraId="33BE4C0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פעולות </w:t>
            </w:r>
            <w:r w:rsidRPr="00E80D71">
              <w:rPr>
                <w:rFonts w:ascii="David" w:eastAsiaTheme="minorHAnsi" w:hAnsi="David" w:cs="David"/>
                <w:b/>
                <w:bCs/>
                <w:sz w:val="24"/>
                <w:szCs w:val="24"/>
                <w:lang w:eastAsia="en-US"/>
              </w:rPr>
              <w:t>ADL</w:t>
            </w:r>
            <w:r w:rsidRPr="00E80D71">
              <w:rPr>
                <w:rFonts w:ascii="David" w:eastAsiaTheme="minorHAnsi" w:hAnsi="David" w:cs="David"/>
                <w:b/>
                <w:bCs/>
                <w:sz w:val="24"/>
                <w:szCs w:val="24"/>
                <w:vertAlign w:val="superscript"/>
                <w:rtl/>
                <w:lang w:eastAsia="en-US"/>
              </w:rPr>
              <w:footnoteReference w:id="20"/>
            </w:r>
          </w:p>
        </w:tc>
        <w:tc>
          <w:tcPr>
            <w:tcW w:w="8053" w:type="dxa"/>
            <w:shd w:val="clear" w:color="auto" w:fill="auto"/>
          </w:tcPr>
          <w:p w14:paraId="2677C9DE"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פעולות יומיומיות (</w:t>
            </w:r>
            <w:r w:rsidRPr="00E80D71">
              <w:rPr>
                <w:rFonts w:ascii="David" w:eastAsiaTheme="minorHAnsi" w:hAnsi="David" w:cs="David"/>
                <w:sz w:val="24"/>
                <w:szCs w:val="24"/>
                <w:lang w:eastAsia="en-US"/>
              </w:rPr>
              <w:t>Activities of Daily Living</w:t>
            </w:r>
            <w:r w:rsidRPr="00E80D71">
              <w:rPr>
                <w:rFonts w:ascii="David" w:eastAsiaTheme="minorHAnsi" w:hAnsi="David" w:cs="David"/>
                <w:sz w:val="24"/>
                <w:szCs w:val="24"/>
                <w:rtl/>
                <w:lang w:eastAsia="en-US"/>
              </w:rPr>
              <w:t>) המפורטות בפסקת משנה (א)(1) בסעיף קטן 2.1.6;</w:t>
            </w:r>
          </w:p>
        </w:tc>
      </w:tr>
      <w:tr w:rsidR="00777F75" w:rsidRPr="00E80D71" w14:paraId="7DFDC4B9" w14:textId="77777777" w:rsidTr="00505D7C">
        <w:trPr>
          <w:trHeight w:val="375"/>
        </w:trPr>
        <w:tc>
          <w:tcPr>
            <w:tcW w:w="1644" w:type="dxa"/>
            <w:shd w:val="clear" w:color="auto" w:fill="auto"/>
          </w:tcPr>
          <w:p w14:paraId="6870E18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פרמיה מוגדלת</w:t>
            </w:r>
            <w:r w:rsidRPr="00E80D71">
              <w:rPr>
                <w:rFonts w:ascii="David" w:eastAsiaTheme="minorHAnsi" w:hAnsi="David" w:cs="David"/>
                <w:b/>
                <w:bCs/>
                <w:sz w:val="24"/>
                <w:szCs w:val="24"/>
                <w:vertAlign w:val="superscript"/>
                <w:rtl/>
                <w:lang w:eastAsia="en-US"/>
              </w:rPr>
              <w:footnoteReference w:id="21"/>
            </w:r>
          </w:p>
        </w:tc>
        <w:tc>
          <w:tcPr>
            <w:tcW w:w="8053" w:type="dxa"/>
            <w:shd w:val="clear" w:color="auto" w:fill="auto"/>
          </w:tcPr>
          <w:p w14:paraId="4D8838F4"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פרמיה המשתנה לאורך תקופת הביטוח לפי גיל המבוטח, כאשר שיעור השינוי בפרמיה בין שנים עוקבות אינו עולה על 4%, טרם הצמדתה למדד; </w:t>
            </w:r>
          </w:p>
        </w:tc>
      </w:tr>
      <w:tr w:rsidR="00777F75" w:rsidRPr="00E80D71" w14:paraId="7E648615" w14:textId="77777777" w:rsidTr="00505D7C">
        <w:trPr>
          <w:trHeight w:val="375"/>
        </w:trPr>
        <w:tc>
          <w:tcPr>
            <w:tcW w:w="1644" w:type="dxa"/>
            <w:shd w:val="clear" w:color="auto" w:fill="auto"/>
          </w:tcPr>
          <w:p w14:paraId="0B70F67B"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פרמיה קבועה</w:t>
            </w:r>
            <w:r w:rsidRPr="00E80D71">
              <w:rPr>
                <w:rFonts w:ascii="David" w:eastAsiaTheme="minorHAnsi" w:hAnsi="David" w:cs="David"/>
                <w:b/>
                <w:bCs/>
                <w:sz w:val="24"/>
                <w:szCs w:val="24"/>
                <w:vertAlign w:val="superscript"/>
                <w:rtl/>
                <w:lang w:eastAsia="en-US"/>
              </w:rPr>
              <w:footnoteReference w:id="22"/>
            </w:r>
            <w:r w:rsidRPr="00E80D71">
              <w:rPr>
                <w:rFonts w:ascii="David" w:eastAsiaTheme="minorHAnsi" w:hAnsi="David" w:cs="David"/>
                <w:b/>
                <w:bCs/>
                <w:sz w:val="24"/>
                <w:szCs w:val="24"/>
                <w:rtl/>
                <w:lang w:eastAsia="en-US"/>
              </w:rPr>
              <w:t xml:space="preserve"> </w:t>
            </w:r>
          </w:p>
        </w:tc>
        <w:tc>
          <w:tcPr>
            <w:tcW w:w="8053" w:type="dxa"/>
            <w:shd w:val="clear" w:color="auto" w:fill="auto"/>
          </w:tcPr>
          <w:p w14:paraId="07AC772C"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פרמיה שאינה משתנה לאורך תקופת הביטוח לפי גיל המבוטח, למעט שינוי הנובע מהצמדתה למדד;</w:t>
            </w:r>
          </w:p>
        </w:tc>
      </w:tr>
      <w:tr w:rsidR="00777F75" w:rsidRPr="00E80D71" w14:paraId="21F75AD7" w14:textId="77777777" w:rsidTr="00505D7C">
        <w:trPr>
          <w:trHeight w:val="375"/>
        </w:trPr>
        <w:tc>
          <w:tcPr>
            <w:tcW w:w="1644" w:type="dxa"/>
            <w:shd w:val="clear" w:color="auto" w:fill="auto"/>
          </w:tcPr>
          <w:p w14:paraId="7178CF2F"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קרן המבוטחים</w:t>
            </w:r>
          </w:p>
        </w:tc>
        <w:tc>
          <w:tcPr>
            <w:tcW w:w="8053" w:type="dxa"/>
            <w:shd w:val="clear" w:color="auto" w:fill="auto"/>
          </w:tcPr>
          <w:p w14:paraId="42B12C2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777F75" w:rsidRPr="00E80D71" w14:paraId="36B77092" w14:textId="77777777" w:rsidTr="00505D7C">
        <w:trPr>
          <w:trHeight w:val="375"/>
        </w:trPr>
        <w:tc>
          <w:tcPr>
            <w:tcW w:w="1644" w:type="dxa"/>
            <w:shd w:val="clear" w:color="auto" w:fill="auto"/>
          </w:tcPr>
          <w:p w14:paraId="2964A3F4"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רובד</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cs"/>
                <w:b/>
                <w:bCs/>
                <w:sz w:val="24"/>
                <w:szCs w:val="24"/>
                <w:rtl/>
                <w:lang w:eastAsia="en-US"/>
              </w:rPr>
              <w:t>בסיסי</w:t>
            </w:r>
          </w:p>
        </w:tc>
        <w:tc>
          <w:tcPr>
            <w:tcW w:w="8053" w:type="dxa"/>
            <w:shd w:val="clear" w:color="auto" w:fill="auto"/>
          </w:tcPr>
          <w:p w14:paraId="14F283D0" w14:textId="77777777" w:rsidR="00777F75" w:rsidRPr="008E196B"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cs="David"/>
                <w:szCs w:val="24"/>
                <w:rtl/>
              </w:rPr>
              <w:t>כהגדרתו בהוראות הפיקוח על שירותים פיננסיים (ביטוח) (ביטוח סיעוד קבוצתי לחברי קופת חולים), התשע"ו-2015</w:t>
            </w:r>
            <w:r w:rsidRPr="008E196B">
              <w:rPr>
                <w:rFonts w:ascii="David" w:eastAsiaTheme="minorHAnsi" w:hAnsi="David" w:cs="David"/>
                <w:sz w:val="24"/>
                <w:szCs w:val="24"/>
                <w:rtl/>
                <w:lang w:eastAsia="en-US"/>
              </w:rPr>
              <w:t>;</w:t>
            </w:r>
          </w:p>
        </w:tc>
      </w:tr>
      <w:tr w:rsidR="00777F75" w:rsidRPr="00E80D71" w14:paraId="0D757AFF" w14:textId="77777777" w:rsidTr="00505D7C">
        <w:trPr>
          <w:trHeight w:val="375"/>
        </w:trPr>
        <w:tc>
          <w:tcPr>
            <w:tcW w:w="1644" w:type="dxa"/>
            <w:shd w:val="clear" w:color="auto" w:fill="auto"/>
          </w:tcPr>
          <w:p w14:paraId="366658BF"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cs"/>
                <w:b/>
                <w:bCs/>
                <w:sz w:val="24"/>
                <w:szCs w:val="24"/>
                <w:rtl/>
                <w:lang w:eastAsia="en-US"/>
              </w:rPr>
              <w:t>רובד  מורחב</w:t>
            </w:r>
          </w:p>
        </w:tc>
        <w:tc>
          <w:tcPr>
            <w:tcW w:w="8053" w:type="dxa"/>
            <w:shd w:val="clear" w:color="auto" w:fill="auto"/>
          </w:tcPr>
          <w:p w14:paraId="0F676AB6" w14:textId="77777777" w:rsidR="00777F75" w:rsidRPr="008E196B" w:rsidRDefault="00777F75" w:rsidP="00505D7C">
            <w:pPr>
              <w:shd w:val="clear" w:color="auto" w:fill="FFFFFF"/>
              <w:spacing w:before="120" w:after="120" w:line="360" w:lineRule="auto"/>
              <w:contextualSpacing/>
              <w:rPr>
                <w:rFonts w:cs="David"/>
                <w:szCs w:val="24"/>
                <w:rtl/>
              </w:rPr>
            </w:pPr>
            <w:r w:rsidRPr="008E196B">
              <w:rPr>
                <w:rFonts w:cs="David"/>
                <w:szCs w:val="24"/>
                <w:rtl/>
              </w:rPr>
              <w:t>כהגדרתו בהוראות הפיקוח על שירותים פיננסיים (ביטוח) (ביטוח סיעוד קבוצתי לחברי קופת חולים), התשע"ו-2015;</w:t>
            </w:r>
          </w:p>
        </w:tc>
      </w:tr>
      <w:tr w:rsidR="00777F75" w:rsidRPr="00E80D71" w14:paraId="45ECE406" w14:textId="77777777" w:rsidTr="00505D7C">
        <w:trPr>
          <w:trHeight w:val="375"/>
        </w:trPr>
        <w:tc>
          <w:tcPr>
            <w:tcW w:w="1644" w:type="dxa"/>
            <w:shd w:val="clear" w:color="auto" w:fill="auto"/>
          </w:tcPr>
          <w:p w14:paraId="6EFC48EC"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רצף ביטוחי</w:t>
            </w:r>
            <w:r w:rsidRPr="00E80D71">
              <w:rPr>
                <w:rFonts w:ascii="David" w:eastAsiaTheme="minorHAnsi" w:hAnsi="David" w:cs="David"/>
                <w:b/>
                <w:bCs/>
                <w:sz w:val="24"/>
                <w:szCs w:val="24"/>
                <w:vertAlign w:val="superscript"/>
                <w:rtl/>
                <w:lang w:eastAsia="en-US"/>
              </w:rPr>
              <w:footnoteReference w:id="23"/>
            </w:r>
            <w:r w:rsidRPr="00E80D71">
              <w:rPr>
                <w:rFonts w:ascii="David" w:eastAsiaTheme="minorHAnsi" w:hAnsi="David" w:cs="David"/>
                <w:b/>
                <w:bCs/>
                <w:sz w:val="24"/>
                <w:szCs w:val="24"/>
                <w:rtl/>
                <w:lang w:eastAsia="en-US"/>
              </w:rPr>
              <w:t xml:space="preserve">  </w:t>
            </w:r>
          </w:p>
        </w:tc>
        <w:tc>
          <w:tcPr>
            <w:tcW w:w="8053" w:type="dxa"/>
            <w:shd w:val="clear" w:color="auto" w:fill="auto"/>
          </w:tcPr>
          <w:p w14:paraId="5F868017"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צירוף לביטוח ללא בחינה מחודשת של מצב רפואי וללא תקופת אכשרה;</w:t>
            </w:r>
            <w:r w:rsidRPr="00E80D71">
              <w:rPr>
                <w:rFonts w:ascii="David" w:eastAsia="Calibri" w:hAnsi="David" w:cs="David"/>
                <w:sz w:val="24"/>
                <w:szCs w:val="24"/>
                <w:rtl/>
                <w:lang w:eastAsia="en-US"/>
              </w:rPr>
              <w:t xml:space="preserve"> </w:t>
            </w:r>
          </w:p>
        </w:tc>
      </w:tr>
      <w:tr w:rsidR="00777F75" w:rsidRPr="00E80D71" w14:paraId="7155E90E" w14:textId="77777777" w:rsidTr="00505D7C">
        <w:trPr>
          <w:trHeight w:val="375"/>
        </w:trPr>
        <w:tc>
          <w:tcPr>
            <w:tcW w:w="1644" w:type="dxa"/>
            <w:shd w:val="clear" w:color="auto" w:fill="auto"/>
          </w:tcPr>
          <w:p w14:paraId="2BF482B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שתל</w:t>
            </w:r>
            <w:r w:rsidRPr="00E80D71">
              <w:rPr>
                <w:rFonts w:ascii="David" w:eastAsiaTheme="minorHAnsi" w:hAnsi="David" w:cs="David"/>
                <w:b/>
                <w:bCs/>
                <w:sz w:val="24"/>
                <w:szCs w:val="24"/>
                <w:vertAlign w:val="superscript"/>
                <w:lang w:eastAsia="en-US"/>
              </w:rPr>
              <w:footnoteReference w:id="24"/>
            </w:r>
          </w:p>
        </w:tc>
        <w:tc>
          <w:tcPr>
            <w:tcW w:w="8053" w:type="dxa"/>
            <w:shd w:val="clear" w:color="auto" w:fill="auto"/>
          </w:tcPr>
          <w:p w14:paraId="5E47535C"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כל אביזר, איבר טבעי או חלק מאיבר טבעי, או איבר מלאכותי, מפרק מלאכותי או טבעי המושתלים או המורכבים בגופו של המבוטח במהלך ותוך כדי ניתוח המכוסה במסגרת הביטוח (כגון: עדשה, פרק ירך וכו'), למעט תותבת שיניים, שתל דנטלי ושתל במהלך השתלה;</w:t>
            </w:r>
            <w:r w:rsidRPr="00E80D71">
              <w:rPr>
                <w:rFonts w:ascii="David" w:hAnsi="David" w:cs="David"/>
                <w:b/>
                <w:noProof/>
                <w:sz w:val="24"/>
                <w:szCs w:val="24"/>
                <w:rtl/>
              </w:rPr>
              <w:t xml:space="preserve"> </w:t>
            </w:r>
          </w:p>
        </w:tc>
      </w:tr>
      <w:tr w:rsidR="00777F75" w:rsidRPr="00E80D71" w14:paraId="379F2A1E" w14:textId="77777777" w:rsidTr="00505D7C">
        <w:trPr>
          <w:trHeight w:val="1147"/>
        </w:trPr>
        <w:tc>
          <w:tcPr>
            <w:tcW w:w="1644" w:type="dxa"/>
            <w:shd w:val="clear" w:color="auto" w:fill="auto"/>
          </w:tcPr>
          <w:p w14:paraId="07DAA8D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תגמולי ביטוח מרביים שלא בערך נקוב</w:t>
            </w:r>
            <w:r w:rsidRPr="00E80D71">
              <w:rPr>
                <w:rFonts w:ascii="David" w:eastAsiaTheme="minorHAnsi" w:hAnsi="David" w:cs="David"/>
                <w:b/>
                <w:bCs/>
                <w:sz w:val="24"/>
                <w:szCs w:val="24"/>
                <w:vertAlign w:val="superscript"/>
                <w:rtl/>
                <w:lang w:eastAsia="en-US"/>
              </w:rPr>
              <w:footnoteReference w:id="25"/>
            </w:r>
            <w:r w:rsidRPr="00E80D71">
              <w:rPr>
                <w:rFonts w:ascii="David" w:eastAsiaTheme="minorHAnsi" w:hAnsi="David" w:cs="David"/>
                <w:b/>
                <w:bCs/>
                <w:sz w:val="24"/>
                <w:szCs w:val="24"/>
                <w:rtl/>
                <w:lang w:eastAsia="en-US"/>
              </w:rPr>
              <w:t xml:space="preserve"> </w:t>
            </w:r>
          </w:p>
        </w:tc>
        <w:tc>
          <w:tcPr>
            <w:tcW w:w="8053" w:type="dxa"/>
            <w:shd w:val="clear" w:color="auto" w:fill="auto"/>
          </w:tcPr>
          <w:p w14:paraId="6A8CD39D"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תקרת שיפוי או תשלום פיצוי בגין מקרה ביטוח המכוסה בתכנית ביטוח, אשר אינם נקובים בסכום כספי; </w:t>
            </w:r>
          </w:p>
        </w:tc>
      </w:tr>
      <w:tr w:rsidR="00777F75" w:rsidRPr="00E80D71" w14:paraId="0B4A8FCB" w14:textId="77777777" w:rsidTr="00505D7C">
        <w:trPr>
          <w:trHeight w:val="1147"/>
        </w:trPr>
        <w:tc>
          <w:tcPr>
            <w:tcW w:w="1644" w:type="dxa"/>
            <w:shd w:val="clear" w:color="auto" w:fill="auto"/>
          </w:tcPr>
          <w:p w14:paraId="701F92F1"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תוספת</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סכום</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ביטוח</w:t>
            </w:r>
          </w:p>
        </w:tc>
        <w:tc>
          <w:tcPr>
            <w:tcW w:w="8053" w:type="dxa"/>
            <w:shd w:val="clear" w:color="auto" w:fill="auto"/>
          </w:tcPr>
          <w:p w14:paraId="065523C9" w14:textId="77777777" w:rsidR="00777F75" w:rsidRPr="008E196B"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ascii="David" w:eastAsiaTheme="minorHAnsi" w:hAnsi="David" w:cs="David"/>
                <w:sz w:val="24"/>
                <w:szCs w:val="24"/>
                <w:rtl/>
                <w:lang w:eastAsia="en-US"/>
              </w:rPr>
              <w:t>כהגדרת</w:t>
            </w:r>
            <w:r w:rsidRPr="008E196B">
              <w:rPr>
                <w:rFonts w:ascii="David" w:eastAsiaTheme="minorHAnsi" w:hAnsi="David" w:cs="David" w:hint="cs"/>
                <w:sz w:val="24"/>
                <w:szCs w:val="24"/>
                <w:rtl/>
                <w:lang w:eastAsia="en-US"/>
              </w:rPr>
              <w:t>ה</w:t>
            </w:r>
            <w:r w:rsidRPr="008E196B">
              <w:rPr>
                <w:rFonts w:ascii="David" w:eastAsiaTheme="minorHAnsi" w:hAnsi="David" w:cs="David"/>
                <w:sz w:val="24"/>
                <w:szCs w:val="24"/>
                <w:rtl/>
                <w:lang w:eastAsia="en-US"/>
              </w:rPr>
              <w:t xml:space="preserve"> בהוראות הפיקוח על שירותים פיננסיים (ביטוח) (ביטוח סיעוד קבוצתי לחברי קופת חולים), התשע"ו-2015;</w:t>
            </w:r>
          </w:p>
        </w:tc>
      </w:tr>
      <w:tr w:rsidR="00777F75" w:rsidRPr="00E80D71" w14:paraId="59A75360" w14:textId="77777777" w:rsidTr="00505D7C">
        <w:trPr>
          <w:trHeight w:val="1102"/>
        </w:trPr>
        <w:tc>
          <w:tcPr>
            <w:tcW w:w="1644" w:type="dxa"/>
            <w:shd w:val="clear" w:color="auto" w:fill="auto"/>
          </w:tcPr>
          <w:p w14:paraId="467B13F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תכנית בסיס</w:t>
            </w:r>
            <w:r w:rsidRPr="00E80D71">
              <w:rPr>
                <w:rFonts w:ascii="David" w:eastAsiaTheme="minorHAnsi" w:hAnsi="David" w:cs="David"/>
                <w:b/>
                <w:bCs/>
                <w:sz w:val="24"/>
                <w:szCs w:val="24"/>
                <w:vertAlign w:val="superscript"/>
                <w:rtl/>
                <w:lang w:eastAsia="en-US"/>
              </w:rPr>
              <w:footnoteReference w:id="26"/>
            </w:r>
            <w:r w:rsidRPr="00E80D71">
              <w:rPr>
                <w:rFonts w:ascii="David" w:eastAsiaTheme="minorHAnsi" w:hAnsi="David" w:cs="David"/>
                <w:b/>
                <w:bCs/>
                <w:sz w:val="24"/>
                <w:szCs w:val="24"/>
                <w:rtl/>
                <w:lang w:eastAsia="en-US"/>
              </w:rPr>
              <w:t xml:space="preserve"> </w:t>
            </w:r>
          </w:p>
          <w:p w14:paraId="7AB90367"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26C4741D"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תכנית ביטוח בריאות שלאחר שעמדה בהוראות הנדרשות לצורך כך לפי סעיף 40 לחוק הפיקוח על הביטוח, חברת ביטוח רשאית להנהיגה כתכנית בפני עצמה (ללא תלות ברכישת תכנית אחרת); </w:t>
            </w:r>
          </w:p>
        </w:tc>
      </w:tr>
      <w:tr w:rsidR="00777F75" w:rsidRPr="00E80D71" w14:paraId="7F20635D" w14:textId="77777777" w:rsidTr="00505D7C">
        <w:trPr>
          <w:trHeight w:val="375"/>
        </w:trPr>
        <w:tc>
          <w:tcPr>
            <w:tcW w:w="1644" w:type="dxa"/>
            <w:shd w:val="clear" w:color="auto" w:fill="auto"/>
          </w:tcPr>
          <w:p w14:paraId="033677B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תכנית נוספת</w:t>
            </w:r>
            <w:r w:rsidRPr="00E80D71">
              <w:rPr>
                <w:rFonts w:ascii="David" w:eastAsiaTheme="minorHAnsi" w:hAnsi="David" w:cs="David"/>
                <w:b/>
                <w:bCs/>
                <w:sz w:val="24"/>
                <w:szCs w:val="24"/>
                <w:vertAlign w:val="superscript"/>
                <w:rtl/>
                <w:lang w:eastAsia="en-US"/>
              </w:rPr>
              <w:footnoteReference w:id="27"/>
            </w:r>
            <w:r w:rsidRPr="00E80D71">
              <w:rPr>
                <w:rFonts w:ascii="David" w:eastAsiaTheme="minorHAnsi" w:hAnsi="David" w:cs="David"/>
                <w:b/>
                <w:bCs/>
                <w:sz w:val="24"/>
                <w:szCs w:val="24"/>
                <w:rtl/>
                <w:lang w:eastAsia="en-US"/>
              </w:rPr>
              <w:t xml:space="preserve"> </w:t>
            </w:r>
          </w:p>
        </w:tc>
        <w:tc>
          <w:tcPr>
            <w:tcW w:w="8053" w:type="dxa"/>
            <w:shd w:val="clear" w:color="auto" w:fill="auto"/>
          </w:tcPr>
          <w:p w14:paraId="5B9BB29F"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תכנית ביטוח בריאות או כתב שירות בביטוח בריאות שחברת ביטוח רשאית להנהיגם בהתאם לסעיף 40 לחוק הפיקוח על הביטוח, רק כנלווים לתכנית בסיס;</w:t>
            </w:r>
            <w:r w:rsidRPr="00E80D71">
              <w:rPr>
                <w:rFonts w:ascii="David" w:hAnsi="David" w:cs="David"/>
                <w:sz w:val="24"/>
                <w:szCs w:val="24"/>
                <w:rtl/>
              </w:rPr>
              <w:t xml:space="preserve">  </w:t>
            </w:r>
          </w:p>
        </w:tc>
      </w:tr>
      <w:tr w:rsidR="00777F75" w:rsidRPr="00E80D71" w14:paraId="53801593" w14:textId="77777777" w:rsidTr="00505D7C">
        <w:trPr>
          <w:trHeight w:val="375"/>
        </w:trPr>
        <w:tc>
          <w:tcPr>
            <w:tcW w:w="1644" w:type="dxa"/>
            <w:shd w:val="clear" w:color="auto" w:fill="auto"/>
          </w:tcPr>
          <w:p w14:paraId="1890E35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תקופת תשלום תגמולי ביטוח</w:t>
            </w:r>
            <w:r w:rsidRPr="00E80D71">
              <w:rPr>
                <w:rFonts w:ascii="David" w:eastAsiaTheme="minorHAnsi" w:hAnsi="David" w:cs="David"/>
                <w:b/>
                <w:bCs/>
                <w:sz w:val="24"/>
                <w:szCs w:val="24"/>
                <w:vertAlign w:val="superscript"/>
                <w:rtl/>
                <w:lang w:eastAsia="en-US"/>
              </w:rPr>
              <w:footnoteReference w:id="28"/>
            </w:r>
            <w:r w:rsidRPr="00E80D71">
              <w:rPr>
                <w:rFonts w:ascii="David" w:eastAsiaTheme="minorHAnsi" w:hAnsi="David" w:cs="David"/>
                <w:b/>
                <w:bCs/>
                <w:sz w:val="24"/>
                <w:szCs w:val="24"/>
                <w:rtl/>
                <w:lang w:eastAsia="en-US"/>
              </w:rPr>
              <w:t xml:space="preserve">  </w:t>
            </w:r>
          </w:p>
        </w:tc>
        <w:tc>
          <w:tcPr>
            <w:tcW w:w="8053" w:type="dxa"/>
            <w:shd w:val="clear" w:color="auto" w:fill="auto"/>
          </w:tcPr>
          <w:p w14:paraId="096D7013"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השנים שנקבע בפוליסה לתשלום תגמולי ביטוח;</w:t>
            </w:r>
          </w:p>
          <w:p w14:paraId="46712D9E" w14:textId="77777777" w:rsidR="00777F75" w:rsidRPr="00E80D71" w:rsidRDefault="00777F75" w:rsidP="00505D7C">
            <w:pPr>
              <w:tabs>
                <w:tab w:val="left" w:pos="1800"/>
                <w:tab w:val="left" w:pos="4762"/>
              </w:tabs>
              <w:spacing w:before="120" w:after="120" w:line="360" w:lineRule="auto"/>
              <w:rPr>
                <w:rFonts w:ascii="David" w:hAnsi="David" w:cs="David"/>
                <w:sz w:val="24"/>
                <w:szCs w:val="24"/>
                <w:rtl/>
              </w:rPr>
            </w:pPr>
          </w:p>
          <w:p w14:paraId="7EEFE062"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bl>
    <w:p w14:paraId="73C8798C" w14:textId="77777777" w:rsidR="00777F75" w:rsidRPr="00E80D71" w:rsidRDefault="00777F75" w:rsidP="00777F75">
      <w:pPr>
        <w:spacing w:after="480" w:line="360" w:lineRule="auto"/>
        <w:ind w:left="651" w:hanging="651"/>
        <w:contextualSpacing/>
        <w:rPr>
          <w:rFonts w:ascii="David" w:hAnsi="David" w:cs="David"/>
          <w:b/>
          <w:bCs/>
          <w:sz w:val="24"/>
          <w:szCs w:val="24"/>
          <w:u w:val="single"/>
          <w:rtl/>
        </w:rPr>
      </w:pPr>
    </w:p>
    <w:p w14:paraId="6CEBE532" w14:textId="77777777" w:rsidR="00777F75" w:rsidRPr="00721368" w:rsidRDefault="00777F75" w:rsidP="00777F75">
      <w:pPr>
        <w:pStyle w:val="a7"/>
        <w:overflowPunct w:val="0"/>
        <w:autoSpaceDE w:val="0"/>
        <w:autoSpaceDN w:val="0"/>
        <w:adjustRightInd w:val="0"/>
        <w:spacing w:after="240"/>
        <w:ind w:left="1068"/>
        <w:textAlignment w:val="baseline"/>
        <w:rPr>
          <w:rFonts w:cs="David"/>
          <w:b/>
          <w:bCs/>
          <w:szCs w:val="24"/>
          <w:rtl/>
        </w:rPr>
      </w:pPr>
      <w:r w:rsidRPr="00721368">
        <w:rPr>
          <w:rFonts w:cs="David"/>
          <w:b/>
          <w:bCs/>
          <w:szCs w:val="24"/>
          <w:rtl/>
        </w:rPr>
        <w:t>1.3.6</w:t>
      </w:r>
      <w:r w:rsidRPr="00337538">
        <w:rPr>
          <w:rFonts w:cs="David"/>
          <w:b/>
          <w:bCs/>
          <w:szCs w:val="24"/>
          <w:rtl/>
        </w:rPr>
        <w:t xml:space="preserve"> </w:t>
      </w:r>
      <w:r>
        <w:rPr>
          <w:rFonts w:cs="David" w:hint="cs"/>
          <w:b/>
          <w:bCs/>
          <w:szCs w:val="24"/>
          <w:rtl/>
        </w:rPr>
        <w:t>-</w:t>
      </w:r>
      <w:r w:rsidRPr="00721368">
        <w:rPr>
          <w:rFonts w:cs="David"/>
          <w:b/>
          <w:bCs/>
          <w:szCs w:val="24"/>
          <w:rtl/>
        </w:rPr>
        <w:t xml:space="preserve"> ביטוח סיעודי</w:t>
      </w:r>
    </w:p>
    <w:p w14:paraId="30C49A63" w14:textId="77777777" w:rsidR="00777F75" w:rsidRPr="00721368" w:rsidRDefault="00777F75" w:rsidP="00777F75">
      <w:pPr>
        <w:pStyle w:val="a7"/>
        <w:overflowPunct w:val="0"/>
        <w:autoSpaceDE w:val="0"/>
        <w:autoSpaceDN w:val="0"/>
        <w:adjustRightInd w:val="0"/>
        <w:spacing w:after="240"/>
        <w:ind w:left="1068"/>
        <w:textAlignment w:val="baseline"/>
        <w:rPr>
          <w:rFonts w:cs="David"/>
          <w:b/>
          <w:bCs/>
          <w:szCs w:val="24"/>
        </w:rPr>
      </w:pPr>
      <w:r w:rsidRPr="00721368">
        <w:rPr>
          <w:rFonts w:cs="David" w:hint="eastAsia"/>
          <w:b/>
          <w:bCs/>
          <w:szCs w:val="24"/>
          <w:rtl/>
        </w:rPr>
        <w:t>א</w:t>
      </w:r>
      <w:r w:rsidRPr="00721368">
        <w:rPr>
          <w:rFonts w:cs="David"/>
          <w:b/>
          <w:bCs/>
          <w:szCs w:val="24"/>
          <w:rtl/>
        </w:rPr>
        <w:t xml:space="preserve">. ביטוח סיעודי </w:t>
      </w:r>
      <w:r>
        <w:rPr>
          <w:rFonts w:cs="David" w:hint="cs"/>
          <w:b/>
          <w:bCs/>
          <w:szCs w:val="24"/>
          <w:rtl/>
        </w:rPr>
        <w:t>קבוצתי לחברי קופת חולים</w:t>
      </w:r>
    </w:p>
    <w:p w14:paraId="01639F1C" w14:textId="77777777" w:rsidR="00777F75" w:rsidRPr="00B86822" w:rsidRDefault="00777F75" w:rsidP="00777F75">
      <w:pPr>
        <w:overflowPunct w:val="0"/>
        <w:autoSpaceDE w:val="0"/>
        <w:autoSpaceDN w:val="0"/>
        <w:adjustRightInd w:val="0"/>
        <w:spacing w:line="360" w:lineRule="auto"/>
        <w:ind w:left="1440" w:hanging="307"/>
        <w:textAlignment w:val="baseline"/>
        <w:rPr>
          <w:rFonts w:cs="David"/>
          <w:sz w:val="20"/>
          <w:szCs w:val="24"/>
          <w:rtl/>
        </w:rPr>
      </w:pPr>
      <w:r w:rsidRPr="00B86822">
        <w:rPr>
          <w:rFonts w:cs="David" w:hint="cs"/>
          <w:sz w:val="20"/>
          <w:szCs w:val="24"/>
          <w:rtl/>
        </w:rPr>
        <w:t>"</w:t>
      </w:r>
      <w:r w:rsidRPr="00B86822">
        <w:rPr>
          <w:rFonts w:cs="David" w:hint="cs"/>
          <w:sz w:val="20"/>
          <w:szCs w:val="24"/>
          <w:u w:val="single"/>
          <w:rtl/>
        </w:rPr>
        <w:t>סימן א': הוראות לעריכת תכנית לביטוח סיעודי לחברי קופ"ח</w:t>
      </w:r>
    </w:p>
    <w:p w14:paraId="65DBB229" w14:textId="097BDAE0" w:rsidR="00777F75" w:rsidRPr="0073596A" w:rsidRDefault="00777F75" w:rsidP="00777F75">
      <w:pPr>
        <w:spacing w:before="120" w:after="120" w:line="360" w:lineRule="auto"/>
        <w:ind w:left="1440"/>
        <w:contextualSpacing/>
        <w:rPr>
          <w:rFonts w:eastAsiaTheme="minorHAnsi" w:cs="David"/>
          <w:sz w:val="24"/>
          <w:szCs w:val="24"/>
          <w:rtl/>
          <w:lang w:eastAsia="en-US"/>
        </w:rPr>
      </w:pPr>
      <w:r w:rsidRPr="00B86822">
        <w:rPr>
          <w:rFonts w:eastAsiaTheme="minorHAnsi" w:cs="David"/>
          <w:sz w:val="24"/>
          <w:szCs w:val="24"/>
          <w:rtl/>
          <w:lang w:eastAsia="en-US"/>
        </w:rPr>
        <w:t xml:space="preserve">חברת ביטוח המנהלת תכנית לביטוח סיעודי לחברי קופ"ח תנהל את סיכוני הביטוח בתקופת ההתקשרות עם </w:t>
      </w:r>
      <w:r w:rsidRPr="0098202D">
        <w:rPr>
          <w:rFonts w:eastAsiaTheme="minorHAnsi" w:cs="David"/>
          <w:sz w:val="24"/>
          <w:szCs w:val="24"/>
          <w:rtl/>
          <w:lang w:eastAsia="en-US"/>
        </w:rPr>
        <w:t>קופת החולים ו</w:t>
      </w:r>
      <w:r w:rsidRPr="0098202D">
        <w:rPr>
          <w:rFonts w:eastAsiaTheme="minorHAnsi" w:cs="David" w:hint="cs"/>
          <w:sz w:val="24"/>
          <w:szCs w:val="24"/>
          <w:rtl/>
          <w:lang w:eastAsia="en-US"/>
        </w:rPr>
        <w:t xml:space="preserve">כן תנהל </w:t>
      </w:r>
      <w:r>
        <w:rPr>
          <w:rFonts w:eastAsiaTheme="minorHAnsi" w:cs="David"/>
          <w:sz w:val="24"/>
          <w:szCs w:val="24"/>
          <w:rtl/>
          <w:lang w:eastAsia="en-US"/>
        </w:rPr>
        <w:t>קרנות</w:t>
      </w:r>
      <w:r w:rsidRPr="0098202D">
        <w:rPr>
          <w:rFonts w:eastAsiaTheme="minorHAnsi" w:cs="David"/>
          <w:sz w:val="24"/>
          <w:szCs w:val="24"/>
          <w:rtl/>
          <w:lang w:eastAsia="en-US"/>
        </w:rPr>
        <w:t xml:space="preserve"> מבוטחים.</w:t>
      </w:r>
      <w:r w:rsidR="00760B47">
        <w:rPr>
          <w:rFonts w:eastAsiaTheme="minorHAnsi" w:cs="David" w:hint="cs"/>
          <w:sz w:val="24"/>
          <w:szCs w:val="24"/>
          <w:u w:val="single"/>
          <w:rtl/>
          <w:lang w:eastAsia="en-US"/>
        </w:rPr>
        <w:t xml:space="preserve"> ברובד הבסיסי</w:t>
      </w:r>
      <w:r w:rsidRPr="0098202D">
        <w:rPr>
          <w:rFonts w:eastAsiaTheme="minorHAnsi" w:cs="David"/>
          <w:sz w:val="24"/>
          <w:szCs w:val="24"/>
          <w:rtl/>
          <w:lang w:eastAsia="en-US"/>
        </w:rPr>
        <w:t xml:space="preserve"> התכנית תתבסס על מודל אקטוארי של קופ</w:t>
      </w:r>
      <w:r w:rsidRPr="0073596A">
        <w:rPr>
          <w:rFonts w:eastAsiaTheme="minorHAnsi" w:cs="David"/>
          <w:sz w:val="24"/>
          <w:szCs w:val="24"/>
          <w:rtl/>
          <w:lang w:eastAsia="en-US"/>
        </w:rPr>
        <w:t>ת החולים שיבוסס על אומדן מיטבי ("</w:t>
      </w:r>
      <w:r w:rsidRPr="0073596A">
        <w:rPr>
          <w:rFonts w:eastAsiaTheme="minorHAnsi" w:cs="David"/>
          <w:sz w:val="24"/>
          <w:szCs w:val="24"/>
          <w:lang w:eastAsia="en-US"/>
        </w:rPr>
        <w:t>Best Estimate</w:t>
      </w:r>
      <w:r w:rsidRPr="0073596A">
        <w:rPr>
          <w:rFonts w:eastAsiaTheme="minorHAnsi" w:cs="David"/>
          <w:sz w:val="24"/>
          <w:szCs w:val="24"/>
          <w:rtl/>
          <w:lang w:eastAsia="en-US"/>
        </w:rPr>
        <w:t xml:space="preserve">"), שתכליתו איזון ארוך טווח בין דמי הביטוח המתקבלים מהמבוטחים לבין עלות הסיכון הביטוחי של המבוטחים, </w:t>
      </w:r>
      <w:r w:rsidR="00CE51DE" w:rsidRPr="00DF7765">
        <w:rPr>
          <w:rFonts w:eastAsiaTheme="minorHAnsi" w:cs="David"/>
          <w:sz w:val="24"/>
          <w:szCs w:val="24"/>
          <w:u w:val="single"/>
          <w:rtl/>
          <w:lang w:eastAsia="en-US"/>
        </w:rPr>
        <w:lastRenderedPageBreak/>
        <w:t>ברובד המורחב התכנית תתבסס על הפרמטרים לתמחור המוצגים בנספח לחוזר זה, והכל</w:t>
      </w:r>
      <w:r w:rsidR="00CE51DE" w:rsidRPr="00CE51DE">
        <w:rPr>
          <w:rFonts w:eastAsiaTheme="minorHAnsi" w:cs="David"/>
          <w:sz w:val="24"/>
          <w:szCs w:val="24"/>
          <w:rtl/>
          <w:lang w:eastAsia="en-US"/>
        </w:rPr>
        <w:t xml:space="preserve"> </w:t>
      </w:r>
      <w:r w:rsidRPr="0073596A">
        <w:rPr>
          <w:rFonts w:eastAsiaTheme="minorHAnsi" w:cs="David"/>
          <w:sz w:val="24"/>
          <w:szCs w:val="24"/>
          <w:rtl/>
          <w:lang w:eastAsia="en-US"/>
        </w:rPr>
        <w:t xml:space="preserve">בהתאם </w:t>
      </w:r>
      <w:r w:rsidRPr="0073596A">
        <w:rPr>
          <w:rFonts w:eastAsiaTheme="minorHAnsi" w:cs="David" w:hint="cs"/>
          <w:sz w:val="24"/>
          <w:szCs w:val="24"/>
          <w:rtl/>
          <w:lang w:eastAsia="en-US"/>
        </w:rPr>
        <w:t>להוראות</w:t>
      </w:r>
      <w:r w:rsidRPr="0073596A">
        <w:rPr>
          <w:rFonts w:eastAsiaTheme="minorHAnsi" w:cs="David"/>
          <w:sz w:val="24"/>
          <w:szCs w:val="24"/>
          <w:rtl/>
          <w:lang w:eastAsia="en-US"/>
        </w:rPr>
        <w:t xml:space="preserve"> אלה: </w:t>
      </w:r>
    </w:p>
    <w:p w14:paraId="384EC98E" w14:textId="77777777" w:rsidR="00777F75" w:rsidRPr="0073596A"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 xml:space="preserve">השתתפות חברת ביטוח בסיכון ביטוחי - במשך תקופת הביטוח, חברת ביטוח תישא בסיכון הביטוחי הגלום בתכנית בשיעור שלא יפחת מ- 20%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לעניין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זה</w:t>
      </w:r>
      <w:r w:rsidRPr="0073596A">
        <w:rPr>
          <w:rFonts w:eastAsiaTheme="minorHAnsi" w:cs="David"/>
          <w:sz w:val="24"/>
          <w:szCs w:val="24"/>
          <w:rtl/>
          <w:lang w:eastAsia="en-US"/>
        </w:rPr>
        <w:t xml:space="preserve">, "סיכון </w:t>
      </w:r>
      <w:r w:rsidRPr="0073596A">
        <w:rPr>
          <w:rFonts w:eastAsiaTheme="minorHAnsi" w:cs="David" w:hint="eastAsia"/>
          <w:sz w:val="24"/>
          <w:szCs w:val="24"/>
          <w:rtl/>
          <w:lang w:eastAsia="en-US"/>
        </w:rPr>
        <w:t>ביטוחי</w:t>
      </w:r>
      <w:r w:rsidRPr="0073596A">
        <w:rPr>
          <w:rFonts w:eastAsiaTheme="minorHAnsi" w:cs="David"/>
          <w:sz w:val="24"/>
          <w:szCs w:val="24"/>
          <w:rtl/>
          <w:lang w:eastAsia="en-US"/>
        </w:rPr>
        <w:t xml:space="preserve">" - הפער שבין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בפועל של תכנית הביטוח לבין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הצפוי, כפי שנקבע בהסכם בין החברה לקופת חולים לגבי מבוטחים שהיו מבוטחים בביטוח ביום חתימת ההסכם.</w:t>
      </w:r>
    </w:p>
    <w:p w14:paraId="419718CA" w14:textId="77777777" w:rsidR="00777F75" w:rsidRPr="0073596A"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73596A">
        <w:rPr>
          <w:rFonts w:eastAsiaTheme="minorHAnsi" w:cs="David"/>
          <w:sz w:val="24"/>
          <w:szCs w:val="24"/>
          <w:rtl/>
          <w:lang w:eastAsia="en-US"/>
        </w:rPr>
        <w:t xml:space="preserve">ניהול ותפעול קרנות המבוטחים - </w:t>
      </w:r>
    </w:p>
    <w:p w14:paraId="5C9ECCCE" w14:textId="77777777" w:rsidR="00777F75" w:rsidRPr="0073596A"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hint="eastAsia"/>
          <w:sz w:val="24"/>
          <w:szCs w:val="24"/>
          <w:rtl/>
          <w:lang w:eastAsia="en-US"/>
        </w:rPr>
        <w:t>חברת</w:t>
      </w:r>
      <w:r w:rsidRPr="0073596A">
        <w:rPr>
          <w:rFonts w:eastAsiaTheme="minorHAnsi" w:cs="David"/>
          <w:sz w:val="24"/>
          <w:szCs w:val="24"/>
          <w:rtl/>
          <w:lang w:eastAsia="en-US"/>
        </w:rPr>
        <w:t xml:space="preserve"> ביטוח </w:t>
      </w:r>
      <w:r w:rsidRPr="0073596A">
        <w:rPr>
          <w:rFonts w:eastAsiaTheme="minorHAnsi" w:cs="David" w:hint="eastAsia"/>
          <w:sz w:val="24"/>
          <w:szCs w:val="24"/>
          <w:rtl/>
          <w:lang w:eastAsia="en-US"/>
        </w:rPr>
        <w:t>וקופת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חולים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יחתמו</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על</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הסכמים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שונים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השונות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והסכם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המורחב</w:t>
      </w:r>
      <w:r w:rsidRPr="0073596A">
        <w:rPr>
          <w:rFonts w:eastAsiaTheme="minorHAnsi" w:cs="David"/>
          <w:sz w:val="24"/>
          <w:szCs w:val="24"/>
          <w:rtl/>
          <w:lang w:eastAsia="en-US"/>
        </w:rPr>
        <w:t xml:space="preserve"> (להלן - ההסכם).</w:t>
      </w:r>
    </w:p>
    <w:p w14:paraId="5323E95B" w14:textId="77777777" w:rsidR="00777F75" w:rsidRPr="0073596A"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ב</w:t>
      </w:r>
      <w:r w:rsidRPr="0073596A">
        <w:rPr>
          <w:rFonts w:eastAsiaTheme="minorHAnsi" w:cs="David" w:hint="eastAsia"/>
          <w:sz w:val="24"/>
          <w:szCs w:val="24"/>
          <w:rtl/>
          <w:lang w:eastAsia="en-US"/>
        </w:rPr>
        <w:t>כל</w:t>
      </w:r>
      <w:r w:rsidRPr="0073596A">
        <w:rPr>
          <w:rFonts w:eastAsiaTheme="minorHAnsi" w:cs="David"/>
          <w:sz w:val="24"/>
          <w:szCs w:val="24"/>
          <w:rtl/>
          <w:lang w:eastAsia="en-US"/>
        </w:rPr>
        <w:t xml:space="preserve"> הסכם בין חברת ביטוח ל</w:t>
      </w:r>
      <w:r w:rsidRPr="0073596A">
        <w:rPr>
          <w:rFonts w:eastAsiaTheme="minorHAnsi" w:cs="David" w:hint="eastAsia"/>
          <w:sz w:val="24"/>
          <w:szCs w:val="24"/>
          <w:rtl/>
          <w:lang w:eastAsia="en-US"/>
        </w:rPr>
        <w:t>בין</w:t>
      </w:r>
      <w:r w:rsidRPr="0073596A">
        <w:rPr>
          <w:rFonts w:eastAsiaTheme="minorHAnsi" w:cs="David"/>
          <w:sz w:val="24"/>
          <w:szCs w:val="24"/>
          <w:rtl/>
          <w:lang w:eastAsia="en-US"/>
        </w:rPr>
        <w:t xml:space="preserve"> קופת חולים, ייקבעו הסכומים שיועברו לקרנות המבוטחים מתוך סך דמי הביטוח שישולמו בעד כלל המבוטחים בתכנית.</w:t>
      </w:r>
    </w:p>
    <w:p w14:paraId="23BC1ED4"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הפרמיות ינוהלו באופן הבא:</w:t>
      </w:r>
    </w:p>
    <w:p w14:paraId="02F76B88" w14:textId="77777777" w:rsidR="00777F75" w:rsidRPr="008E196B" w:rsidRDefault="00777F75" w:rsidP="00777F75">
      <w:pPr>
        <w:numPr>
          <w:ilvl w:val="2"/>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lastRenderedPageBreak/>
        <w:t>הפרמיה</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המשולמת</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המורחב</w:t>
      </w:r>
      <w:r w:rsidRPr="008E196B">
        <w:rPr>
          <w:rFonts w:eastAsiaTheme="minorHAnsi" w:cs="David"/>
          <w:sz w:val="24"/>
          <w:szCs w:val="24"/>
          <w:rtl/>
          <w:lang w:eastAsia="en-US"/>
        </w:rPr>
        <w:t xml:space="preserve"> תשמש לבניית קרן נפרדת לתשלום תביעות המבוטחים ברובד זה (</w:t>
      </w:r>
      <w:r w:rsidRPr="008E196B">
        <w:rPr>
          <w:rFonts w:eastAsiaTheme="minorHAnsi" w:cs="David" w:hint="eastAsia"/>
          <w:sz w:val="24"/>
          <w:szCs w:val="24"/>
          <w:rtl/>
          <w:lang w:eastAsia="en-US"/>
        </w:rPr>
        <w:t>להלן</w:t>
      </w:r>
      <w:r w:rsidRPr="008E196B">
        <w:rPr>
          <w:rFonts w:eastAsiaTheme="minorHAnsi" w:cs="David" w:hint="cs"/>
          <w:sz w:val="24"/>
          <w:szCs w:val="24"/>
          <w:rtl/>
          <w:lang w:eastAsia="en-US"/>
        </w:rPr>
        <w:t xml:space="preserve"> -</w:t>
      </w:r>
      <w:r w:rsidRPr="008E196B">
        <w:rPr>
          <w:rFonts w:eastAsiaTheme="minorHAnsi" w:cs="David"/>
          <w:sz w:val="24"/>
          <w:szCs w:val="24"/>
          <w:rtl/>
          <w:lang w:eastAsia="en-US"/>
        </w:rPr>
        <w:t xml:space="preserve"> </w:t>
      </w:r>
      <w:r w:rsidRPr="008E196B">
        <w:rPr>
          <w:rFonts w:eastAsiaTheme="minorHAnsi" w:cs="David" w:hint="eastAsia"/>
          <w:b/>
          <w:bCs/>
          <w:sz w:val="24"/>
          <w:szCs w:val="24"/>
          <w:rtl/>
          <w:lang w:eastAsia="en-US"/>
        </w:rPr>
        <w:t>קרן</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הרובד</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המורחב</w:t>
      </w:r>
      <w:r w:rsidRPr="008E196B">
        <w:rPr>
          <w:rFonts w:eastAsiaTheme="minorHAnsi" w:cs="David"/>
          <w:sz w:val="24"/>
          <w:szCs w:val="24"/>
          <w:rtl/>
          <w:lang w:eastAsia="en-US"/>
        </w:rPr>
        <w:t xml:space="preserve">). </w:t>
      </w:r>
    </w:p>
    <w:p w14:paraId="68E502F1" w14:textId="77777777" w:rsidR="00777F75" w:rsidRPr="008E196B" w:rsidRDefault="00777F75" w:rsidP="00777F75">
      <w:pPr>
        <w:numPr>
          <w:ilvl w:val="2"/>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t>הפרמיה</w:t>
      </w:r>
      <w:r w:rsidRPr="008E196B">
        <w:rPr>
          <w:rFonts w:eastAsiaTheme="minorHAnsi" w:cs="David"/>
          <w:sz w:val="24"/>
          <w:szCs w:val="24"/>
          <w:rtl/>
          <w:lang w:eastAsia="en-US"/>
        </w:rPr>
        <w:t xml:space="preserve"> המשולמת </w:t>
      </w:r>
      <w:r w:rsidRPr="008E196B">
        <w:rPr>
          <w:rFonts w:eastAsiaTheme="minorHAnsi" w:cs="David" w:hint="eastAsia"/>
          <w:sz w:val="24"/>
          <w:szCs w:val="24"/>
          <w:rtl/>
          <w:lang w:eastAsia="en-US"/>
        </w:rPr>
        <w:t>בגין</w:t>
      </w:r>
      <w:r w:rsidRPr="008E196B">
        <w:rPr>
          <w:rFonts w:eastAsiaTheme="minorHAnsi" w:cs="David"/>
          <w:sz w:val="24"/>
          <w:szCs w:val="24"/>
          <w:rtl/>
          <w:lang w:eastAsia="en-US"/>
        </w:rPr>
        <w:t xml:space="preserve"> תוספת סכום הביטוח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הבסיסי </w:t>
      </w:r>
      <w:r w:rsidRPr="008E196B">
        <w:rPr>
          <w:rFonts w:eastAsiaTheme="minorHAnsi" w:cs="David" w:hint="cs"/>
          <w:sz w:val="24"/>
          <w:szCs w:val="24"/>
          <w:rtl/>
          <w:lang w:eastAsia="en-US"/>
        </w:rPr>
        <w:t>ותוספת סכום ביטוח לרובד המורחב תשויך</w:t>
      </w:r>
      <w:r w:rsidRPr="008E196B">
        <w:rPr>
          <w:rFonts w:eastAsiaTheme="minorHAnsi" w:cs="David"/>
          <w:sz w:val="24"/>
          <w:szCs w:val="24"/>
          <w:rtl/>
          <w:lang w:eastAsia="en-US"/>
        </w:rPr>
        <w:t xml:space="preserve"> לקרן הרובד ה</w:t>
      </w:r>
      <w:r w:rsidRPr="008E196B">
        <w:rPr>
          <w:rFonts w:eastAsiaTheme="minorHAnsi" w:cs="David" w:hint="cs"/>
          <w:sz w:val="24"/>
          <w:szCs w:val="24"/>
          <w:rtl/>
          <w:lang w:eastAsia="en-US"/>
        </w:rPr>
        <w:t>מורחב</w:t>
      </w:r>
      <w:r w:rsidRPr="008E196B">
        <w:rPr>
          <w:rFonts w:eastAsiaTheme="minorHAnsi" w:cs="David"/>
          <w:sz w:val="24"/>
          <w:szCs w:val="24"/>
          <w:rtl/>
          <w:lang w:eastAsia="en-US"/>
        </w:rPr>
        <w:t>.</w:t>
      </w:r>
    </w:p>
    <w:p w14:paraId="34AEBCC8" w14:textId="62528EB5" w:rsidR="00777F75" w:rsidRPr="00DF7765" w:rsidRDefault="00777F75" w:rsidP="00CE51DE">
      <w:pPr>
        <w:pStyle w:val="a7"/>
        <w:numPr>
          <w:ilvl w:val="2"/>
          <w:numId w:val="9"/>
        </w:numPr>
        <w:rPr>
          <w:rFonts w:cs="David"/>
          <w:strike/>
          <w:szCs w:val="24"/>
          <w:u w:val="single"/>
          <w:rtl/>
        </w:rPr>
      </w:pPr>
      <w:r w:rsidRPr="008E196B">
        <w:rPr>
          <w:rFonts w:cs="David"/>
          <w:szCs w:val="24"/>
          <w:rtl/>
        </w:rPr>
        <w:t xml:space="preserve">הפרמיה עבור </w:t>
      </w:r>
      <w:r w:rsidR="00CE51DE">
        <w:rPr>
          <w:rFonts w:cs="David" w:hint="cs"/>
          <w:szCs w:val="24"/>
          <w:u w:val="single"/>
          <w:rtl/>
        </w:rPr>
        <w:t>שני</w:t>
      </w:r>
      <w:r w:rsidR="00CE51DE">
        <w:rPr>
          <w:rFonts w:cs="David" w:hint="cs"/>
          <w:szCs w:val="24"/>
          <w:rtl/>
        </w:rPr>
        <w:t xml:space="preserve"> </w:t>
      </w:r>
      <w:r w:rsidRPr="008E196B">
        <w:rPr>
          <w:rFonts w:cs="David"/>
          <w:szCs w:val="24"/>
          <w:rtl/>
        </w:rPr>
        <w:t>הרבדים תקבע על בסיס ההנחה שמדובר בקרנות נפרדות,</w:t>
      </w:r>
      <w:r w:rsidR="00CE51DE" w:rsidRPr="00CE51DE">
        <w:rPr>
          <w:rtl/>
        </w:rPr>
        <w:t xml:space="preserve"> </w:t>
      </w:r>
      <w:r w:rsidR="00CE51DE" w:rsidRPr="00CE51DE">
        <w:rPr>
          <w:rFonts w:cs="David"/>
          <w:szCs w:val="24"/>
          <w:rtl/>
        </w:rPr>
        <w:t>הפרמיה עבור הרובד המורחב תקבע</w:t>
      </w:r>
      <w:r w:rsidRPr="008E196B">
        <w:rPr>
          <w:rFonts w:cs="David"/>
          <w:szCs w:val="24"/>
          <w:rtl/>
        </w:rPr>
        <w:t xml:space="preserve"> בהתאם ל</w:t>
      </w:r>
      <w:r w:rsidRPr="008E196B">
        <w:rPr>
          <w:rFonts w:cs="David" w:hint="cs"/>
          <w:szCs w:val="24"/>
          <w:rtl/>
        </w:rPr>
        <w:t>הנחות</w:t>
      </w:r>
      <w:r w:rsidRPr="008E196B">
        <w:rPr>
          <w:rFonts w:cs="David"/>
          <w:szCs w:val="24"/>
          <w:rtl/>
        </w:rPr>
        <w:t xml:space="preserve"> </w:t>
      </w:r>
      <w:r w:rsidR="00931683" w:rsidRPr="008107B9">
        <w:rPr>
          <w:rFonts w:cs="David" w:hint="eastAsia"/>
          <w:szCs w:val="24"/>
          <w:u w:val="single"/>
          <w:rtl/>
        </w:rPr>
        <w:t>כפי</w:t>
      </w:r>
      <w:r w:rsidR="00931683" w:rsidRPr="008107B9">
        <w:rPr>
          <w:rFonts w:cs="David"/>
          <w:szCs w:val="24"/>
          <w:u w:val="single"/>
          <w:rtl/>
        </w:rPr>
        <w:t xml:space="preserve"> </w:t>
      </w:r>
      <w:r w:rsidR="00931683" w:rsidRPr="008107B9">
        <w:rPr>
          <w:rFonts w:cs="David" w:hint="eastAsia"/>
          <w:szCs w:val="24"/>
          <w:u w:val="single"/>
          <w:rtl/>
        </w:rPr>
        <w:t>שמופיעות</w:t>
      </w:r>
      <w:r w:rsidR="005C7117">
        <w:rPr>
          <w:rFonts w:cs="David" w:hint="cs"/>
          <w:szCs w:val="24"/>
          <w:u w:val="single"/>
          <w:rtl/>
        </w:rPr>
        <w:t xml:space="preserve"> </w:t>
      </w:r>
      <w:r w:rsidR="00216E32">
        <w:rPr>
          <w:rFonts w:cs="David" w:hint="cs"/>
          <w:szCs w:val="24"/>
          <w:u w:val="single"/>
          <w:rtl/>
        </w:rPr>
        <w:t>בנ</w:t>
      </w:r>
      <w:r w:rsidR="00A2672F" w:rsidRPr="00A2672F">
        <w:rPr>
          <w:rFonts w:cs="David" w:hint="cs"/>
          <w:szCs w:val="24"/>
          <w:u w:val="single"/>
          <w:rtl/>
        </w:rPr>
        <w:t>ספח לחוזר זה</w:t>
      </w:r>
      <w:r w:rsidRPr="008E196B">
        <w:rPr>
          <w:rFonts w:cs="David"/>
          <w:szCs w:val="24"/>
          <w:rtl/>
        </w:rPr>
        <w:t xml:space="preserve">; </w:t>
      </w:r>
      <w:r w:rsidRPr="00DF7765">
        <w:rPr>
          <w:rFonts w:cs="David"/>
          <w:strike/>
          <w:szCs w:val="24"/>
          <w:u w:val="single"/>
          <w:rtl/>
        </w:rPr>
        <w:t xml:space="preserve">על אף האמור, רשאית חברת ביטוח להגיש לאישור הממונה בקשה מנומקת לאישור פרמיה לרובד הבסיסי או לרובד המורחב או לתוספת סכום ביטוח המבוססת על הנחות אחרות מאלה </w:t>
      </w:r>
      <w:r w:rsidR="00931683" w:rsidRPr="00DF7765">
        <w:rPr>
          <w:rFonts w:cs="David" w:hint="eastAsia"/>
          <w:strike/>
          <w:szCs w:val="24"/>
          <w:u w:val="single"/>
          <w:rtl/>
        </w:rPr>
        <w:t>המופיעות</w:t>
      </w:r>
      <w:r w:rsidR="00931683" w:rsidRPr="00DF7765">
        <w:rPr>
          <w:rFonts w:cs="David"/>
          <w:strike/>
          <w:szCs w:val="24"/>
          <w:u w:val="single"/>
          <w:rtl/>
        </w:rPr>
        <w:t xml:space="preserve"> </w:t>
      </w:r>
      <w:r w:rsidR="00931683" w:rsidRPr="00DF7765">
        <w:rPr>
          <w:rFonts w:cs="David" w:hint="eastAsia"/>
          <w:strike/>
          <w:szCs w:val="24"/>
          <w:u w:val="single"/>
          <w:rtl/>
        </w:rPr>
        <w:t>בנספח</w:t>
      </w:r>
      <w:r w:rsidR="00931683" w:rsidRPr="00DF7765">
        <w:rPr>
          <w:rFonts w:cs="David"/>
          <w:strike/>
          <w:szCs w:val="24"/>
          <w:u w:val="single"/>
          <w:rtl/>
        </w:rPr>
        <w:t>.</w:t>
      </w:r>
    </w:p>
    <w:p w14:paraId="2E8D1E59"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8E196B">
        <w:rPr>
          <w:rtl/>
        </w:rPr>
        <w:t xml:space="preserve"> </w:t>
      </w:r>
      <w:r w:rsidRPr="008E196B">
        <w:rPr>
          <w:rFonts w:eastAsiaTheme="minorHAnsi" w:cs="David"/>
          <w:sz w:val="24"/>
          <w:szCs w:val="24"/>
          <w:rtl/>
          <w:lang w:eastAsia="en-US"/>
        </w:rPr>
        <w:t>על אף האמור בסעי</w:t>
      </w:r>
      <w:r w:rsidRPr="008E196B">
        <w:rPr>
          <w:rFonts w:eastAsiaTheme="minorHAnsi" w:cs="David" w:hint="cs"/>
          <w:sz w:val="24"/>
          <w:szCs w:val="24"/>
          <w:rtl/>
          <w:lang w:eastAsia="en-US"/>
        </w:rPr>
        <w:t>פים</w:t>
      </w:r>
      <w:r w:rsidRPr="008E196B">
        <w:rPr>
          <w:rFonts w:eastAsiaTheme="minorHAnsi" w:cs="David"/>
          <w:sz w:val="24"/>
          <w:szCs w:val="24"/>
          <w:rtl/>
          <w:lang w:eastAsia="en-US"/>
        </w:rPr>
        <w:t xml:space="preserve"> (3)(א)</w:t>
      </w:r>
      <w:r w:rsidRPr="008E196B">
        <w:rPr>
          <w:rFonts w:eastAsiaTheme="minorHAnsi" w:cs="David" w:hint="cs"/>
          <w:sz w:val="24"/>
          <w:szCs w:val="24"/>
          <w:rtl/>
          <w:lang w:eastAsia="en-US"/>
        </w:rPr>
        <w:t xml:space="preserve"> ו- (3)(ב)</w:t>
      </w:r>
      <w:r w:rsidRPr="008E196B">
        <w:rPr>
          <w:rFonts w:eastAsiaTheme="minorHAnsi" w:cs="David"/>
          <w:sz w:val="24"/>
          <w:szCs w:val="24"/>
          <w:rtl/>
          <w:lang w:eastAsia="en-US"/>
        </w:rPr>
        <w:t xml:space="preserve">, הממונה רשאי לאשר, כל עוד מצא שיש </w:t>
      </w:r>
      <w:r w:rsidRPr="008E196B">
        <w:rPr>
          <w:rFonts w:eastAsiaTheme="minorHAnsi" w:cs="David"/>
          <w:sz w:val="24"/>
          <w:szCs w:val="24"/>
          <w:rtl/>
          <w:lang w:eastAsia="en-US"/>
        </w:rPr>
        <w:lastRenderedPageBreak/>
        <w:t>הצדקה לכך, כי הפרמיה המשולמ</w:t>
      </w:r>
      <w:r w:rsidRPr="008E196B">
        <w:rPr>
          <w:rFonts w:eastAsiaTheme="minorHAnsi" w:cs="David" w:hint="cs"/>
          <w:sz w:val="24"/>
          <w:szCs w:val="24"/>
          <w:rtl/>
          <w:lang w:eastAsia="en-US"/>
        </w:rPr>
        <w:t>ו</w:t>
      </w:r>
      <w:r w:rsidRPr="008E196B">
        <w:rPr>
          <w:rFonts w:eastAsiaTheme="minorHAnsi" w:cs="David"/>
          <w:sz w:val="24"/>
          <w:szCs w:val="24"/>
          <w:rtl/>
          <w:lang w:eastAsia="en-US"/>
        </w:rPr>
        <w:t>ת ל</w:t>
      </w:r>
      <w:r w:rsidRPr="008E196B">
        <w:rPr>
          <w:rFonts w:eastAsiaTheme="minorHAnsi" w:cs="David" w:hint="cs"/>
          <w:sz w:val="24"/>
          <w:szCs w:val="24"/>
          <w:rtl/>
          <w:lang w:eastAsia="en-US"/>
        </w:rPr>
        <w:t>קרן ה</w:t>
      </w:r>
      <w:r w:rsidRPr="008E196B">
        <w:rPr>
          <w:rFonts w:eastAsiaTheme="minorHAnsi" w:cs="David"/>
          <w:sz w:val="24"/>
          <w:szCs w:val="24"/>
          <w:rtl/>
          <w:lang w:eastAsia="en-US"/>
        </w:rPr>
        <w:t xml:space="preserve">רובד המורחב תשויך לקרן </w:t>
      </w:r>
      <w:r w:rsidRPr="008E196B">
        <w:rPr>
          <w:rFonts w:eastAsiaTheme="minorHAnsi" w:cs="David" w:hint="cs"/>
          <w:sz w:val="24"/>
          <w:szCs w:val="24"/>
          <w:rtl/>
          <w:lang w:eastAsia="en-US"/>
        </w:rPr>
        <w:t>ה</w:t>
      </w:r>
      <w:r w:rsidRPr="008E196B">
        <w:rPr>
          <w:rFonts w:eastAsiaTheme="minorHAnsi" w:cs="David"/>
          <w:sz w:val="24"/>
          <w:szCs w:val="24"/>
          <w:rtl/>
          <w:lang w:eastAsia="en-US"/>
        </w:rPr>
        <w:t>רובד הבסיס</w:t>
      </w:r>
      <w:r w:rsidRPr="008E196B">
        <w:rPr>
          <w:rFonts w:eastAsiaTheme="minorHAnsi" w:cs="David" w:hint="eastAsia"/>
          <w:sz w:val="24"/>
          <w:szCs w:val="24"/>
          <w:rtl/>
          <w:lang w:eastAsia="en-US"/>
        </w:rPr>
        <w:t>י</w:t>
      </w:r>
      <w:r w:rsidRPr="008E196B">
        <w:rPr>
          <w:rFonts w:eastAsiaTheme="minorHAnsi" w:cs="David"/>
          <w:sz w:val="24"/>
          <w:szCs w:val="24"/>
          <w:rtl/>
          <w:lang w:eastAsia="en-US"/>
        </w:rPr>
        <w:t xml:space="preserve"> תחת העקרונות הבאים:</w:t>
      </w:r>
    </w:p>
    <w:p w14:paraId="76D20010"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חברת הביטוח</w:t>
      </w:r>
      <w:r w:rsidRPr="008E196B">
        <w:rPr>
          <w:rFonts w:cs="David"/>
          <w:szCs w:val="24"/>
          <w:rtl/>
        </w:rPr>
        <w:t xml:space="preserve"> תקיים רישום נפרד עבור </w:t>
      </w:r>
      <w:r w:rsidRPr="008E196B">
        <w:rPr>
          <w:rFonts w:cs="David" w:hint="cs"/>
          <w:szCs w:val="24"/>
          <w:rtl/>
        </w:rPr>
        <w:t xml:space="preserve">כלל </w:t>
      </w:r>
      <w:r w:rsidRPr="008E196B">
        <w:rPr>
          <w:rFonts w:cs="David"/>
          <w:szCs w:val="24"/>
          <w:rtl/>
        </w:rPr>
        <w:t>הפעולות שנעשו בגין הרובד המורחב</w:t>
      </w:r>
      <w:r w:rsidRPr="008E196B">
        <w:rPr>
          <w:rFonts w:cs="David" w:hint="cs"/>
          <w:szCs w:val="24"/>
          <w:rtl/>
        </w:rPr>
        <w:t xml:space="preserve"> ותוספת סכום ביטוח, ובכלל זה פרמיות שיתקבלו, עודפי גביה, תשלומי תביעות והפרשה לעתודות.</w:t>
      </w:r>
    </w:p>
    <w:p w14:paraId="71596DCE"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לצורך חישוב גובה הפרמיות, יראו כאילו מדובר בשתי קרנות נפרדות.</w:t>
      </w:r>
    </w:p>
    <w:p w14:paraId="0ED66BC1"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 xml:space="preserve">חברת ביטוח תערוך </w:t>
      </w:r>
      <w:r w:rsidRPr="008E196B">
        <w:rPr>
          <w:rFonts w:cs="David"/>
          <w:szCs w:val="24"/>
          <w:rtl/>
        </w:rPr>
        <w:t>מידי רבעון חישוב אקטוארי</w:t>
      </w:r>
      <w:r w:rsidRPr="008E196B">
        <w:rPr>
          <w:rFonts w:cs="David" w:hint="cs"/>
          <w:szCs w:val="24"/>
          <w:rtl/>
        </w:rPr>
        <w:t>;</w:t>
      </w:r>
      <w:r w:rsidRPr="008E196B">
        <w:rPr>
          <w:rFonts w:cs="David"/>
          <w:szCs w:val="24"/>
          <w:rtl/>
        </w:rPr>
        <w:t xml:space="preserve"> </w:t>
      </w:r>
      <w:r w:rsidRPr="008E196B">
        <w:rPr>
          <w:rFonts w:cs="David" w:hint="cs"/>
          <w:szCs w:val="24"/>
          <w:rtl/>
        </w:rPr>
        <w:t xml:space="preserve">הצביעה תחזית קרן המבוטחים הנצברת בגין הרובד המורחב, בהתבסס על אומדן מיטבי של החברה, על גירעון, תגיש החברה לאישור הממונה חלופות אפשריות לפעולות אשר מביאות לתחזית שאינה בגירעון בהתבסס על אומדן מיטבי של החברה. </w:t>
      </w:r>
    </w:p>
    <w:p w14:paraId="52F07E97" w14:textId="7CD8715E" w:rsidR="00777F75" w:rsidRDefault="00777F75" w:rsidP="00777F75">
      <w:pPr>
        <w:numPr>
          <w:ilvl w:val="1"/>
          <w:numId w:val="9"/>
        </w:numPr>
        <w:overflowPunct w:val="0"/>
        <w:autoSpaceDE w:val="0"/>
        <w:autoSpaceDN w:val="0"/>
        <w:adjustRightInd w:val="0"/>
        <w:spacing w:before="120" w:after="120" w:line="360" w:lineRule="auto"/>
        <w:textAlignment w:val="baseline"/>
        <w:rPr>
          <w:rFonts w:cs="David"/>
          <w:szCs w:val="24"/>
        </w:rPr>
      </w:pPr>
      <w:r w:rsidRPr="008E196B">
        <w:rPr>
          <w:rFonts w:cs="David" w:hint="eastAsia"/>
          <w:szCs w:val="24"/>
          <w:rtl/>
        </w:rPr>
        <w:lastRenderedPageBreak/>
        <w:t>חברת</w:t>
      </w:r>
      <w:r w:rsidRPr="008E196B">
        <w:rPr>
          <w:rFonts w:cs="David"/>
          <w:szCs w:val="24"/>
          <w:rtl/>
        </w:rPr>
        <w:t xml:space="preserve"> </w:t>
      </w:r>
      <w:r w:rsidRPr="008E196B">
        <w:rPr>
          <w:rFonts w:cs="David" w:hint="eastAsia"/>
          <w:szCs w:val="24"/>
          <w:rtl/>
        </w:rPr>
        <w:t>ביטוח</w:t>
      </w:r>
      <w:r w:rsidRPr="008E196B">
        <w:rPr>
          <w:rFonts w:cs="David"/>
          <w:szCs w:val="24"/>
          <w:rtl/>
        </w:rPr>
        <w:t xml:space="preserve"> </w:t>
      </w:r>
      <w:r w:rsidRPr="008E196B">
        <w:rPr>
          <w:rFonts w:cs="David" w:hint="eastAsia"/>
          <w:szCs w:val="24"/>
          <w:rtl/>
        </w:rPr>
        <w:t>תשקיע</w:t>
      </w:r>
      <w:r w:rsidRPr="008E196B">
        <w:rPr>
          <w:rFonts w:cs="David"/>
          <w:szCs w:val="24"/>
          <w:rtl/>
        </w:rPr>
        <w:t xml:space="preserve"> </w:t>
      </w:r>
      <w:r w:rsidRPr="008E196B">
        <w:rPr>
          <w:rFonts w:cs="David" w:hint="eastAsia"/>
          <w:szCs w:val="24"/>
          <w:rtl/>
        </w:rPr>
        <w:t>את</w:t>
      </w:r>
      <w:r w:rsidRPr="008E196B">
        <w:rPr>
          <w:rFonts w:cs="David"/>
          <w:szCs w:val="24"/>
          <w:rtl/>
        </w:rPr>
        <w:t xml:space="preserve"> </w:t>
      </w:r>
      <w:r w:rsidRPr="008E196B">
        <w:rPr>
          <w:rFonts w:cs="David" w:hint="eastAsia"/>
          <w:szCs w:val="24"/>
          <w:rtl/>
        </w:rPr>
        <w:t>כספי</w:t>
      </w:r>
      <w:r w:rsidRPr="008E196B">
        <w:rPr>
          <w:rFonts w:cs="David"/>
          <w:szCs w:val="24"/>
          <w:rtl/>
        </w:rPr>
        <w:t xml:space="preserve"> </w:t>
      </w:r>
      <w:r w:rsidRPr="008E196B">
        <w:rPr>
          <w:rFonts w:cs="David" w:hint="eastAsia"/>
          <w:szCs w:val="24"/>
          <w:rtl/>
        </w:rPr>
        <w:t>קרנות</w:t>
      </w:r>
      <w:r w:rsidRPr="008E196B">
        <w:rPr>
          <w:rFonts w:cs="David"/>
          <w:szCs w:val="24"/>
          <w:rtl/>
        </w:rPr>
        <w:t xml:space="preserve"> </w:t>
      </w:r>
      <w:r w:rsidRPr="008E196B">
        <w:rPr>
          <w:rFonts w:cs="David" w:hint="eastAsia"/>
          <w:szCs w:val="24"/>
          <w:rtl/>
        </w:rPr>
        <w:t>המבוטחים</w:t>
      </w:r>
      <w:r w:rsidRPr="008E196B">
        <w:rPr>
          <w:rFonts w:cs="David"/>
          <w:szCs w:val="24"/>
          <w:rtl/>
        </w:rPr>
        <w:t xml:space="preserve"> </w:t>
      </w:r>
      <w:r w:rsidRPr="008E196B">
        <w:rPr>
          <w:rFonts w:cs="David" w:hint="eastAsia"/>
          <w:szCs w:val="24"/>
          <w:rtl/>
        </w:rPr>
        <w:t>במהלך</w:t>
      </w:r>
      <w:r w:rsidRPr="008E196B">
        <w:rPr>
          <w:rFonts w:cs="David"/>
          <w:szCs w:val="24"/>
          <w:rtl/>
        </w:rPr>
        <w:t xml:space="preserve"> </w:t>
      </w:r>
      <w:r w:rsidRPr="008E196B">
        <w:rPr>
          <w:rFonts w:cs="David" w:hint="eastAsia"/>
          <w:szCs w:val="24"/>
          <w:rtl/>
        </w:rPr>
        <w:t>תקופת</w:t>
      </w:r>
      <w:r w:rsidRPr="008E196B">
        <w:rPr>
          <w:rFonts w:cs="David"/>
          <w:szCs w:val="24"/>
          <w:rtl/>
        </w:rPr>
        <w:t xml:space="preserve"> </w:t>
      </w:r>
      <w:r w:rsidRPr="008E196B">
        <w:rPr>
          <w:rFonts w:cs="David" w:hint="eastAsia"/>
          <w:szCs w:val="24"/>
          <w:rtl/>
        </w:rPr>
        <w:t>ההתקשרות</w:t>
      </w:r>
      <w:r w:rsidRPr="008E196B">
        <w:rPr>
          <w:rFonts w:cs="David"/>
          <w:szCs w:val="24"/>
          <w:rtl/>
        </w:rPr>
        <w:t xml:space="preserve"> </w:t>
      </w:r>
      <w:r w:rsidRPr="008E196B">
        <w:rPr>
          <w:rFonts w:cs="David" w:hint="eastAsia"/>
          <w:szCs w:val="24"/>
          <w:rtl/>
        </w:rPr>
        <w:t>בינה</w:t>
      </w:r>
      <w:r w:rsidRPr="008E196B">
        <w:rPr>
          <w:rFonts w:cs="David"/>
          <w:szCs w:val="24"/>
          <w:rtl/>
        </w:rPr>
        <w:t xml:space="preserve"> לבין קופת חולים, </w:t>
      </w:r>
      <w:r w:rsidRPr="008E196B">
        <w:rPr>
          <w:rFonts w:cs="David" w:hint="eastAsia"/>
          <w:szCs w:val="24"/>
          <w:rtl/>
        </w:rPr>
        <w:t>במסגרת</w:t>
      </w:r>
      <w:r w:rsidRPr="008E196B">
        <w:rPr>
          <w:rFonts w:cs="David"/>
          <w:szCs w:val="24"/>
          <w:rtl/>
        </w:rPr>
        <w:t xml:space="preserve"> </w:t>
      </w:r>
      <w:r w:rsidRPr="008E196B">
        <w:rPr>
          <w:rFonts w:cs="David" w:hint="eastAsia"/>
          <w:szCs w:val="24"/>
          <w:rtl/>
        </w:rPr>
        <w:t>התחייבויות</w:t>
      </w:r>
      <w:r w:rsidRPr="008E196B">
        <w:rPr>
          <w:rFonts w:cs="David"/>
          <w:szCs w:val="24"/>
          <w:rtl/>
        </w:rPr>
        <w:t xml:space="preserve"> תלויות </w:t>
      </w:r>
      <w:r w:rsidRPr="008E196B">
        <w:rPr>
          <w:rFonts w:cs="David" w:hint="eastAsia"/>
          <w:szCs w:val="24"/>
          <w:rtl/>
        </w:rPr>
        <w:t>התשואה</w:t>
      </w:r>
      <w:r w:rsidRPr="008E196B">
        <w:rPr>
          <w:rFonts w:cs="David"/>
          <w:szCs w:val="24"/>
          <w:rtl/>
        </w:rPr>
        <w:t xml:space="preserve"> שלה ובמסלול השקעות נפרד, </w:t>
      </w:r>
      <w:r w:rsidRPr="008E196B">
        <w:rPr>
          <w:rFonts w:cs="David" w:hint="eastAsia"/>
          <w:szCs w:val="24"/>
          <w:rtl/>
        </w:rPr>
        <w:t>בכפוף</w:t>
      </w:r>
      <w:r w:rsidRPr="008E196B">
        <w:rPr>
          <w:rFonts w:cs="David" w:hint="cs"/>
          <w:szCs w:val="24"/>
          <w:rtl/>
        </w:rPr>
        <w:t xml:space="preserve"> להוראות שנקבעו בהיתר שנתן הממונה</w:t>
      </w:r>
      <w:r w:rsidRPr="008E196B">
        <w:rPr>
          <w:rFonts w:cs="David"/>
          <w:szCs w:val="24"/>
          <w:rtl/>
        </w:rPr>
        <w:t xml:space="preserve"> </w:t>
      </w:r>
      <w:r w:rsidRPr="008E196B">
        <w:rPr>
          <w:rFonts w:cs="David" w:hint="cs"/>
          <w:szCs w:val="24"/>
          <w:rtl/>
        </w:rPr>
        <w:t>ובכללם אי דרישה לשליחת דיווח למבוטח.</w:t>
      </w:r>
    </w:p>
    <w:p w14:paraId="6F353886"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sz w:val="24"/>
          <w:szCs w:val="24"/>
          <w:rtl/>
          <w:lang w:eastAsia="en-US"/>
        </w:rPr>
        <w:t>ועדת השקעות תלויות תשואה תדון באופן ניהול ההשקעות של קרנות המבוטחים בהתאם למאפייני ההתחייבויות על פי המודל האקטוארי ובשים לב לגיל המבוטחים</w:t>
      </w:r>
      <w:r w:rsidRPr="008E196B">
        <w:rPr>
          <w:rFonts w:eastAsiaTheme="minorHAnsi" w:cs="David" w:hint="cs"/>
          <w:sz w:val="24"/>
          <w:szCs w:val="24"/>
          <w:rtl/>
          <w:lang w:eastAsia="en-US"/>
        </w:rPr>
        <w:t>.</w:t>
      </w:r>
    </w:p>
    <w:p w14:paraId="67C66C6E"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 xml:space="preserve">לא יזקפו </w:t>
      </w:r>
      <w:r w:rsidRPr="008E196B">
        <w:rPr>
          <w:rFonts w:eastAsiaTheme="minorHAnsi" w:cs="David" w:hint="eastAsia"/>
          <w:sz w:val="24"/>
          <w:szCs w:val="24"/>
          <w:rtl/>
          <w:lang w:eastAsia="en-US"/>
        </w:rPr>
        <w:t>לקרנות</w:t>
      </w:r>
      <w:r w:rsidRPr="008E196B">
        <w:rPr>
          <w:rFonts w:eastAsiaTheme="minorHAnsi" w:cs="David" w:hint="cs"/>
          <w:sz w:val="24"/>
          <w:szCs w:val="24"/>
          <w:rtl/>
          <w:lang w:eastAsia="en-US"/>
        </w:rPr>
        <w:t xml:space="preserve"> המבוטחים </w:t>
      </w:r>
      <w:r w:rsidRPr="008E196B">
        <w:rPr>
          <w:rFonts w:eastAsiaTheme="minorHAnsi" w:cs="David"/>
          <w:sz w:val="24"/>
          <w:szCs w:val="24"/>
          <w:rtl/>
          <w:lang w:eastAsia="en-US"/>
        </w:rPr>
        <w:t>הכנסות והוצאות</w:t>
      </w:r>
      <w:r w:rsidRPr="008E196B">
        <w:rPr>
          <w:rFonts w:eastAsiaTheme="minorHAnsi" w:cs="David" w:hint="cs"/>
          <w:sz w:val="24"/>
          <w:szCs w:val="24"/>
          <w:rtl/>
          <w:lang w:eastAsia="en-US"/>
        </w:rPr>
        <w:t xml:space="preserve"> שאינן מנויות מטה ובלבד</w:t>
      </w:r>
      <w:r w:rsidRPr="008E196B">
        <w:rPr>
          <w:rFonts w:eastAsiaTheme="minorHAnsi" w:cs="David"/>
          <w:sz w:val="24"/>
          <w:szCs w:val="24"/>
          <w:rtl/>
          <w:lang w:eastAsia="en-US"/>
        </w:rPr>
        <w:t xml:space="preserve"> ש</w:t>
      </w:r>
      <w:r w:rsidRPr="008E196B">
        <w:rPr>
          <w:rFonts w:eastAsiaTheme="minorHAnsi" w:cs="David" w:hint="cs"/>
          <w:sz w:val="24"/>
          <w:szCs w:val="24"/>
          <w:rtl/>
          <w:lang w:eastAsia="en-US"/>
        </w:rPr>
        <w:t>נקבעו</w:t>
      </w:r>
      <w:r w:rsidRPr="008E196B">
        <w:rPr>
          <w:rFonts w:eastAsiaTheme="minorHAnsi" w:cs="David"/>
          <w:sz w:val="24"/>
          <w:szCs w:val="24"/>
          <w:rtl/>
          <w:lang w:eastAsia="en-US"/>
        </w:rPr>
        <w:t xml:space="preserve"> מראש בהסכם בין החברה לקופת חולים</w:t>
      </w:r>
      <w:r w:rsidRPr="008E196B">
        <w:rPr>
          <w:rFonts w:eastAsiaTheme="minorHAnsi" w:cs="David" w:hint="cs"/>
          <w:sz w:val="24"/>
          <w:szCs w:val="24"/>
          <w:rtl/>
          <w:lang w:eastAsia="en-US"/>
        </w:rPr>
        <w:t>:</w:t>
      </w:r>
    </w:p>
    <w:p w14:paraId="423AACA0"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lang w:eastAsia="en-US"/>
        </w:rPr>
      </w:pPr>
      <w:r w:rsidRPr="008E196B">
        <w:rPr>
          <w:rFonts w:eastAsiaTheme="minorHAnsi" w:cs="David"/>
          <w:sz w:val="24"/>
          <w:szCs w:val="24"/>
          <w:rtl/>
          <w:lang w:eastAsia="en-US"/>
        </w:rPr>
        <w:t xml:space="preserve">סכומים מדמי הביטוח שיקבעו כאמור </w:t>
      </w:r>
      <w:r w:rsidRPr="008E196B">
        <w:rPr>
          <w:rFonts w:eastAsiaTheme="minorHAnsi" w:cs="David" w:hint="cs"/>
          <w:sz w:val="24"/>
          <w:szCs w:val="24"/>
          <w:rtl/>
          <w:lang w:eastAsia="en-US"/>
        </w:rPr>
        <w:t>בפסקה</w:t>
      </w:r>
      <w:r w:rsidRPr="008E196B">
        <w:rPr>
          <w:rFonts w:eastAsiaTheme="minorHAnsi" w:cs="David"/>
          <w:sz w:val="24"/>
          <w:szCs w:val="24"/>
          <w:rtl/>
          <w:lang w:eastAsia="en-US"/>
        </w:rPr>
        <w:t xml:space="preserve"> (1) לעיל, בתוספת התאמות אקטואריות בשל מבוטחים שמצטרפים או שעוזבים את התכנית.</w:t>
      </w:r>
    </w:p>
    <w:p w14:paraId="5FFD48D8"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t>סכומים בגין</w:t>
      </w:r>
      <w:r w:rsidRPr="008E196B">
        <w:rPr>
          <w:rFonts w:eastAsiaTheme="minorHAnsi" w:cs="David"/>
          <w:sz w:val="24"/>
          <w:szCs w:val="24"/>
          <w:rtl/>
          <w:lang w:eastAsia="en-US"/>
        </w:rPr>
        <w:t xml:space="preserve"> רווחים או הפסדים ביטוחיים שי</w:t>
      </w:r>
      <w:r w:rsidRPr="008E196B">
        <w:rPr>
          <w:rFonts w:eastAsiaTheme="minorHAnsi" w:cs="David" w:hint="cs"/>
          <w:sz w:val="24"/>
          <w:szCs w:val="24"/>
          <w:rtl/>
          <w:lang w:eastAsia="en-US"/>
        </w:rPr>
        <w:t>י</w:t>
      </w:r>
      <w:r w:rsidRPr="008E196B">
        <w:rPr>
          <w:rFonts w:eastAsiaTheme="minorHAnsi" w:cs="David"/>
          <w:sz w:val="24"/>
          <w:szCs w:val="24"/>
          <w:rtl/>
          <w:lang w:eastAsia="en-US"/>
        </w:rPr>
        <w:t>קבעו בהתאם לחלוקת הסיכון לפי סעיף (א)</w:t>
      </w:r>
      <w:r w:rsidRPr="008E196B">
        <w:rPr>
          <w:rFonts w:eastAsiaTheme="minorHAnsi" w:cs="David" w:hint="cs"/>
          <w:sz w:val="24"/>
          <w:szCs w:val="24"/>
          <w:rtl/>
          <w:lang w:eastAsia="en-US"/>
        </w:rPr>
        <w:t>.</w:t>
      </w:r>
    </w:p>
    <w:p w14:paraId="12E074B1"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lastRenderedPageBreak/>
        <w:t>סכומים בגין</w:t>
      </w:r>
      <w:r w:rsidRPr="008E196B">
        <w:rPr>
          <w:rFonts w:eastAsiaTheme="minorHAnsi" w:cs="David"/>
          <w:sz w:val="24"/>
          <w:szCs w:val="24"/>
          <w:rtl/>
          <w:lang w:eastAsia="en-US"/>
        </w:rPr>
        <w:t xml:space="preserve"> רווחי</w:t>
      </w:r>
      <w:r w:rsidRPr="008E196B">
        <w:rPr>
          <w:rFonts w:eastAsiaTheme="minorHAnsi" w:cs="David" w:hint="cs"/>
          <w:sz w:val="24"/>
          <w:szCs w:val="24"/>
          <w:rtl/>
          <w:lang w:eastAsia="en-US"/>
        </w:rPr>
        <w:t xml:space="preserve"> השקעה</w:t>
      </w:r>
      <w:r w:rsidRPr="008E196B">
        <w:rPr>
          <w:rFonts w:eastAsiaTheme="minorHAnsi" w:cs="David"/>
          <w:sz w:val="24"/>
          <w:szCs w:val="24"/>
          <w:rtl/>
          <w:lang w:eastAsia="en-US"/>
        </w:rPr>
        <w:t xml:space="preserve"> או הפסדי השקעה בגין נכסי קרנות המבוטחים</w:t>
      </w:r>
      <w:r w:rsidRPr="008E196B">
        <w:rPr>
          <w:rFonts w:eastAsiaTheme="minorHAnsi" w:cs="David" w:hint="cs"/>
          <w:sz w:val="24"/>
          <w:szCs w:val="24"/>
          <w:rtl/>
          <w:lang w:eastAsia="en-US"/>
        </w:rPr>
        <w:t>.</w:t>
      </w:r>
      <w:r w:rsidRPr="008E196B">
        <w:rPr>
          <w:rFonts w:eastAsiaTheme="minorHAnsi" w:cs="David"/>
          <w:sz w:val="24"/>
          <w:szCs w:val="24"/>
          <w:rtl/>
          <w:lang w:eastAsia="en-US"/>
        </w:rPr>
        <w:t xml:space="preserve"> </w:t>
      </w:r>
    </w:p>
    <w:p w14:paraId="47E96532"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עלות מימוש פוליסות המשך כמפורט ב</w:t>
      </w:r>
      <w:r w:rsidRPr="008E196B">
        <w:rPr>
          <w:rFonts w:eastAsiaTheme="minorHAnsi" w:cs="David" w:hint="cs"/>
          <w:sz w:val="24"/>
          <w:szCs w:val="24"/>
          <w:rtl/>
          <w:lang w:eastAsia="en-US"/>
        </w:rPr>
        <w:t>פסקה</w:t>
      </w:r>
      <w:r w:rsidRPr="008E196B">
        <w:rPr>
          <w:rFonts w:eastAsiaTheme="minorHAnsi" w:cs="David"/>
          <w:sz w:val="24"/>
          <w:szCs w:val="24"/>
          <w:rtl/>
          <w:lang w:eastAsia="en-US"/>
        </w:rPr>
        <w:t xml:space="preserve"> (ו)</w:t>
      </w:r>
      <w:r w:rsidRPr="008E196B">
        <w:rPr>
          <w:rFonts w:eastAsiaTheme="minorHAnsi" w:cs="David" w:hint="cs"/>
          <w:sz w:val="24"/>
          <w:szCs w:val="24"/>
          <w:rtl/>
          <w:lang w:eastAsia="en-US"/>
        </w:rPr>
        <w:t>.</w:t>
      </w:r>
    </w:p>
    <w:p w14:paraId="5FDC0029"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דמי ניהול בשל ניהול הקרנות.</w:t>
      </w:r>
    </w:p>
    <w:p w14:paraId="15FF0C4C"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 xml:space="preserve">העברות מקרנות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אחת לקרנות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אחרת לפי </w:t>
      </w:r>
      <w:r w:rsidRPr="008E196B">
        <w:rPr>
          <w:rFonts w:eastAsiaTheme="minorHAnsi" w:cs="David" w:hint="eastAsia"/>
          <w:sz w:val="24"/>
          <w:szCs w:val="24"/>
          <w:rtl/>
          <w:lang w:eastAsia="en-US"/>
        </w:rPr>
        <w:t>סעיף</w:t>
      </w:r>
      <w:r w:rsidRPr="008E196B">
        <w:rPr>
          <w:rFonts w:eastAsiaTheme="minorHAnsi" w:cs="David"/>
          <w:sz w:val="24"/>
          <w:szCs w:val="24"/>
          <w:rtl/>
          <w:lang w:eastAsia="en-US"/>
        </w:rPr>
        <w:t xml:space="preserve"> 15 </w:t>
      </w:r>
      <w:r w:rsidRPr="008E196B">
        <w:rPr>
          <w:rFonts w:eastAsiaTheme="minorHAnsi" w:cs="David" w:hint="eastAsia"/>
          <w:sz w:val="24"/>
          <w:szCs w:val="24"/>
          <w:rtl/>
          <w:lang w:eastAsia="en-US"/>
        </w:rPr>
        <w:t>ל</w:t>
      </w:r>
      <w:r w:rsidRPr="008E196B">
        <w:rPr>
          <w:rFonts w:eastAsiaTheme="minorHAnsi" w:cs="David"/>
          <w:sz w:val="24"/>
          <w:szCs w:val="24"/>
          <w:rtl/>
          <w:lang w:eastAsia="en-US"/>
        </w:rPr>
        <w:t>הוראות הפיקוח על שירותים פיננסיים (ביטוח) (ביטוח סיעוד קבוצתי לחברי קופת חולים), התשע"ו-2015 (</w:t>
      </w:r>
      <w:r w:rsidRPr="008E196B">
        <w:rPr>
          <w:rFonts w:eastAsiaTheme="minorHAnsi" w:cs="David" w:hint="eastAsia"/>
          <w:sz w:val="24"/>
          <w:szCs w:val="24"/>
          <w:rtl/>
          <w:lang w:eastAsia="en-US"/>
        </w:rPr>
        <w:t>בפרק</w:t>
      </w:r>
      <w:r w:rsidRPr="008E196B">
        <w:rPr>
          <w:rFonts w:eastAsiaTheme="minorHAnsi" w:cs="David"/>
          <w:sz w:val="24"/>
          <w:szCs w:val="24"/>
          <w:rtl/>
          <w:lang w:eastAsia="en-US"/>
        </w:rPr>
        <w:t xml:space="preserve"> זה – </w:t>
      </w:r>
      <w:r w:rsidRPr="008E196B">
        <w:rPr>
          <w:rFonts w:eastAsiaTheme="minorHAnsi" w:cs="David" w:hint="eastAsia"/>
          <w:b/>
          <w:bCs/>
          <w:sz w:val="24"/>
          <w:szCs w:val="24"/>
          <w:rtl/>
          <w:lang w:eastAsia="en-US"/>
        </w:rPr>
        <w:t>ההוראות</w:t>
      </w:r>
      <w:r w:rsidRPr="008E196B">
        <w:rPr>
          <w:rFonts w:eastAsiaTheme="minorHAnsi" w:cs="David"/>
          <w:sz w:val="24"/>
          <w:szCs w:val="24"/>
          <w:rtl/>
          <w:lang w:eastAsia="en-US"/>
        </w:rPr>
        <w:t xml:space="preserve">), במקרה של מעבר מבוטחים כמפורט </w:t>
      </w:r>
      <w:r w:rsidRPr="008E196B">
        <w:rPr>
          <w:rFonts w:eastAsiaTheme="minorHAnsi" w:cs="David" w:hint="eastAsia"/>
          <w:sz w:val="24"/>
          <w:szCs w:val="24"/>
          <w:rtl/>
          <w:lang w:eastAsia="en-US"/>
        </w:rPr>
        <w:t>בסעיף</w:t>
      </w:r>
      <w:r w:rsidRPr="008E196B">
        <w:rPr>
          <w:rFonts w:eastAsiaTheme="minorHAnsi" w:cs="David"/>
          <w:sz w:val="24"/>
          <w:szCs w:val="24"/>
          <w:rtl/>
          <w:lang w:eastAsia="en-US"/>
        </w:rPr>
        <w:t xml:space="preserve"> 12 </w:t>
      </w:r>
      <w:r w:rsidRPr="008E196B">
        <w:rPr>
          <w:rFonts w:eastAsiaTheme="minorHAnsi" w:cs="David" w:hint="eastAsia"/>
          <w:sz w:val="24"/>
          <w:szCs w:val="24"/>
          <w:rtl/>
          <w:lang w:eastAsia="en-US"/>
        </w:rPr>
        <w:t>להוראות</w:t>
      </w:r>
      <w:r w:rsidRPr="008E196B">
        <w:rPr>
          <w:rFonts w:eastAsiaTheme="minorHAnsi" w:cs="David"/>
          <w:sz w:val="24"/>
          <w:szCs w:val="24"/>
          <w:rtl/>
          <w:lang w:eastAsia="en-US"/>
        </w:rPr>
        <w:t>.</w:t>
      </w:r>
    </w:p>
    <w:p w14:paraId="74878C8F" w14:textId="77777777" w:rsidR="00777F75" w:rsidRPr="00B86822"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הכנסות </w:t>
      </w:r>
      <w:r w:rsidRPr="00B86822">
        <w:rPr>
          <w:rFonts w:eastAsiaTheme="minorHAnsi" w:cs="David" w:hint="cs"/>
          <w:sz w:val="24"/>
          <w:szCs w:val="24"/>
          <w:rtl/>
          <w:lang w:eastAsia="en-US"/>
        </w:rPr>
        <w:t xml:space="preserve">והוצאות </w:t>
      </w:r>
      <w:r w:rsidRPr="00B86822">
        <w:rPr>
          <w:rFonts w:eastAsiaTheme="minorHAnsi" w:cs="David"/>
          <w:sz w:val="24"/>
          <w:szCs w:val="24"/>
          <w:rtl/>
          <w:lang w:eastAsia="en-US"/>
        </w:rPr>
        <w:t>אחרות בכפוף לאישור</w:t>
      </w:r>
      <w:r w:rsidRPr="00B86822">
        <w:rPr>
          <w:rFonts w:eastAsiaTheme="minorHAnsi" w:cs="David" w:hint="cs"/>
          <w:sz w:val="24"/>
          <w:szCs w:val="24"/>
          <w:rtl/>
          <w:lang w:eastAsia="en-US"/>
        </w:rPr>
        <w:t xml:space="preserve"> </w:t>
      </w:r>
      <w:r w:rsidRPr="00B86822">
        <w:rPr>
          <w:rFonts w:eastAsiaTheme="minorHAnsi" w:cs="David"/>
          <w:sz w:val="24"/>
          <w:szCs w:val="24"/>
          <w:rtl/>
          <w:lang w:eastAsia="en-US"/>
        </w:rPr>
        <w:t xml:space="preserve">מראש של </w:t>
      </w:r>
      <w:r w:rsidRPr="00B86822">
        <w:rPr>
          <w:rFonts w:eastAsiaTheme="minorHAnsi" w:cs="David" w:hint="cs"/>
          <w:sz w:val="24"/>
          <w:szCs w:val="24"/>
          <w:rtl/>
          <w:lang w:eastAsia="en-US"/>
        </w:rPr>
        <w:t>הממונה</w:t>
      </w:r>
      <w:r w:rsidRPr="00B86822">
        <w:rPr>
          <w:rFonts w:eastAsiaTheme="minorHAnsi" w:cs="David"/>
          <w:sz w:val="24"/>
          <w:szCs w:val="24"/>
          <w:rtl/>
          <w:lang w:eastAsia="en-US"/>
        </w:rPr>
        <w:t>.</w:t>
      </w:r>
    </w:p>
    <w:p w14:paraId="0F2838B2" w14:textId="77777777" w:rsidR="00777F75" w:rsidRPr="000140E3"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אופן ההתקשרות ו</w:t>
      </w:r>
      <w:r w:rsidRPr="00B86822">
        <w:rPr>
          <w:rFonts w:eastAsiaTheme="minorHAnsi" w:cs="David"/>
          <w:sz w:val="24"/>
          <w:szCs w:val="24"/>
          <w:rtl/>
          <w:lang w:eastAsia="en-US"/>
        </w:rPr>
        <w:t xml:space="preserve">תקופת </w:t>
      </w:r>
      <w:r w:rsidRPr="00B86822">
        <w:rPr>
          <w:rFonts w:eastAsiaTheme="minorHAnsi" w:cs="David" w:hint="cs"/>
          <w:sz w:val="24"/>
          <w:szCs w:val="24"/>
          <w:rtl/>
          <w:lang w:eastAsia="en-US"/>
        </w:rPr>
        <w:t>ה</w:t>
      </w:r>
      <w:r w:rsidRPr="00B86822">
        <w:rPr>
          <w:rFonts w:eastAsiaTheme="minorHAnsi" w:cs="David"/>
          <w:sz w:val="24"/>
          <w:szCs w:val="24"/>
          <w:rtl/>
          <w:lang w:eastAsia="en-US"/>
        </w:rPr>
        <w:t xml:space="preserve">התקשרות בין חברת ביטוח </w:t>
      </w:r>
      <w:r w:rsidRPr="00B86822">
        <w:rPr>
          <w:rFonts w:eastAsiaTheme="minorHAnsi" w:cs="David" w:hint="cs"/>
          <w:sz w:val="24"/>
          <w:szCs w:val="24"/>
          <w:rtl/>
          <w:lang w:eastAsia="en-US"/>
        </w:rPr>
        <w:t>לבין קופת חולים</w:t>
      </w:r>
      <w:r>
        <w:rPr>
          <w:rFonts w:eastAsiaTheme="minorHAnsi" w:cs="David" w:hint="cs"/>
          <w:sz w:val="24"/>
          <w:szCs w:val="24"/>
          <w:rtl/>
          <w:lang w:eastAsia="en-US"/>
        </w:rPr>
        <w:t xml:space="preserve"> </w:t>
      </w:r>
      <w:r w:rsidRPr="00B86822">
        <w:rPr>
          <w:rFonts w:eastAsiaTheme="minorHAnsi" w:cs="David"/>
          <w:sz w:val="24"/>
          <w:szCs w:val="24"/>
          <w:rtl/>
          <w:lang w:eastAsia="en-US"/>
        </w:rPr>
        <w:t xml:space="preserve">- חברת ביטוח </w:t>
      </w:r>
      <w:r w:rsidRPr="00B86822">
        <w:rPr>
          <w:rFonts w:eastAsiaTheme="minorHAnsi" w:cs="David" w:hint="cs"/>
          <w:sz w:val="24"/>
          <w:szCs w:val="24"/>
          <w:rtl/>
          <w:lang w:eastAsia="en-US"/>
        </w:rPr>
        <w:t xml:space="preserve">לא תתקשר בהסכם עם קופת </w:t>
      </w:r>
      <w:r w:rsidRPr="00D8074D">
        <w:rPr>
          <w:rFonts w:eastAsiaTheme="minorHAnsi" w:cs="David" w:hint="cs"/>
          <w:sz w:val="24"/>
          <w:szCs w:val="24"/>
          <w:rtl/>
          <w:lang w:eastAsia="en-US"/>
        </w:rPr>
        <w:t xml:space="preserve">חולים לצורך עריכת תכנית לביטוח סיעודי לחברי קופ"ח אם לא נבחרה על ידי קופת החולים לאחר </w:t>
      </w:r>
      <w:r w:rsidRPr="00D8074D">
        <w:rPr>
          <w:rFonts w:eastAsiaTheme="minorHAnsi" w:cs="David"/>
          <w:sz w:val="24"/>
          <w:szCs w:val="24"/>
          <w:rtl/>
          <w:lang w:eastAsia="en-US"/>
        </w:rPr>
        <w:t>הליך תחרותי ש</w:t>
      </w:r>
      <w:r w:rsidRPr="00D8074D">
        <w:rPr>
          <w:rFonts w:eastAsiaTheme="minorHAnsi" w:cs="David" w:hint="cs"/>
          <w:sz w:val="24"/>
          <w:szCs w:val="24"/>
          <w:rtl/>
          <w:lang w:eastAsia="en-US"/>
        </w:rPr>
        <w:t>נ</w:t>
      </w:r>
      <w:r w:rsidRPr="00D8074D">
        <w:rPr>
          <w:rFonts w:eastAsiaTheme="minorHAnsi" w:cs="David"/>
          <w:sz w:val="24"/>
          <w:szCs w:val="24"/>
          <w:rtl/>
          <w:lang w:eastAsia="en-US"/>
        </w:rPr>
        <w:t xml:space="preserve">ערך על ידי </w:t>
      </w:r>
      <w:r w:rsidRPr="00D8074D">
        <w:rPr>
          <w:rFonts w:eastAsiaTheme="minorHAnsi" w:cs="David" w:hint="cs"/>
          <w:sz w:val="24"/>
          <w:szCs w:val="24"/>
          <w:rtl/>
          <w:lang w:eastAsia="en-US"/>
        </w:rPr>
        <w:t xml:space="preserve">קופת </w:t>
      </w:r>
      <w:r w:rsidRPr="00D8074D">
        <w:rPr>
          <w:rFonts w:eastAsiaTheme="minorHAnsi" w:cs="David" w:hint="cs"/>
          <w:sz w:val="24"/>
          <w:szCs w:val="24"/>
          <w:rtl/>
          <w:lang w:eastAsia="en-US"/>
        </w:rPr>
        <w:lastRenderedPageBreak/>
        <w:t>חולים; תקופת ההסכם האמור</w:t>
      </w:r>
      <w:r w:rsidRPr="00D8074D">
        <w:rPr>
          <w:rFonts w:eastAsiaTheme="minorHAnsi" w:cs="David"/>
          <w:sz w:val="24"/>
          <w:szCs w:val="24"/>
          <w:rtl/>
          <w:lang w:eastAsia="en-US"/>
        </w:rPr>
        <w:t xml:space="preserve"> לא תעלה על 8 שנים (לרבות מימוש אופציות לחידוש והארכת הביטוח), </w:t>
      </w:r>
      <w:r w:rsidRPr="00D8074D">
        <w:rPr>
          <w:rFonts w:eastAsiaTheme="minorHAnsi" w:cs="David" w:hint="cs"/>
          <w:sz w:val="24"/>
          <w:szCs w:val="24"/>
          <w:rtl/>
          <w:lang w:eastAsia="en-US"/>
        </w:rPr>
        <w:t>למעט</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אם</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 xml:space="preserve">אישר </w:t>
      </w:r>
      <w:r w:rsidRPr="00AD29C9">
        <w:rPr>
          <w:rFonts w:eastAsiaTheme="minorHAnsi" w:cs="David" w:hint="cs"/>
          <w:sz w:val="24"/>
          <w:szCs w:val="24"/>
          <w:rtl/>
          <w:lang w:eastAsia="en-US"/>
        </w:rPr>
        <w:t>הממונה התקשרות בתנאים שונים מאלה המנויים בסעיף זה או לתקופת התקשרות שעולה על 8 שנים</w:t>
      </w:r>
      <w:r>
        <w:rPr>
          <w:rFonts w:eastAsiaTheme="minorHAnsi" w:cs="David" w:hint="cs"/>
          <w:sz w:val="24"/>
          <w:szCs w:val="24"/>
          <w:rtl/>
          <w:lang w:eastAsia="en-US"/>
        </w:rPr>
        <w:t>;</w:t>
      </w:r>
      <w:r w:rsidRPr="000140E3">
        <w:rPr>
          <w:rFonts w:eastAsiaTheme="minorHAnsi" w:cs="David"/>
          <w:sz w:val="24"/>
          <w:szCs w:val="24"/>
          <w:rtl/>
          <w:lang w:eastAsia="en-US"/>
        </w:rPr>
        <w:t xml:space="preserve"> </w:t>
      </w:r>
      <w:r>
        <w:rPr>
          <w:rFonts w:eastAsiaTheme="minorHAnsi" w:cs="David" w:hint="cs"/>
          <w:sz w:val="24"/>
          <w:szCs w:val="24"/>
          <w:rtl/>
          <w:lang w:eastAsia="en-US"/>
        </w:rPr>
        <w:t xml:space="preserve">על אף האמור, אישור הממונה </w:t>
      </w:r>
      <w:r w:rsidRPr="0030274E">
        <w:rPr>
          <w:rFonts w:eastAsiaTheme="minorHAnsi" w:cs="David"/>
          <w:sz w:val="24"/>
          <w:szCs w:val="24"/>
          <w:rtl/>
          <w:lang w:eastAsia="en-US"/>
        </w:rPr>
        <w:t>כי חברי קופת חולים מסוימת זכאים להצטרף לרובד המורחב בביטוח סיעודי לחברי קופ"ח אחרת</w:t>
      </w:r>
      <w:r>
        <w:rPr>
          <w:rFonts w:eastAsiaTheme="minorHAnsi" w:cs="David" w:hint="cs"/>
          <w:sz w:val="24"/>
          <w:szCs w:val="24"/>
          <w:rtl/>
          <w:lang w:eastAsia="en-US"/>
        </w:rPr>
        <w:t>, כאמור בסעיף 3(א1) להוראות, תתקשר חברת הביטוח עם קופת החולים האחרת שאישר הממונה.</w:t>
      </w:r>
    </w:p>
    <w:p w14:paraId="1513CA20" w14:textId="77777777" w:rsidR="00777F75" w:rsidRPr="00316DCE"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316DCE">
        <w:rPr>
          <w:rFonts w:eastAsiaTheme="minorHAnsi" w:cs="David"/>
          <w:sz w:val="24"/>
          <w:szCs w:val="24"/>
          <w:rtl/>
          <w:lang w:eastAsia="en-US"/>
        </w:rPr>
        <w:t xml:space="preserve">רציפות בטיפול בתביעות - </w:t>
      </w:r>
      <w:r w:rsidRPr="00316DCE">
        <w:rPr>
          <w:rFonts w:eastAsiaTheme="minorHAnsi" w:cs="David" w:hint="eastAsia"/>
          <w:sz w:val="24"/>
          <w:szCs w:val="24"/>
          <w:rtl/>
          <w:lang w:eastAsia="en-US"/>
        </w:rPr>
        <w:t>חברת</w:t>
      </w:r>
      <w:r w:rsidRPr="00316DCE">
        <w:rPr>
          <w:rFonts w:eastAsiaTheme="minorHAnsi" w:cs="David"/>
          <w:sz w:val="24"/>
          <w:szCs w:val="24"/>
          <w:rtl/>
          <w:lang w:eastAsia="en-US"/>
        </w:rPr>
        <w:t xml:space="preserve"> ביטוח תתחייב לטפל, בסיומה של תקופת ההתקשרות בין חברת הביטוח לקופה, בתביעות שבתשלום, בתביעות תלויות, לרבות תביעות שאירעו במהלך תקופת הביטוח אצל החברה וטרם דווחו לה, ובתביעות שהוגשו בהתאם לקבוע ב</w:t>
      </w:r>
      <w:r w:rsidRPr="00316DCE">
        <w:rPr>
          <w:rFonts w:eastAsiaTheme="minorHAnsi" w:cs="David" w:hint="eastAsia"/>
          <w:sz w:val="24"/>
          <w:szCs w:val="24"/>
          <w:rtl/>
          <w:lang w:eastAsia="en-US"/>
        </w:rPr>
        <w:t>סעיף</w:t>
      </w:r>
      <w:r w:rsidRPr="00316DCE">
        <w:rPr>
          <w:rFonts w:eastAsiaTheme="minorHAnsi" w:cs="David"/>
          <w:sz w:val="24"/>
          <w:szCs w:val="24"/>
          <w:rtl/>
          <w:lang w:eastAsia="en-US"/>
        </w:rPr>
        <w:t xml:space="preserve"> 13 </w:t>
      </w:r>
      <w:r w:rsidRPr="00316DCE">
        <w:rPr>
          <w:rFonts w:eastAsiaTheme="minorHAnsi" w:cs="David" w:hint="eastAsia"/>
          <w:sz w:val="24"/>
          <w:szCs w:val="24"/>
          <w:rtl/>
          <w:lang w:eastAsia="en-US"/>
        </w:rPr>
        <w:t>להוראות</w:t>
      </w:r>
      <w:r w:rsidRPr="00316DCE">
        <w:rPr>
          <w:rFonts w:eastAsiaTheme="minorHAnsi" w:cs="David"/>
          <w:sz w:val="24"/>
          <w:szCs w:val="24"/>
          <w:rtl/>
          <w:lang w:eastAsia="en-US"/>
        </w:rPr>
        <w:t xml:space="preserve">, </w:t>
      </w:r>
      <w:r w:rsidRPr="00316DCE">
        <w:rPr>
          <w:rFonts w:eastAsiaTheme="minorHAnsi" w:cs="David" w:hint="eastAsia"/>
          <w:sz w:val="24"/>
          <w:szCs w:val="24"/>
          <w:rtl/>
          <w:lang w:eastAsia="en-US"/>
        </w:rPr>
        <w:t>למעט</w:t>
      </w:r>
      <w:r w:rsidRPr="00316DCE">
        <w:rPr>
          <w:rFonts w:eastAsiaTheme="minorHAnsi" w:cs="David"/>
          <w:sz w:val="24"/>
          <w:szCs w:val="24"/>
          <w:rtl/>
          <w:lang w:eastAsia="en-US"/>
        </w:rPr>
        <w:t xml:space="preserve"> אם אישר הממונה אחרת; התחייבות חברת הביטוח כאמור תיקבע בהסכם ההתקשרות עם קופת </w:t>
      </w:r>
      <w:r w:rsidRPr="00316DCE">
        <w:rPr>
          <w:rFonts w:eastAsiaTheme="minorHAnsi" w:cs="David" w:hint="eastAsia"/>
          <w:sz w:val="24"/>
          <w:szCs w:val="24"/>
          <w:rtl/>
          <w:lang w:eastAsia="en-US"/>
        </w:rPr>
        <w:t>החולים</w:t>
      </w:r>
      <w:r w:rsidRPr="00316DCE">
        <w:rPr>
          <w:rFonts w:eastAsiaTheme="minorHAnsi" w:cs="David"/>
          <w:sz w:val="24"/>
          <w:szCs w:val="24"/>
          <w:rtl/>
          <w:lang w:eastAsia="en-US"/>
        </w:rPr>
        <w:t>.</w:t>
      </w:r>
    </w:p>
    <w:p w14:paraId="333DEFB6" w14:textId="77777777" w:rsidR="00777F75" w:rsidRPr="00D8074D"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חברת ביטוח </w:t>
      </w:r>
      <w:r w:rsidRPr="00B86822">
        <w:rPr>
          <w:rFonts w:eastAsiaTheme="minorHAnsi" w:cs="David" w:hint="cs"/>
          <w:sz w:val="24"/>
          <w:szCs w:val="24"/>
          <w:rtl/>
          <w:lang w:eastAsia="en-US"/>
        </w:rPr>
        <w:t>לא ת</w:t>
      </w:r>
      <w:r w:rsidRPr="00B86822">
        <w:rPr>
          <w:rFonts w:eastAsiaTheme="minorHAnsi" w:cs="David"/>
          <w:sz w:val="24"/>
          <w:szCs w:val="24"/>
          <w:rtl/>
          <w:lang w:eastAsia="en-US"/>
        </w:rPr>
        <w:t>תקשר ביותר מהסכם אחד לעריכת ביטוח סיעודי לחברי קופ"ח או לחלק מחברי קופת חולים, אם סך מספר המבוטחים אותם היא מבטחת בהסכם אחד או יותר כאמור עולה על 50</w:t>
      </w:r>
      <w:r w:rsidRPr="00D8074D">
        <w:rPr>
          <w:rFonts w:eastAsiaTheme="minorHAnsi" w:cs="David"/>
          <w:sz w:val="24"/>
          <w:szCs w:val="24"/>
          <w:rtl/>
          <w:lang w:eastAsia="en-US"/>
        </w:rPr>
        <w:t xml:space="preserve">% ממספר המבוטחים בכלל ההסכמים הקיימים לביטוח סיעודי </w:t>
      </w:r>
      <w:r w:rsidRPr="00D8074D">
        <w:rPr>
          <w:rFonts w:eastAsiaTheme="minorHAnsi" w:cs="David"/>
          <w:sz w:val="24"/>
          <w:szCs w:val="24"/>
          <w:rtl/>
          <w:lang w:eastAsia="en-US"/>
        </w:rPr>
        <w:lastRenderedPageBreak/>
        <w:t xml:space="preserve">לחברי קופ"ח, בהסתמך על המידע הקיים אצל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בעניין זה במועד ההתקשרות, אלא אם </w:t>
      </w:r>
      <w:r w:rsidRPr="00D8074D">
        <w:rPr>
          <w:rFonts w:eastAsiaTheme="minorHAnsi" w:cs="David" w:hint="cs"/>
          <w:sz w:val="24"/>
          <w:szCs w:val="24"/>
          <w:rtl/>
          <w:lang w:eastAsia="en-US"/>
        </w:rPr>
        <w:t>אישר</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אחרת</w:t>
      </w:r>
      <w:r w:rsidRPr="00D8074D">
        <w:rPr>
          <w:rFonts w:eastAsiaTheme="minorHAnsi" w:cs="David"/>
          <w:sz w:val="24"/>
          <w:szCs w:val="24"/>
          <w:rtl/>
          <w:lang w:eastAsia="en-US"/>
        </w:rPr>
        <w:t xml:space="preserve"> ובתנאים </w:t>
      </w:r>
      <w:r w:rsidRPr="00D8074D">
        <w:rPr>
          <w:rFonts w:eastAsiaTheme="minorHAnsi" w:cs="David" w:hint="cs"/>
          <w:sz w:val="24"/>
          <w:szCs w:val="24"/>
          <w:rtl/>
          <w:lang w:eastAsia="en-US"/>
        </w:rPr>
        <w:t>שאישר</w:t>
      </w:r>
      <w:r w:rsidRPr="00D8074D">
        <w:rPr>
          <w:rFonts w:eastAsiaTheme="minorHAnsi" w:cs="David"/>
          <w:sz w:val="24"/>
          <w:szCs w:val="24"/>
          <w:rtl/>
          <w:lang w:eastAsia="en-US"/>
        </w:rPr>
        <w:t xml:space="preserve">. </w:t>
      </w:r>
    </w:p>
    <w:p w14:paraId="6A21FAE5" w14:textId="77777777" w:rsidR="00777F75" w:rsidRDefault="00777F75" w:rsidP="00777F75">
      <w:pPr>
        <w:numPr>
          <w:ilvl w:val="0"/>
          <w:numId w:val="9"/>
        </w:numPr>
        <w:overflowPunct w:val="0"/>
        <w:autoSpaceDE w:val="0"/>
        <w:autoSpaceDN w:val="0"/>
        <w:adjustRightInd w:val="0"/>
        <w:spacing w:before="120" w:after="120" w:line="360" w:lineRule="auto"/>
        <w:ind w:left="1797"/>
        <w:contextualSpacing/>
        <w:textAlignment w:val="baseline"/>
        <w:rPr>
          <w:rFonts w:eastAsiaTheme="minorHAnsi" w:cs="David"/>
          <w:sz w:val="24"/>
          <w:szCs w:val="24"/>
          <w:lang w:eastAsia="en-US"/>
        </w:rPr>
      </w:pPr>
      <w:r w:rsidRPr="009038CB">
        <w:rPr>
          <w:rFonts w:eastAsiaTheme="minorHAnsi" w:cs="David"/>
          <w:sz w:val="24"/>
          <w:szCs w:val="24"/>
          <w:rtl/>
          <w:lang w:eastAsia="en-US"/>
        </w:rPr>
        <w:t xml:space="preserve">עלות מימוש פוליסות המשך - על </w:t>
      </w:r>
      <w:r w:rsidRPr="008E196B">
        <w:rPr>
          <w:rFonts w:eastAsiaTheme="minorHAnsi" w:cs="David"/>
          <w:sz w:val="24"/>
          <w:szCs w:val="24"/>
          <w:rtl/>
          <w:lang w:eastAsia="en-US"/>
        </w:rPr>
        <w:t xml:space="preserve">קרנות </w:t>
      </w:r>
      <w:r w:rsidRPr="009038CB">
        <w:rPr>
          <w:rFonts w:eastAsiaTheme="minorHAnsi" w:cs="David"/>
          <w:sz w:val="24"/>
          <w:szCs w:val="24"/>
          <w:rtl/>
          <w:lang w:eastAsia="en-US"/>
        </w:rPr>
        <w:t>המבוטחים תושת עלות מימוש פוליסות ההמשך במקרה של אי חידוש הביטוח ל</w:t>
      </w:r>
      <w:r w:rsidRPr="009038CB">
        <w:rPr>
          <w:rFonts w:eastAsiaTheme="minorHAnsi" w:cs="David" w:hint="eastAsia"/>
          <w:sz w:val="24"/>
          <w:szCs w:val="24"/>
          <w:rtl/>
          <w:lang w:eastAsia="en-US"/>
        </w:rPr>
        <w:t>כלל</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ה</w:t>
      </w:r>
      <w:r w:rsidRPr="009038CB">
        <w:rPr>
          <w:rFonts w:eastAsiaTheme="minorHAnsi" w:cs="David"/>
          <w:sz w:val="24"/>
          <w:szCs w:val="24"/>
          <w:rtl/>
          <w:lang w:eastAsia="en-US"/>
        </w:rPr>
        <w:t xml:space="preserve">מבוטחים </w:t>
      </w:r>
      <w:r w:rsidRPr="009038CB">
        <w:rPr>
          <w:rFonts w:eastAsiaTheme="minorHAnsi" w:cs="David" w:hint="eastAsia"/>
          <w:sz w:val="24"/>
          <w:szCs w:val="24"/>
          <w:rtl/>
          <w:lang w:eastAsia="en-US"/>
        </w:rPr>
        <w:t>או</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לחלקם</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כמפורט</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בסעיף</w:t>
      </w:r>
      <w:r w:rsidRPr="009038CB">
        <w:rPr>
          <w:rFonts w:eastAsiaTheme="minorHAnsi" w:cs="David"/>
          <w:sz w:val="24"/>
          <w:szCs w:val="24"/>
          <w:rtl/>
          <w:lang w:eastAsia="en-US"/>
        </w:rPr>
        <w:t xml:space="preserve"> </w:t>
      </w:r>
      <w:r>
        <w:rPr>
          <w:rFonts w:eastAsiaTheme="minorHAnsi" w:cs="David" w:hint="cs"/>
          <w:sz w:val="24"/>
          <w:szCs w:val="24"/>
          <w:rtl/>
          <w:lang w:eastAsia="en-US"/>
        </w:rPr>
        <w:t>12</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להוראות</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חברת</w:t>
      </w:r>
      <w:r w:rsidRPr="009038CB">
        <w:rPr>
          <w:rFonts w:eastAsiaTheme="minorHAnsi" w:cs="David"/>
          <w:sz w:val="24"/>
          <w:szCs w:val="24"/>
          <w:rtl/>
          <w:lang w:eastAsia="en-US"/>
        </w:rPr>
        <w:t xml:space="preserve"> ביטוח תפרט בהסכם בינה לבין קופת החולים את אופן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ההמשך </w:t>
      </w:r>
      <w:r w:rsidRPr="009038CB">
        <w:rPr>
          <w:rFonts w:eastAsiaTheme="minorHAnsi" w:cs="David" w:hint="eastAsia"/>
          <w:sz w:val="24"/>
          <w:szCs w:val="24"/>
          <w:rtl/>
          <w:lang w:eastAsia="en-US"/>
        </w:rPr>
        <w:t>שי</w:t>
      </w:r>
      <w:r w:rsidRPr="009038CB">
        <w:rPr>
          <w:rFonts w:eastAsiaTheme="minorHAnsi" w:cs="David"/>
          <w:sz w:val="24"/>
          <w:szCs w:val="24"/>
          <w:rtl/>
          <w:lang w:eastAsia="en-US"/>
        </w:rPr>
        <w:t>יקבע כי התקופה שבה ניתן לערוך תחשיבים לצורך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ההמשך לא תעלה על 5 שנים ממועד אי חידוש </w:t>
      </w:r>
      <w:r w:rsidRPr="009038CB">
        <w:rPr>
          <w:rFonts w:eastAsiaTheme="minorHAnsi" w:cs="David" w:hint="eastAsia"/>
          <w:sz w:val="24"/>
          <w:szCs w:val="24"/>
          <w:rtl/>
          <w:lang w:eastAsia="en-US"/>
        </w:rPr>
        <w:t>הביטוח</w:t>
      </w:r>
      <w:r w:rsidRPr="009038CB">
        <w:rPr>
          <w:rFonts w:eastAsiaTheme="minorHAnsi" w:cs="David"/>
          <w:sz w:val="24"/>
          <w:szCs w:val="24"/>
          <w:rtl/>
          <w:lang w:eastAsia="en-US"/>
        </w:rPr>
        <w:t xml:space="preserve"> וכי בסוף התקופה האמורה תיקבע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ת ההמשך באופן סופי</w:t>
      </w:r>
      <w:r>
        <w:rPr>
          <w:rFonts w:eastAsiaTheme="minorHAnsi" w:cs="David" w:hint="cs"/>
          <w:sz w:val="24"/>
          <w:szCs w:val="24"/>
          <w:rtl/>
          <w:lang w:eastAsia="en-US"/>
        </w:rPr>
        <w:t xml:space="preserve">; </w:t>
      </w:r>
      <w:r w:rsidRPr="009038CB">
        <w:rPr>
          <w:rFonts w:eastAsiaTheme="minorHAnsi" w:cs="David"/>
          <w:sz w:val="24"/>
          <w:szCs w:val="24"/>
          <w:rtl/>
          <w:lang w:eastAsia="en-US"/>
        </w:rPr>
        <w:t xml:space="preserve">לעניין זה, "עלות מימוש פוליסות ההמשך" - הפער </w:t>
      </w:r>
      <w:r>
        <w:rPr>
          <w:rFonts w:eastAsiaTheme="minorHAnsi" w:cs="David" w:hint="cs"/>
          <w:sz w:val="24"/>
          <w:szCs w:val="24"/>
          <w:rtl/>
          <w:lang w:eastAsia="en-US"/>
        </w:rPr>
        <w:t>ש</w:t>
      </w:r>
      <w:r w:rsidRPr="009038CB">
        <w:rPr>
          <w:rFonts w:eastAsiaTheme="minorHAnsi" w:cs="David"/>
          <w:sz w:val="24"/>
          <w:szCs w:val="24"/>
          <w:rtl/>
          <w:lang w:eastAsia="en-US"/>
        </w:rPr>
        <w:t>בין עלות התביעות בפוליסות ההמשך לבין עלות התביעות לחברת הביטוח, כפי שצפתה חברת הביטוח במועד אי חידוש הפוליסה, למצטרפים חדשים בפוליסות לביטוח סיעודי פרט דומות הנהוגות אצלה, במועד אי חידוש הפוליסה.</w:t>
      </w:r>
    </w:p>
    <w:p w14:paraId="34A324F8" w14:textId="77777777" w:rsidR="00777F75" w:rsidRDefault="00777F75" w:rsidP="00777F75">
      <w:pPr>
        <w:overflowPunct w:val="0"/>
        <w:autoSpaceDE w:val="0"/>
        <w:autoSpaceDN w:val="0"/>
        <w:adjustRightInd w:val="0"/>
        <w:spacing w:line="360" w:lineRule="auto"/>
        <w:ind w:left="1440"/>
        <w:textAlignment w:val="baseline"/>
        <w:rPr>
          <w:rFonts w:cs="David"/>
          <w:sz w:val="20"/>
          <w:szCs w:val="24"/>
          <w:u w:val="single"/>
          <w:rtl/>
        </w:rPr>
      </w:pPr>
    </w:p>
    <w:p w14:paraId="71CE08A5" w14:textId="77777777" w:rsidR="00777F75" w:rsidRPr="00B86822" w:rsidRDefault="00777F75" w:rsidP="00777F75">
      <w:pPr>
        <w:overflowPunct w:val="0"/>
        <w:autoSpaceDE w:val="0"/>
        <w:autoSpaceDN w:val="0"/>
        <w:adjustRightInd w:val="0"/>
        <w:spacing w:line="360" w:lineRule="auto"/>
        <w:ind w:left="1440"/>
        <w:textAlignment w:val="baseline"/>
        <w:rPr>
          <w:rFonts w:cs="David"/>
          <w:sz w:val="20"/>
          <w:szCs w:val="24"/>
          <w:rtl/>
        </w:rPr>
      </w:pPr>
      <w:r w:rsidRPr="00B86822">
        <w:rPr>
          <w:rFonts w:cs="David" w:hint="cs"/>
          <w:sz w:val="20"/>
          <w:szCs w:val="24"/>
          <w:u w:val="single"/>
          <w:rtl/>
        </w:rPr>
        <w:t>סימן ב': פניית חברת ביטוח למבוטח זכאי</w:t>
      </w:r>
    </w:p>
    <w:p w14:paraId="082E97E2" w14:textId="77777777" w:rsidR="00777F75" w:rsidRPr="00B86822" w:rsidRDefault="00777F75" w:rsidP="00777F75">
      <w:pPr>
        <w:numPr>
          <w:ilvl w:val="0"/>
          <w:numId w:val="10"/>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 xml:space="preserve">שלח הודעה למבוטח זכאי באותה פוליסה לפחות 30 ימים לפני </w:t>
      </w:r>
      <w:r w:rsidRPr="00B86822">
        <w:rPr>
          <w:rFonts w:eastAsiaTheme="minorHAnsi" w:cs="David"/>
          <w:sz w:val="24"/>
          <w:szCs w:val="24"/>
          <w:rtl/>
          <w:lang w:eastAsia="en-US"/>
        </w:rPr>
        <w:lastRenderedPageBreak/>
        <w:t>מועד תום תקופת הביטוח בפוליסה כאמור, אך לא יותר מ- 60 ימים לפני המועד האמור</w:t>
      </w:r>
      <w:r>
        <w:rPr>
          <w:rFonts w:eastAsiaTheme="minorHAnsi" w:cs="David" w:hint="cs"/>
          <w:sz w:val="24"/>
          <w:szCs w:val="24"/>
          <w:rtl/>
          <w:lang w:eastAsia="en-US"/>
        </w:rPr>
        <w:t>, או תוך 60 ימים ממועד כניסתן לתוקף של ההוראות, המאוחר מביניהם</w:t>
      </w:r>
      <w:r w:rsidRPr="00B86822">
        <w:rPr>
          <w:rFonts w:eastAsiaTheme="minorHAnsi" w:cs="David"/>
          <w:sz w:val="24"/>
          <w:szCs w:val="24"/>
          <w:rtl/>
          <w:lang w:eastAsia="en-US"/>
        </w:rPr>
        <w:t xml:space="preserve">. ההודעה תכלול את זכותו להצטרף לביטוח סיעודי לחברי קופ"ח בקופת החולים שבה הוא רשום, תוך פירוט תנאי הזכאות להצטרף בהתאם למפורט בסעיף 3(ב) להוראות (להלן - </w:t>
      </w:r>
      <w:r w:rsidRPr="00B71201">
        <w:rPr>
          <w:rFonts w:eastAsiaTheme="minorHAnsi" w:cs="David"/>
          <w:b/>
          <w:bCs/>
          <w:sz w:val="24"/>
          <w:szCs w:val="24"/>
          <w:rtl/>
          <w:lang w:eastAsia="en-US"/>
        </w:rPr>
        <w:t>הודעת זכאות</w:t>
      </w:r>
      <w:r w:rsidRPr="00B86822">
        <w:rPr>
          <w:rFonts w:eastAsiaTheme="minorHAnsi" w:cs="David"/>
          <w:sz w:val="24"/>
          <w:szCs w:val="24"/>
          <w:rtl/>
          <w:lang w:eastAsia="en-US"/>
        </w:rPr>
        <w:t>); הודעת הזכאות תכלול אישור שהמבוטח בוטח בפוליסה מזכה אחרונה במועד אי חידוש הביטוח לכלל המבוטחים בפוליסה.</w:t>
      </w:r>
    </w:p>
    <w:p w14:paraId="7E8568FA" w14:textId="77777777" w:rsidR="00777F75" w:rsidRPr="00B86822" w:rsidRDefault="00777F75" w:rsidP="00777F75">
      <w:pPr>
        <w:numPr>
          <w:ilvl w:val="0"/>
          <w:numId w:val="10"/>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שלח לבעל פוליסה של פוליסה מזכה אחרונה, הודעה על זכאות המבוטחים הזכאים להצטרף לביטוח סיעודי לחברי קופ"ח, ויפורטו בה הפרטים המפורטים בהודעת הזכאות. ההודעה תישלח לפחות 30 ימים לפני מועד תום תקופת הביטוח בפוליסה המזכה האחרונה אך לא יותר מ-60 ימים לפני המועד האמור</w:t>
      </w:r>
      <w:r>
        <w:rPr>
          <w:rFonts w:eastAsiaTheme="minorHAnsi" w:cs="David" w:hint="cs"/>
          <w:sz w:val="24"/>
          <w:szCs w:val="24"/>
          <w:rtl/>
          <w:lang w:eastAsia="en-US"/>
        </w:rPr>
        <w:t>, או תוך 60 ימים ממועד כניסתן לתוקף של ההוראות, המאוחר מביניהם.</w:t>
      </w:r>
    </w:p>
    <w:p w14:paraId="5F1941A5" w14:textId="77777777" w:rsidR="00777F75" w:rsidRDefault="00777F75" w:rsidP="00777F75">
      <w:pPr>
        <w:numPr>
          <w:ilvl w:val="0"/>
          <w:numId w:val="10"/>
        </w:numPr>
        <w:overflowPunct w:val="0"/>
        <w:autoSpaceDE w:val="0"/>
        <w:autoSpaceDN w:val="0"/>
        <w:adjustRightInd w:val="0"/>
        <w:spacing w:before="120" w:after="120" w:line="360" w:lineRule="auto"/>
        <w:ind w:left="1797" w:hanging="357"/>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w:t>
      </w:r>
      <w:r w:rsidRPr="00B86822">
        <w:rPr>
          <w:rFonts w:eastAsiaTheme="minorHAnsi" w:cs="David" w:hint="cs"/>
          <w:sz w:val="24"/>
          <w:szCs w:val="24"/>
          <w:rtl/>
          <w:lang w:eastAsia="en-US"/>
        </w:rPr>
        <w:t>ת</w:t>
      </w:r>
      <w:r w:rsidRPr="00B86822">
        <w:rPr>
          <w:rFonts w:eastAsiaTheme="minorHAnsi" w:cs="David"/>
          <w:sz w:val="24"/>
          <w:szCs w:val="24"/>
          <w:rtl/>
          <w:lang w:eastAsia="en-US"/>
        </w:rPr>
        <w:t xml:space="preserve">תעד את כל ההודעות למבוטח זכאי ולבעל הפוליסה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שנשלחו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w:t>
      </w:r>
      <w:r w:rsidRPr="00B86822">
        <w:rPr>
          <w:rFonts w:eastAsiaTheme="minorHAnsi" w:cs="David"/>
          <w:sz w:val="24"/>
          <w:szCs w:val="24"/>
          <w:rtl/>
          <w:lang w:eastAsia="en-US"/>
        </w:rPr>
        <w:lastRenderedPageBreak/>
        <w:t>ו</w:t>
      </w:r>
      <w:r w:rsidRPr="00B86822">
        <w:rPr>
          <w:rFonts w:eastAsiaTheme="minorHAnsi" w:cs="David" w:hint="cs"/>
          <w:sz w:val="24"/>
          <w:szCs w:val="24"/>
          <w:rtl/>
          <w:lang w:eastAsia="en-US"/>
        </w:rPr>
        <w:t>ת</w:t>
      </w:r>
      <w:r w:rsidRPr="00B86822">
        <w:rPr>
          <w:rFonts w:eastAsiaTheme="minorHAnsi" w:cs="David"/>
          <w:sz w:val="24"/>
          <w:szCs w:val="24"/>
          <w:rtl/>
          <w:lang w:eastAsia="en-US"/>
        </w:rPr>
        <w:t>עבירן לממונה לפי דרישה; לעניין זה, תרשומת פנימית לא תחשב כתיעוד.</w:t>
      </w:r>
    </w:p>
    <w:p w14:paraId="66F83679" w14:textId="77777777" w:rsidR="00777F75" w:rsidRDefault="00777F75" w:rsidP="00777F75">
      <w:pPr>
        <w:overflowPunct w:val="0"/>
        <w:autoSpaceDE w:val="0"/>
        <w:autoSpaceDN w:val="0"/>
        <w:adjustRightInd w:val="0"/>
        <w:spacing w:before="120" w:after="120" w:line="360" w:lineRule="auto"/>
        <w:ind w:left="1797"/>
        <w:textAlignment w:val="baseline"/>
        <w:rPr>
          <w:rFonts w:eastAsiaTheme="minorHAnsi" w:cs="David"/>
          <w:sz w:val="24"/>
          <w:szCs w:val="24"/>
          <w:rtl/>
          <w:lang w:eastAsia="en-US"/>
        </w:rPr>
      </w:pPr>
      <w:r>
        <w:rPr>
          <w:rFonts w:eastAsiaTheme="minorHAnsi" w:cs="David"/>
          <w:sz w:val="24"/>
          <w:szCs w:val="24"/>
          <w:rtl/>
          <w:lang w:eastAsia="en-US"/>
        </w:rPr>
        <w:br w:type="page"/>
      </w:r>
    </w:p>
    <w:p w14:paraId="70B64279" w14:textId="1439B1C3" w:rsidR="0045159B" w:rsidRDefault="0045159B" w:rsidP="00246C30">
      <w:pPr>
        <w:overflowPunct w:val="0"/>
        <w:autoSpaceDE w:val="0"/>
        <w:autoSpaceDN w:val="0"/>
        <w:adjustRightInd w:val="0"/>
        <w:jc w:val="center"/>
        <w:textAlignment w:val="baseline"/>
        <w:rPr>
          <w:rFonts w:ascii="David" w:hAnsi="David" w:cs="David"/>
          <w:b/>
          <w:bCs/>
          <w:sz w:val="20"/>
          <w:szCs w:val="24"/>
          <w:rtl/>
        </w:rPr>
      </w:pPr>
      <w:r w:rsidRPr="0045159B">
        <w:rPr>
          <w:rFonts w:ascii="David" w:hAnsi="David" w:cs="David" w:hint="cs"/>
          <w:b/>
          <w:bCs/>
          <w:sz w:val="20"/>
          <w:szCs w:val="24"/>
          <w:u w:val="single"/>
          <w:rtl/>
        </w:rPr>
        <w:lastRenderedPageBreak/>
        <w:t xml:space="preserve">פרמטרים לתמחור רובד סיעוד </w:t>
      </w:r>
      <w:r w:rsidR="00246C30">
        <w:rPr>
          <w:rFonts w:ascii="David" w:hAnsi="David" w:cs="David" w:hint="cs"/>
          <w:b/>
          <w:bCs/>
          <w:sz w:val="20"/>
          <w:szCs w:val="24"/>
          <w:u w:val="single"/>
          <w:rtl/>
        </w:rPr>
        <w:t xml:space="preserve"> מורחב </w:t>
      </w:r>
      <w:r w:rsidRPr="0045159B">
        <w:rPr>
          <w:rFonts w:ascii="David" w:hAnsi="David" w:cs="David" w:hint="cs"/>
          <w:b/>
          <w:bCs/>
          <w:sz w:val="20"/>
          <w:szCs w:val="24"/>
          <w:u w:val="single"/>
          <w:rtl/>
        </w:rPr>
        <w:t xml:space="preserve">בקופות החולים - נספח </w:t>
      </w:r>
    </w:p>
    <w:p w14:paraId="7A67175C" w14:textId="77777777" w:rsidR="0045159B" w:rsidRPr="0045159B" w:rsidRDefault="0045159B" w:rsidP="0045159B">
      <w:pPr>
        <w:overflowPunct w:val="0"/>
        <w:autoSpaceDE w:val="0"/>
        <w:autoSpaceDN w:val="0"/>
        <w:adjustRightInd w:val="0"/>
        <w:jc w:val="center"/>
        <w:textAlignment w:val="baseline"/>
        <w:rPr>
          <w:rFonts w:ascii="David" w:hAnsi="David" w:cs="David"/>
          <w:b/>
          <w:bCs/>
          <w:sz w:val="20"/>
          <w:szCs w:val="24"/>
        </w:rPr>
      </w:pPr>
    </w:p>
    <w:p w14:paraId="1B211472"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רקע</w:t>
      </w:r>
    </w:p>
    <w:p w14:paraId="5F1A0FE3"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eastAsiaTheme="minorHAnsi" w:cs="David" w:hint="cs"/>
          <w:sz w:val="24"/>
          <w:szCs w:val="24"/>
          <w:rtl/>
          <w:lang w:eastAsia="en-US"/>
        </w:rPr>
        <w:t>במסגרת חוזר ביטוח 2020-1-14 שעניינו "</w:t>
      </w:r>
      <w:r w:rsidRPr="0045159B">
        <w:rPr>
          <w:rFonts w:eastAsiaTheme="minorHAnsi" w:cs="David"/>
          <w:sz w:val="24"/>
          <w:szCs w:val="24"/>
          <w:rtl/>
          <w:lang w:eastAsia="en-US"/>
        </w:rPr>
        <w:t>תיקון הוראות החוזר המאוחד - שער 6 חלק 3 - ביטוח סיעודי</w:t>
      </w:r>
      <w:r w:rsidRPr="0045159B">
        <w:rPr>
          <w:rFonts w:eastAsiaTheme="minorHAnsi" w:cs="David" w:hint="cs"/>
          <w:sz w:val="24"/>
          <w:szCs w:val="24"/>
          <w:rtl/>
          <w:lang w:eastAsia="en-US"/>
        </w:rPr>
        <w:t xml:space="preserve">" (30.9.2020) (להלן </w:t>
      </w:r>
      <w:r w:rsidRPr="0045159B">
        <w:rPr>
          <w:rFonts w:eastAsiaTheme="minorHAnsi" w:cs="David"/>
          <w:sz w:val="24"/>
          <w:szCs w:val="24"/>
          <w:rtl/>
          <w:lang w:eastAsia="en-US"/>
        </w:rPr>
        <w:t>–</w:t>
      </w:r>
      <w:r w:rsidRPr="0045159B">
        <w:rPr>
          <w:rFonts w:eastAsiaTheme="minorHAnsi" w:cs="David" w:hint="cs"/>
          <w:sz w:val="24"/>
          <w:szCs w:val="24"/>
          <w:rtl/>
          <w:lang w:eastAsia="en-US"/>
        </w:rPr>
        <w:t xml:space="preserve"> </w:t>
      </w:r>
      <w:r w:rsidRPr="0045159B">
        <w:rPr>
          <w:rFonts w:eastAsiaTheme="minorHAnsi" w:cs="David" w:hint="cs"/>
          <w:b/>
          <w:bCs/>
          <w:sz w:val="24"/>
          <w:szCs w:val="24"/>
          <w:rtl/>
          <w:lang w:eastAsia="en-US"/>
        </w:rPr>
        <w:t>החוזר</w:t>
      </w:r>
      <w:r w:rsidRPr="0045159B">
        <w:rPr>
          <w:rFonts w:eastAsiaTheme="minorHAnsi" w:cs="David" w:hint="cs"/>
          <w:sz w:val="24"/>
          <w:szCs w:val="24"/>
          <w:rtl/>
          <w:lang w:eastAsia="en-US"/>
        </w:rPr>
        <w:t>) נקבע כי הפרמיה של הביטוח הסיעודי לחברי קופת חולים תיקבע בהתאם להנחיות שיפרסם הממונה.</w:t>
      </w:r>
    </w:p>
    <w:p w14:paraId="05E05355" w14:textId="3DDE215C" w:rsidR="0045159B" w:rsidRPr="0045159B" w:rsidRDefault="0045159B" w:rsidP="00246C30">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לאור האמור ערכה הרשות מחקר מעמיק שעל בסיסו מפורסם כעת </w:t>
      </w:r>
      <w:r w:rsidRPr="0045159B">
        <w:rPr>
          <w:rFonts w:ascii="David" w:eastAsiaTheme="minorHAnsi" w:hAnsi="David" w:cs="David" w:hint="eastAsia"/>
          <w:sz w:val="24"/>
          <w:szCs w:val="24"/>
          <w:rtl/>
          <w:lang w:eastAsia="en-US"/>
        </w:rPr>
        <w:t>מסמך</w:t>
      </w:r>
      <w:r w:rsidRPr="0045159B">
        <w:rPr>
          <w:rFonts w:ascii="David" w:eastAsiaTheme="minorHAnsi" w:hAnsi="David" w:cs="David"/>
          <w:sz w:val="24"/>
          <w:szCs w:val="24"/>
          <w:rtl/>
          <w:lang w:eastAsia="en-US"/>
        </w:rPr>
        <w:t xml:space="preserve"> זה </w:t>
      </w:r>
      <w:r w:rsidRPr="0045159B">
        <w:rPr>
          <w:rFonts w:ascii="David" w:eastAsiaTheme="minorHAnsi" w:hAnsi="David" w:cs="David" w:hint="cs"/>
          <w:sz w:val="24"/>
          <w:szCs w:val="24"/>
          <w:rtl/>
          <w:lang w:eastAsia="en-US"/>
        </w:rPr>
        <w:t xml:space="preserve">הכולל </w:t>
      </w:r>
      <w:r w:rsidRPr="0045159B">
        <w:rPr>
          <w:rFonts w:ascii="David" w:eastAsiaTheme="minorHAnsi" w:hAnsi="David" w:cs="David" w:hint="eastAsia"/>
          <w:sz w:val="24"/>
          <w:szCs w:val="24"/>
          <w:rtl/>
          <w:lang w:eastAsia="en-US"/>
        </w:rPr>
        <w:t>הנחות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אקטואריות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לתמחור</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הר</w:t>
      </w:r>
      <w:r w:rsidRPr="0045159B">
        <w:rPr>
          <w:rFonts w:ascii="David" w:eastAsiaTheme="minorHAnsi" w:hAnsi="David" w:cs="David" w:hint="cs"/>
          <w:sz w:val="24"/>
          <w:szCs w:val="24"/>
          <w:rtl/>
          <w:lang w:eastAsia="en-US"/>
        </w:rPr>
        <w:t>ו</w:t>
      </w:r>
      <w:r w:rsidRPr="0045159B">
        <w:rPr>
          <w:rFonts w:ascii="David" w:eastAsiaTheme="minorHAnsi" w:hAnsi="David" w:cs="David" w:hint="eastAsia"/>
          <w:sz w:val="24"/>
          <w:szCs w:val="24"/>
          <w:rtl/>
          <w:lang w:eastAsia="en-US"/>
        </w:rPr>
        <w:t>בד</w:t>
      </w:r>
      <w:r w:rsidRPr="0045159B">
        <w:rPr>
          <w:rFonts w:ascii="David" w:eastAsiaTheme="minorHAnsi" w:hAnsi="David" w:cs="David"/>
          <w:sz w:val="24"/>
          <w:szCs w:val="24"/>
          <w:rtl/>
          <w:lang w:eastAsia="en-US"/>
        </w:rPr>
        <w:t xml:space="preserve"> ה</w:t>
      </w:r>
      <w:r w:rsidR="00246C30">
        <w:rPr>
          <w:rFonts w:ascii="David" w:eastAsiaTheme="minorHAnsi" w:hAnsi="David" w:cs="David" w:hint="cs"/>
          <w:sz w:val="24"/>
          <w:szCs w:val="24"/>
          <w:rtl/>
          <w:lang w:eastAsia="en-US"/>
        </w:rPr>
        <w:t>מורחב</w:t>
      </w:r>
      <w:r w:rsidRPr="0045159B">
        <w:rPr>
          <w:rFonts w:ascii="David" w:eastAsiaTheme="minorHAnsi" w:hAnsi="David" w:cs="David" w:hint="cs"/>
          <w:sz w:val="24"/>
          <w:szCs w:val="24"/>
          <w:rtl/>
          <w:lang w:eastAsia="en-US"/>
        </w:rPr>
        <w:t>, אופן השימוש בהם לחישוב הפרמיות וכן התייחסות והערות כלליות.</w:t>
      </w:r>
    </w:p>
    <w:p w14:paraId="09E98B85"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המחקר נבדק על ידי יועץ אקטוארי חיצוני לצורך תיקוף ובדיקת סבירות שיטות החישוב, המודלים ותוצאותיהם.</w:t>
      </w:r>
    </w:p>
    <w:p w14:paraId="5F9A242A"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המחקר בוצע על בסיס </w:t>
      </w:r>
      <w:r w:rsidRPr="0045159B">
        <w:rPr>
          <w:rFonts w:ascii="David" w:eastAsiaTheme="minorHAnsi" w:hAnsi="David" w:cs="David"/>
          <w:sz w:val="24"/>
          <w:szCs w:val="24"/>
          <w:rtl/>
          <w:lang w:eastAsia="en-US"/>
        </w:rPr>
        <w:t xml:space="preserve">מאגר </w:t>
      </w:r>
      <w:r w:rsidRPr="0045159B">
        <w:rPr>
          <w:rFonts w:ascii="David" w:eastAsiaTheme="minorHAnsi" w:hAnsi="David" w:cs="David" w:hint="cs"/>
          <w:sz w:val="24"/>
          <w:szCs w:val="24"/>
          <w:rtl/>
          <w:lang w:eastAsia="en-US"/>
        </w:rPr>
        <w:t>ה</w:t>
      </w:r>
      <w:r w:rsidRPr="0045159B">
        <w:rPr>
          <w:rFonts w:ascii="David" w:eastAsiaTheme="minorHAnsi" w:hAnsi="David" w:cs="David"/>
          <w:sz w:val="24"/>
          <w:szCs w:val="24"/>
          <w:rtl/>
          <w:lang w:eastAsia="en-US"/>
        </w:rPr>
        <w:t xml:space="preserve">מידע המצוי ברשות מתוקף </w:t>
      </w:r>
      <w:r w:rsidRPr="0045159B">
        <w:rPr>
          <w:rFonts w:ascii="David" w:eastAsiaTheme="minorHAnsi" w:hAnsi="David" w:cs="David" w:hint="cs"/>
          <w:sz w:val="24"/>
          <w:szCs w:val="24"/>
          <w:rtl/>
          <w:lang w:eastAsia="en-US"/>
        </w:rPr>
        <w:t>תיקון</w:t>
      </w:r>
      <w:r w:rsidRPr="0045159B">
        <w:rPr>
          <w:rFonts w:ascii="David" w:eastAsiaTheme="minorHAnsi" w:hAnsi="David" w:cs="David"/>
          <w:sz w:val="24"/>
          <w:szCs w:val="24"/>
          <w:rtl/>
          <w:lang w:eastAsia="en-US"/>
        </w:rPr>
        <w:t xml:space="preserve"> החוזר המאוחד - שער 6 חלק 3  </w:t>
      </w:r>
      <w:r w:rsidRPr="0045159B">
        <w:rPr>
          <w:rFonts w:ascii="David" w:eastAsiaTheme="minorHAnsi" w:hAnsi="David" w:cs="David" w:hint="cs"/>
          <w:sz w:val="24"/>
          <w:szCs w:val="24"/>
          <w:rtl/>
          <w:lang w:eastAsia="en-US"/>
        </w:rPr>
        <w:t>"</w:t>
      </w:r>
      <w:r w:rsidRPr="0045159B">
        <w:rPr>
          <w:rFonts w:ascii="David" w:eastAsiaTheme="minorHAnsi" w:hAnsi="David" w:cs="David"/>
          <w:sz w:val="24"/>
          <w:szCs w:val="24"/>
          <w:rtl/>
          <w:lang w:eastAsia="en-US"/>
        </w:rPr>
        <w:t>דיווח נתונים בביטוח סיעודי קבוצתי לחברי קופות חולים</w:t>
      </w:r>
      <w:r w:rsidRPr="0045159B">
        <w:rPr>
          <w:rFonts w:ascii="David" w:eastAsiaTheme="minorHAnsi" w:hAnsi="David" w:cs="David" w:hint="cs"/>
          <w:sz w:val="24"/>
          <w:szCs w:val="24"/>
          <w:rtl/>
          <w:lang w:eastAsia="en-US"/>
        </w:rPr>
        <w:t xml:space="preserve">" מיום 24 בפברואר 2019, </w:t>
      </w:r>
      <w:r w:rsidRPr="0045159B">
        <w:rPr>
          <w:rFonts w:ascii="David" w:eastAsiaTheme="minorHAnsi" w:hAnsi="David" w:cs="David"/>
          <w:sz w:val="24"/>
          <w:szCs w:val="24"/>
          <w:rtl/>
          <w:lang w:eastAsia="en-US"/>
        </w:rPr>
        <w:t>במסגרתו נדרשות חברות הביטוח להעביר לרשות, בין היתר, נתוני חשיפה</w:t>
      </w:r>
      <w:r w:rsidRPr="0045159B">
        <w:rPr>
          <w:rFonts w:ascii="David" w:eastAsiaTheme="minorHAnsi" w:hAnsi="David" w:cs="David" w:hint="cs"/>
          <w:sz w:val="24"/>
          <w:szCs w:val="24"/>
          <w:rtl/>
          <w:lang w:eastAsia="en-US"/>
        </w:rPr>
        <w:t xml:space="preserve"> ותביעות</w:t>
      </w:r>
      <w:r w:rsidRPr="0045159B">
        <w:rPr>
          <w:rFonts w:ascii="David" w:eastAsiaTheme="minorHAnsi" w:hAnsi="David" w:cs="David"/>
          <w:sz w:val="24"/>
          <w:szCs w:val="24"/>
          <w:rtl/>
          <w:lang w:eastAsia="en-US"/>
        </w:rPr>
        <w:t xml:space="preserve"> של מבוטחים בביטוח הסיעודי של קופות החולים</w:t>
      </w:r>
      <w:r w:rsidRPr="0045159B">
        <w:rPr>
          <w:rFonts w:ascii="David" w:eastAsiaTheme="minorHAnsi" w:hAnsi="David" w:cs="David" w:hint="cs"/>
          <w:sz w:val="24"/>
          <w:szCs w:val="24"/>
          <w:rtl/>
          <w:lang w:eastAsia="en-US"/>
        </w:rPr>
        <w:t>. בנוסף, להשלמת הנתונים לעיל, נעשה שימוש בקובץ פטירות של משרד הפנים.</w:t>
      </w:r>
    </w:p>
    <w:p w14:paraId="376A3799" w14:textId="77777777" w:rsidR="0045159B" w:rsidRPr="0045159B" w:rsidRDefault="0045159B" w:rsidP="0045159B">
      <w:pPr>
        <w:spacing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ההנחות האקטואריות המוצגות להלן מתייחסות ל:</w:t>
      </w:r>
    </w:p>
    <w:p w14:paraId="00E3C85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שכיחות התביעה</w:t>
      </w:r>
    </w:p>
    <w:p w14:paraId="3D8990B1"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הפסקת תשלום קצבת הסיעוד</w:t>
      </w:r>
    </w:p>
    <w:p w14:paraId="61809D0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 אחוז שוהים בבית/מוסד במצב סיעודי</w:t>
      </w:r>
    </w:p>
    <w:p w14:paraId="1E153332" w14:textId="77777777" w:rsidR="0045159B" w:rsidRPr="0045159B" w:rsidRDefault="0045159B" w:rsidP="0045159B">
      <w:pPr>
        <w:spacing w:after="160" w:line="360" w:lineRule="auto"/>
        <w:ind w:left="1720"/>
        <w:contextualSpacing/>
        <w:rPr>
          <w:rFonts w:ascii="David" w:eastAsiaTheme="minorHAnsi" w:hAnsi="David" w:cs="David"/>
          <w:sz w:val="24"/>
          <w:szCs w:val="24"/>
          <w:lang w:eastAsia="en-US"/>
        </w:rPr>
      </w:pPr>
    </w:p>
    <w:p w14:paraId="2E59BF3C"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בסיס הנתונים</w:t>
      </w:r>
    </w:p>
    <w:p w14:paraId="440A31DF"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החישובים התבצעו על סמך הנתונים הבאים:</w:t>
      </w:r>
    </w:p>
    <w:p w14:paraId="56280004"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מאגר סיעוד קופות החולים:</w:t>
      </w:r>
    </w:p>
    <w:p w14:paraId="579588A5"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 חשיפה ותביעות של כל המבוטחים עבור כל הקופות</w:t>
      </w:r>
    </w:p>
    <w:p w14:paraId="1EA81110"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כללו את השנים 2012-2020</w:t>
      </w:r>
    </w:p>
    <w:p w14:paraId="30A3549A"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נתונים ברמה חודשית (מדווחים רבעוני)</w:t>
      </w:r>
    </w:p>
    <w:p w14:paraId="04F15DDB"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 תביעות ברמת התשלום</w:t>
      </w:r>
    </w:p>
    <w:p w14:paraId="3AAA601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קובץ תביעות כללי של קופות החולים:</w:t>
      </w:r>
    </w:p>
    <w:p w14:paraId="353541C6"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נתונים ברמת תביעה של כל המבוטחים עבור כל הקופות</w:t>
      </w:r>
    </w:p>
    <w:p w14:paraId="57292697"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כללו את השנים 2000-2020</w:t>
      </w:r>
    </w:p>
    <w:p w14:paraId="60BA4AA4" w14:textId="568BD58F"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eastAsia"/>
          <w:sz w:val="24"/>
          <w:szCs w:val="24"/>
          <w:rtl/>
          <w:lang w:eastAsia="en-US"/>
        </w:rPr>
        <w:t>קובץ</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פטירות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משרד</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הפנים</w:t>
      </w:r>
      <w:r w:rsidRPr="0045159B">
        <w:rPr>
          <w:rFonts w:ascii="David" w:eastAsiaTheme="minorHAnsi" w:hAnsi="David" w:cs="David" w:hint="cs"/>
          <w:sz w:val="24"/>
          <w:szCs w:val="24"/>
          <w:rtl/>
          <w:lang w:eastAsia="en-US"/>
        </w:rPr>
        <w:t xml:space="preserve"> - </w:t>
      </w:r>
      <w:r w:rsidRPr="0045159B">
        <w:rPr>
          <w:rFonts w:ascii="David" w:eastAsiaTheme="minorHAnsi" w:hAnsi="David" w:cs="David" w:hint="eastAsia"/>
          <w:sz w:val="24"/>
          <w:szCs w:val="24"/>
          <w:rtl/>
          <w:lang w:eastAsia="en-US"/>
        </w:rPr>
        <w:t>נתוני</w:t>
      </w:r>
      <w:r w:rsidRPr="0045159B">
        <w:rPr>
          <w:rFonts w:ascii="David" w:eastAsiaTheme="minorHAnsi" w:hAnsi="David" w:cs="David"/>
          <w:sz w:val="24"/>
          <w:szCs w:val="24"/>
          <w:rtl/>
          <w:lang w:eastAsia="en-US"/>
        </w:rPr>
        <w:t xml:space="preserve"> תאריכי הפטירות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האוכלוסיות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לעיל</w:t>
      </w:r>
      <w:r w:rsidR="00111FD4">
        <w:rPr>
          <w:rFonts w:ascii="David" w:eastAsiaTheme="minorHAnsi" w:hAnsi="David" w:cs="David" w:hint="cs"/>
          <w:sz w:val="24"/>
          <w:szCs w:val="24"/>
          <w:rtl/>
          <w:lang w:eastAsia="en-US"/>
        </w:rPr>
        <w:t>.</w:t>
      </w:r>
    </w:p>
    <w:p w14:paraId="65CE62F9" w14:textId="77777777" w:rsidR="0045159B" w:rsidRPr="0045159B" w:rsidRDefault="0045159B" w:rsidP="0045159B">
      <w:pPr>
        <w:spacing w:before="120" w:after="120" w:line="360" w:lineRule="auto"/>
        <w:ind w:left="720"/>
        <w:contextualSpacing/>
        <w:rPr>
          <w:rFonts w:ascii="David" w:eastAsiaTheme="minorHAnsi" w:hAnsi="David" w:cs="David"/>
          <w:b/>
          <w:bCs/>
          <w:sz w:val="24"/>
          <w:szCs w:val="24"/>
          <w:lang w:eastAsia="en-US"/>
        </w:rPr>
      </w:pPr>
    </w:p>
    <w:p w14:paraId="39B7CBCA"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תהליך העבודה</w:t>
      </w:r>
    </w:p>
    <w:p w14:paraId="5B11DC59"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בוצע מחקר של נתוני התחלואה לפי המאפיינים של גיל מין וותק בתביעה עבור כל קופה בנפרד ועבור כל הקופות יחד. מחקר זה כלל חישוב של:</w:t>
      </w:r>
    </w:p>
    <w:p w14:paraId="573F259C" w14:textId="77777777" w:rsidR="0045159B" w:rsidRPr="0045159B" w:rsidRDefault="0045159B" w:rsidP="0045159B">
      <w:pPr>
        <w:numPr>
          <w:ilvl w:val="0"/>
          <w:numId w:val="32"/>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תחלואה</w:t>
      </w:r>
    </w:p>
    <w:p w14:paraId="2C92C55D" w14:textId="77777777" w:rsidR="0045159B" w:rsidRPr="0045159B" w:rsidRDefault="0045159B" w:rsidP="0045159B">
      <w:pPr>
        <w:numPr>
          <w:ilvl w:val="0"/>
          <w:numId w:val="32"/>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שיעורי </w:t>
      </w:r>
      <w:r w:rsidRPr="0045159B">
        <w:rPr>
          <w:rFonts w:ascii="David" w:eastAsiaTheme="minorHAnsi" w:hAnsi="David" w:cs="David" w:hint="cs"/>
          <w:sz w:val="24"/>
          <w:szCs w:val="24"/>
          <w:lang w:eastAsia="en-US"/>
        </w:rPr>
        <w:t>IBNR</w:t>
      </w:r>
    </w:p>
    <w:p w14:paraId="15AA45A6"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הפסקת תשלום קצבת סיעוד עקב תמותה ועקב החלמה בחמש השנים הראשונות</w:t>
      </w:r>
    </w:p>
    <w:p w14:paraId="403EA202"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lastRenderedPageBreak/>
        <w:t>שיעורי הפסקת תשלום קצבת סיעוד עקב תמותה בלבד מהשנה השישית ואילך</w:t>
      </w:r>
    </w:p>
    <w:p w14:paraId="3DDA031D"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תמהיל שהות במצב סיעודי לפי בית/מוסד, בתקופת חמש השנים הראשונות לתביעה ובתקופות שלאחר מכן</w:t>
      </w:r>
    </w:p>
    <w:p w14:paraId="6FB647F3"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בדיקה של התפתחות מגמות בשיעורים לעיל על פני השנים</w:t>
      </w:r>
    </w:p>
    <w:p w14:paraId="3EF31C01" w14:textId="77777777" w:rsidR="0045159B" w:rsidRPr="0045159B" w:rsidRDefault="0045159B" w:rsidP="0045159B">
      <w:pPr>
        <w:overflowPunct w:val="0"/>
        <w:autoSpaceDE w:val="0"/>
        <w:autoSpaceDN w:val="0"/>
        <w:adjustRightInd w:val="0"/>
        <w:jc w:val="left"/>
        <w:textAlignment w:val="baseline"/>
        <w:rPr>
          <w:rFonts w:cs="David"/>
          <w:sz w:val="20"/>
          <w:szCs w:val="24"/>
          <w:rtl/>
        </w:rPr>
      </w:pPr>
    </w:p>
    <w:p w14:paraId="0F862D68"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תוצאות המחקר ונתונים סופיים</w:t>
      </w:r>
    </w:p>
    <w:p w14:paraId="2988967F"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השיעורים הסופיים מוצגים בטבלאות בנספח א':</w:t>
      </w:r>
    </w:p>
    <w:p w14:paraId="780243F3" w14:textId="09BA1439"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טבלת שיעורי תחלואה - נתוני שיעורי התחלואה לפי קבוצות גיל</w:t>
      </w:r>
      <w:r w:rsidR="00111FD4">
        <w:rPr>
          <w:rFonts w:ascii="David" w:eastAsiaTheme="minorHAnsi" w:hAnsi="David" w:cs="David" w:hint="cs"/>
          <w:sz w:val="24"/>
          <w:szCs w:val="24"/>
          <w:rtl/>
          <w:lang w:eastAsia="en-US"/>
        </w:rPr>
        <w:t xml:space="preserve"> ולפי מין.</w:t>
      </w:r>
    </w:p>
    <w:p w14:paraId="09F5BBDD" w14:textId="07BF18B1"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טבלת שיעורי הפסקת תשלום תביעה </w:t>
      </w:r>
      <w:r w:rsidRPr="0045159B">
        <w:rPr>
          <w:rFonts w:ascii="David" w:eastAsiaTheme="minorHAnsi" w:hAnsi="David" w:cs="David"/>
          <w:sz w:val="24"/>
          <w:szCs w:val="24"/>
          <w:rtl/>
          <w:lang w:eastAsia="en-US"/>
        </w:rPr>
        <w:t>–</w:t>
      </w:r>
      <w:r w:rsidRPr="0045159B">
        <w:rPr>
          <w:rFonts w:ascii="David" w:eastAsiaTheme="minorHAnsi" w:hAnsi="David" w:cs="David" w:hint="cs"/>
          <w:sz w:val="24"/>
          <w:szCs w:val="24"/>
          <w:rtl/>
          <w:lang w:eastAsia="en-US"/>
        </w:rPr>
        <w:t xml:space="preserve"> הנתונים מוצגים לפי קבוצות גיל, מין ותקופות ותק התביעה</w:t>
      </w:r>
      <w:r w:rsidR="00111FD4">
        <w:rPr>
          <w:rFonts w:ascii="David" w:eastAsiaTheme="minorHAnsi" w:hAnsi="David" w:cs="David" w:hint="cs"/>
          <w:sz w:val="24"/>
          <w:szCs w:val="24"/>
          <w:rtl/>
          <w:lang w:eastAsia="en-US"/>
        </w:rPr>
        <w:t>.</w:t>
      </w:r>
    </w:p>
    <w:p w14:paraId="3334C70E" w14:textId="6F4E8941"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טבלת אחוז שוהים בבית במצב סיעודי </w:t>
      </w:r>
      <w:r w:rsidRPr="0045159B">
        <w:rPr>
          <w:rFonts w:ascii="David" w:eastAsiaTheme="minorHAnsi" w:hAnsi="David" w:cs="David"/>
          <w:sz w:val="24"/>
          <w:szCs w:val="24"/>
          <w:rtl/>
          <w:lang w:eastAsia="en-US"/>
        </w:rPr>
        <w:t>–</w:t>
      </w:r>
      <w:r w:rsidRPr="0045159B">
        <w:rPr>
          <w:rFonts w:ascii="David" w:eastAsiaTheme="minorHAnsi" w:hAnsi="David" w:cs="David" w:hint="cs"/>
          <w:sz w:val="24"/>
          <w:szCs w:val="24"/>
          <w:rtl/>
          <w:lang w:eastAsia="en-US"/>
        </w:rPr>
        <w:t xml:space="preserve"> הנתונים מוצגים לפי קבוצות גיל, מין ותקופת ותק התביעה המחולקת לשתי קבוצות טווח קצר עד חמש שנים וטווח ארוך מעל </w:t>
      </w:r>
      <w:r w:rsidR="00111FD4">
        <w:rPr>
          <w:rFonts w:ascii="David" w:eastAsiaTheme="minorHAnsi" w:hAnsi="David" w:cs="David" w:hint="cs"/>
          <w:sz w:val="24"/>
          <w:szCs w:val="24"/>
          <w:rtl/>
          <w:lang w:eastAsia="en-US"/>
        </w:rPr>
        <w:t>חמש שנים.</w:t>
      </w:r>
    </w:p>
    <w:p w14:paraId="0AC53FA7" w14:textId="77777777" w:rsidR="0045159B" w:rsidRPr="0045159B" w:rsidRDefault="0045159B" w:rsidP="0045159B">
      <w:pPr>
        <w:overflowPunct w:val="0"/>
        <w:autoSpaceDE w:val="0"/>
        <w:autoSpaceDN w:val="0"/>
        <w:adjustRightInd w:val="0"/>
        <w:spacing w:after="160" w:line="360" w:lineRule="auto"/>
        <w:ind w:left="720"/>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יצוין, כי עבור תקופות הותק עד 5 שנים, השיעורים חושבו על בסיס ותק התביעה שהיו קיימים בבסיס הנתונים. עבור שנות הותק של השנים 6 ואילך, חושבו השיעורים על בסיס שיעורי התמותה הרלוונטיי</w:t>
      </w:r>
      <w:r w:rsidRPr="0045159B">
        <w:rPr>
          <w:rFonts w:ascii="David" w:eastAsiaTheme="minorHAnsi" w:hAnsi="David" w:cs="David" w:hint="eastAsia"/>
          <w:sz w:val="24"/>
          <w:szCs w:val="24"/>
          <w:rtl/>
          <w:lang w:eastAsia="en-US"/>
        </w:rPr>
        <w:t>ם</w:t>
      </w:r>
      <w:r w:rsidRPr="0045159B">
        <w:rPr>
          <w:rFonts w:ascii="David" w:eastAsiaTheme="minorHAnsi" w:hAnsi="David" w:cs="David" w:hint="cs"/>
          <w:sz w:val="24"/>
          <w:szCs w:val="24"/>
          <w:rtl/>
          <w:lang w:eastAsia="en-US"/>
        </w:rPr>
        <w:t xml:space="preserve"> לגיל בוותק הנתון וזאת לאור מיעוט </w:t>
      </w:r>
      <w:r w:rsidRPr="0045159B">
        <w:rPr>
          <w:rFonts w:ascii="David" w:eastAsiaTheme="minorHAnsi" w:hAnsi="David" w:cs="David" w:hint="cs"/>
          <w:sz w:val="24"/>
          <w:szCs w:val="24"/>
          <w:rtl/>
          <w:lang w:eastAsia="en-US"/>
        </w:rPr>
        <w:lastRenderedPageBreak/>
        <w:t>הנתונים בוותקים אלו ובהתבסס על בדיקה כי בוותקים אלו, לנתון הוותק אין יותר השפעה משמעותית על שיעורי הפסקת תשלומי התביעה ושיעורי התמותה מתכנסים לאלו של הגילאים הרלוונטיים בוותקים האלו.</w:t>
      </w:r>
    </w:p>
    <w:p w14:paraId="4C279BCB"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r w:rsidRPr="0045159B">
        <w:rPr>
          <w:rFonts w:ascii="David" w:eastAsiaTheme="minorHAnsi" w:hAnsi="David" w:cs="David" w:hint="eastAsia"/>
          <w:sz w:val="24"/>
          <w:szCs w:val="24"/>
          <w:rtl/>
          <w:lang w:eastAsia="en-US"/>
        </w:rPr>
        <w:t>שיעורי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הפסקת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תשלום</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הקצבה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מוצגים</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במסמך</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זה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עד</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תקופה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20 </w:t>
      </w:r>
      <w:r w:rsidRPr="0045159B">
        <w:rPr>
          <w:rFonts w:ascii="David" w:eastAsiaTheme="minorHAnsi" w:hAnsi="David" w:cs="David" w:hint="eastAsia"/>
          <w:sz w:val="24"/>
          <w:szCs w:val="24"/>
          <w:rtl/>
          <w:lang w:eastAsia="en-US"/>
        </w:rPr>
        <w:t>שנה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שחלפה</w:t>
      </w:r>
      <w:r w:rsidRPr="0045159B">
        <w:rPr>
          <w:rFonts w:ascii="David" w:eastAsiaTheme="minorHAnsi" w:hAnsi="David" w:cs="David"/>
          <w:sz w:val="24"/>
          <w:szCs w:val="24"/>
          <w:rtl/>
          <w:lang w:eastAsia="en-US"/>
        </w:rPr>
        <w:t xml:space="preserve"> </w:t>
      </w:r>
      <w:r w:rsidRPr="0045159B">
        <w:rPr>
          <w:rFonts w:ascii="David" w:eastAsiaTheme="minorHAnsi" w:hAnsi="David" w:cs="David" w:hint="cs"/>
          <w:sz w:val="24"/>
          <w:szCs w:val="24"/>
          <w:rtl/>
          <w:lang w:eastAsia="en-US"/>
        </w:rPr>
        <w:t>מ</w:t>
      </w:r>
      <w:r w:rsidRPr="0045159B">
        <w:rPr>
          <w:rFonts w:ascii="David" w:eastAsiaTheme="minorHAnsi" w:hAnsi="David" w:cs="David" w:hint="eastAsia"/>
          <w:sz w:val="24"/>
          <w:szCs w:val="24"/>
          <w:rtl/>
          <w:lang w:eastAsia="en-US"/>
        </w:rPr>
        <w:t>זמן</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קרות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האירוע</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הסיעודי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יתר</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התקופות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מופיעות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בקובץ</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האקסל</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המצורף</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למסמך</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זה</w:t>
      </w:r>
      <w:r w:rsidRPr="0045159B">
        <w:rPr>
          <w:rFonts w:ascii="David" w:eastAsiaTheme="minorHAnsi" w:hAnsi="David" w:cs="David"/>
          <w:sz w:val="24"/>
          <w:szCs w:val="24"/>
          <w:rtl/>
          <w:lang w:eastAsia="en-US"/>
        </w:rPr>
        <w:t>.</w:t>
      </w:r>
    </w:p>
    <w:p w14:paraId="2690A871"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p>
    <w:p w14:paraId="169ACDE5"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הוראות שימוש בטבלאות הנתונים</w:t>
      </w:r>
    </w:p>
    <w:p w14:paraId="4BD991AC"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הממונה יאשר פרמיית סיכון שמבוססת על הנתונים שלהלן.</w:t>
      </w:r>
    </w:p>
    <w:p w14:paraId="09ADE5FC" w14:textId="77777777" w:rsidR="00246C30"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המופיעים להלן מהווים שיעורי מינימום לצורך קביעת פרמיית ה"סיכון המינימלית" והממונה לא יאשר פרמיית סיכון שמבוססת על שיעורים נמוכים מאלו המפורסמים כאן למעט מקרים חריגים ובהתאם להוראות החוזר.</w:t>
      </w:r>
    </w:p>
    <w:p w14:paraId="74B65843" w14:textId="59130CF0" w:rsidR="0045159B" w:rsidRPr="0045159B" w:rsidRDefault="00246C30"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16747">
        <w:rPr>
          <w:rFonts w:ascii="David" w:eastAsiaTheme="minorHAnsi" w:hAnsi="David" w:cs="David" w:hint="cs"/>
          <w:sz w:val="24"/>
          <w:szCs w:val="24"/>
          <w:u w:val="single"/>
          <w:rtl/>
          <w:lang w:eastAsia="en-US"/>
        </w:rPr>
        <w:t>בכפוף לאישור הממונה</w:t>
      </w:r>
      <w:r w:rsidRPr="00416747">
        <w:rPr>
          <w:rFonts w:ascii="David" w:eastAsiaTheme="minorHAnsi" w:hAnsi="David" w:cs="David" w:hint="cs"/>
          <w:sz w:val="24"/>
          <w:szCs w:val="24"/>
          <w:rtl/>
          <w:lang w:eastAsia="en-US"/>
        </w:rPr>
        <w:t>,</w:t>
      </w:r>
      <w:r w:rsidR="0045159B" w:rsidRPr="00416747">
        <w:rPr>
          <w:rFonts w:ascii="David" w:eastAsiaTheme="minorHAnsi" w:hAnsi="David" w:cs="David" w:hint="cs"/>
          <w:sz w:val="24"/>
          <w:szCs w:val="24"/>
          <w:rtl/>
          <w:lang w:eastAsia="en-US"/>
        </w:rPr>
        <w:t xml:space="preserve"> </w:t>
      </w:r>
      <w:r w:rsidR="0045159B" w:rsidRPr="0045159B">
        <w:rPr>
          <w:rFonts w:ascii="David" w:eastAsiaTheme="minorHAnsi" w:hAnsi="David" w:cs="David" w:hint="cs"/>
          <w:sz w:val="24"/>
          <w:szCs w:val="24"/>
          <w:rtl/>
          <w:lang w:eastAsia="en-US"/>
        </w:rPr>
        <w:t xml:space="preserve">ניתן </w:t>
      </w:r>
      <w:r w:rsidRPr="00416747">
        <w:rPr>
          <w:rFonts w:ascii="David" w:eastAsiaTheme="minorHAnsi" w:hAnsi="David" w:cs="David" w:hint="cs"/>
          <w:sz w:val="24"/>
          <w:szCs w:val="24"/>
          <w:u w:val="single"/>
          <w:rtl/>
          <w:lang w:eastAsia="en-US"/>
        </w:rPr>
        <w:t>יהיה</w:t>
      </w:r>
      <w:r>
        <w:rPr>
          <w:rFonts w:ascii="David" w:eastAsiaTheme="minorHAnsi" w:hAnsi="David" w:cs="David" w:hint="cs"/>
          <w:sz w:val="24"/>
          <w:szCs w:val="24"/>
          <w:rtl/>
          <w:lang w:eastAsia="en-US"/>
        </w:rPr>
        <w:t xml:space="preserve"> </w:t>
      </w:r>
      <w:r w:rsidR="0045159B" w:rsidRPr="0045159B">
        <w:rPr>
          <w:rFonts w:ascii="David" w:eastAsiaTheme="minorHAnsi" w:hAnsi="David" w:cs="David" w:hint="cs"/>
          <w:sz w:val="24"/>
          <w:szCs w:val="24"/>
          <w:rtl/>
          <w:lang w:eastAsia="en-US"/>
        </w:rPr>
        <w:t>להוסיף מרווחי ביטחון לשיעורים המינימליי</w:t>
      </w:r>
      <w:r w:rsidR="0045159B" w:rsidRPr="0045159B">
        <w:rPr>
          <w:rFonts w:ascii="David" w:eastAsiaTheme="minorHAnsi" w:hAnsi="David" w:cs="David" w:hint="eastAsia"/>
          <w:sz w:val="24"/>
          <w:szCs w:val="24"/>
          <w:rtl/>
          <w:lang w:eastAsia="en-US"/>
        </w:rPr>
        <w:t>ם</w:t>
      </w:r>
      <w:r w:rsidR="0045159B" w:rsidRPr="0045159B">
        <w:rPr>
          <w:rFonts w:ascii="David" w:eastAsiaTheme="minorHAnsi" w:hAnsi="David" w:cs="David" w:hint="cs"/>
          <w:sz w:val="24"/>
          <w:szCs w:val="24"/>
          <w:rtl/>
          <w:lang w:eastAsia="en-US"/>
        </w:rPr>
        <w:t>.</w:t>
      </w:r>
    </w:p>
    <w:p w14:paraId="1264E7F2"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פרמיית ביטוח סופית לצרכן תיקבע לאחר העמסת פרמיית הסיכון להוצאות התפעוליות.</w:t>
      </w:r>
    </w:p>
    <w:p w14:paraId="4422EE14"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פרמיית סיכון ופרמיה סופית לצרכן ייקבעו באופן הבא:</w:t>
      </w:r>
    </w:p>
    <w:p w14:paraId="0B1453D4" w14:textId="4E449595"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lastRenderedPageBreak/>
        <w:t>בנפרד לכל גיל ולכל מין</w:t>
      </w:r>
      <w:r w:rsidR="00111FD4">
        <w:rPr>
          <w:rFonts w:ascii="David" w:eastAsiaTheme="minorHAnsi" w:hAnsi="David" w:cs="David" w:hint="cs"/>
          <w:sz w:val="24"/>
          <w:szCs w:val="24"/>
          <w:rtl/>
          <w:lang w:eastAsia="en-US"/>
        </w:rPr>
        <w:t>.</w:t>
      </w:r>
    </w:p>
    <w:p w14:paraId="25E0A856"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בעוד שהנתונים להלן מוצגים לפי קבוצות גיל, יש להרחיב את הטבלאות ע"י שימוש באינטרפולציה לינארית בין גילאי האמצע של קבוצת גיל עוקבות. לדוגמא עבור הגיל 26, יחושב שיעור </w:t>
      </w:r>
      <w:r w:rsidRPr="0045159B">
        <w:rPr>
          <w:rFonts w:ascii="David" w:eastAsiaTheme="minorHAnsi" w:hAnsi="David" w:cs="David" w:hint="eastAsia"/>
          <w:sz w:val="24"/>
          <w:szCs w:val="24"/>
          <w:rtl/>
          <w:lang w:eastAsia="en-US"/>
        </w:rPr>
        <w:t>התחלואה</w:t>
      </w:r>
      <w:r w:rsidRPr="0045159B">
        <w:rPr>
          <w:rFonts w:ascii="David" w:eastAsiaTheme="minorHAnsi" w:hAnsi="David" w:cs="David" w:hint="cs"/>
          <w:sz w:val="24"/>
          <w:szCs w:val="24"/>
          <w:rtl/>
          <w:lang w:eastAsia="en-US"/>
        </w:rPr>
        <w:t xml:space="preserve"> ע"י אינטרפולצי</w:t>
      </w:r>
      <w:r w:rsidRPr="0045159B">
        <w:rPr>
          <w:rFonts w:ascii="David" w:eastAsiaTheme="minorHAnsi" w:hAnsi="David" w:cs="David" w:hint="eastAsia"/>
          <w:sz w:val="24"/>
          <w:szCs w:val="24"/>
          <w:rtl/>
          <w:lang w:eastAsia="en-US"/>
        </w:rPr>
        <w:t>ה</w:t>
      </w:r>
      <w:r w:rsidRPr="0045159B">
        <w:rPr>
          <w:rFonts w:ascii="David" w:eastAsiaTheme="minorHAnsi" w:hAnsi="David" w:cs="David" w:hint="cs"/>
          <w:sz w:val="24"/>
          <w:szCs w:val="24"/>
          <w:rtl/>
          <w:lang w:eastAsia="en-US"/>
        </w:rPr>
        <w:t xml:space="preserve"> לינארית בין הגיל </w:t>
      </w:r>
      <w:r w:rsidRPr="0045159B">
        <w:rPr>
          <w:rFonts w:ascii="David" w:eastAsiaTheme="minorHAnsi" w:hAnsi="David" w:cs="David"/>
          <w:sz w:val="24"/>
          <w:szCs w:val="24"/>
          <w:rtl/>
          <w:lang w:eastAsia="en-US"/>
        </w:rPr>
        <w:t>22</w:t>
      </w:r>
      <w:r w:rsidRPr="0045159B">
        <w:rPr>
          <w:rFonts w:ascii="David" w:eastAsiaTheme="minorHAnsi" w:hAnsi="David" w:cs="David" w:hint="cs"/>
          <w:sz w:val="24"/>
          <w:szCs w:val="24"/>
          <w:rtl/>
          <w:lang w:eastAsia="en-US"/>
        </w:rPr>
        <w:t xml:space="preserve"> (גיל האמצע של קבוצת הגיל </w:t>
      </w:r>
      <w:r w:rsidRPr="0045159B">
        <w:rPr>
          <w:rFonts w:ascii="David" w:eastAsiaTheme="minorHAnsi" w:hAnsi="David" w:cs="David"/>
          <w:sz w:val="24"/>
          <w:szCs w:val="24"/>
          <w:rtl/>
          <w:lang w:eastAsia="en-US"/>
        </w:rPr>
        <w:t>20-24</w:t>
      </w:r>
      <w:r w:rsidRPr="0045159B">
        <w:rPr>
          <w:rFonts w:ascii="David" w:eastAsiaTheme="minorHAnsi" w:hAnsi="David" w:cs="David" w:hint="cs"/>
          <w:sz w:val="24"/>
          <w:szCs w:val="24"/>
          <w:rtl/>
          <w:lang w:eastAsia="en-US"/>
        </w:rPr>
        <w:t xml:space="preserve"> ולבין הגיל </w:t>
      </w:r>
      <w:r w:rsidRPr="0045159B">
        <w:rPr>
          <w:rFonts w:ascii="David" w:eastAsiaTheme="minorHAnsi" w:hAnsi="David" w:cs="David"/>
          <w:sz w:val="24"/>
          <w:szCs w:val="24"/>
          <w:rtl/>
          <w:lang w:eastAsia="en-US"/>
        </w:rPr>
        <w:t>27</w:t>
      </w:r>
      <w:r w:rsidRPr="0045159B">
        <w:rPr>
          <w:rFonts w:ascii="David" w:eastAsiaTheme="minorHAnsi" w:hAnsi="David" w:cs="David" w:hint="cs"/>
          <w:sz w:val="24"/>
          <w:szCs w:val="24"/>
          <w:rtl/>
          <w:lang w:eastAsia="en-US"/>
        </w:rPr>
        <w:t xml:space="preserve"> (גיל האמצע של קבוצת הגיל </w:t>
      </w:r>
      <w:r w:rsidRPr="0045159B">
        <w:rPr>
          <w:rFonts w:ascii="David" w:eastAsiaTheme="minorHAnsi" w:hAnsi="David" w:cs="David"/>
          <w:sz w:val="24"/>
          <w:szCs w:val="24"/>
          <w:rtl/>
          <w:lang w:eastAsia="en-US"/>
        </w:rPr>
        <w:t>25-29</w:t>
      </w:r>
      <w:r w:rsidRPr="0045159B">
        <w:rPr>
          <w:rFonts w:ascii="David" w:eastAsiaTheme="minorHAnsi" w:hAnsi="David" w:cs="David" w:hint="cs"/>
          <w:sz w:val="24"/>
          <w:szCs w:val="24"/>
          <w:rtl/>
          <w:lang w:eastAsia="en-US"/>
        </w:rPr>
        <w:t>. ובאופן דומה לכל הגילאים.</w:t>
      </w:r>
    </w:p>
    <w:p w14:paraId="36A6A730" w14:textId="010D571C" w:rsidR="0045159B" w:rsidRPr="0045159B" w:rsidRDefault="00111FD4"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Pr>
          <w:rFonts w:ascii="David" w:eastAsiaTheme="minorHAnsi" w:hAnsi="David" w:cs="David" w:hint="cs"/>
          <w:sz w:val="24"/>
          <w:szCs w:val="24"/>
          <w:rtl/>
          <w:lang w:eastAsia="en-US"/>
        </w:rPr>
        <w:t>הפרמיה הסופית למבוטח</w:t>
      </w:r>
      <w:r w:rsidR="0045159B" w:rsidRPr="0045159B">
        <w:rPr>
          <w:rFonts w:ascii="David" w:eastAsiaTheme="minorHAnsi" w:hAnsi="David" w:cs="David" w:hint="cs"/>
          <w:sz w:val="24"/>
          <w:szCs w:val="24"/>
          <w:rtl/>
          <w:lang w:eastAsia="en-US"/>
        </w:rPr>
        <w:t xml:space="preserve"> תקבע ותישא</w:t>
      </w:r>
      <w:r w:rsidR="0045159B" w:rsidRPr="0045159B">
        <w:rPr>
          <w:rFonts w:ascii="David" w:eastAsiaTheme="minorHAnsi" w:hAnsi="David" w:cs="David" w:hint="eastAsia"/>
          <w:sz w:val="24"/>
          <w:szCs w:val="24"/>
          <w:rtl/>
          <w:lang w:eastAsia="en-US"/>
        </w:rPr>
        <w:t>ר</w:t>
      </w:r>
      <w:r w:rsidR="0045159B" w:rsidRPr="0045159B">
        <w:rPr>
          <w:rFonts w:ascii="David" w:eastAsiaTheme="minorHAnsi" w:hAnsi="David" w:cs="David" w:hint="cs"/>
          <w:sz w:val="24"/>
          <w:szCs w:val="24"/>
          <w:rtl/>
          <w:lang w:eastAsia="en-US"/>
        </w:rPr>
        <w:t xml:space="preserve"> ללא שינוי החל מהגיל שייקבע בהסכם ויאושר על ידי הממונה.</w:t>
      </w:r>
    </w:p>
    <w:p w14:paraId="32689BE7"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פרמיות הסיכון וכן הפרמיות הסופיות כפופות לאישור מראש של הממונה על שוק ההון, בהתאם לסמכותו לפי סעיף 40 לחוק הפיקוח על שירותים פיננסיים (ביטוח), התשמ"א-1981.  </w:t>
      </w:r>
    </w:p>
    <w:p w14:paraId="7231C0FC" w14:textId="77777777" w:rsidR="0045159B" w:rsidRPr="0045159B" w:rsidRDefault="0045159B" w:rsidP="0045159B">
      <w:pPr>
        <w:spacing w:before="120" w:after="160" w:line="360" w:lineRule="auto"/>
        <w:ind w:left="1080" w:right="1080"/>
        <w:contextualSpacing/>
        <w:rPr>
          <w:rFonts w:ascii="David" w:eastAsiaTheme="minorHAnsi" w:hAnsi="David" w:cs="David"/>
          <w:sz w:val="28"/>
          <w:szCs w:val="28"/>
          <w:rtl/>
          <w:lang w:eastAsia="en-US"/>
        </w:rPr>
      </w:pPr>
    </w:p>
    <w:p w14:paraId="79C57C1A"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הערות</w:t>
      </w:r>
    </w:p>
    <w:p w14:paraId="2836FBB1"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לצורך חישוב השיעורים האחידים לארבעת קופות החולים נלקחו בחשבון שיקולי שמרנות הנוגעים לשונות בתחלואה בין הקופות.</w:t>
      </w:r>
    </w:p>
    <w:p w14:paraId="60626DB8" w14:textId="0DB2A609" w:rsidR="0045159B" w:rsidRPr="0045159B" w:rsidRDefault="0045159B" w:rsidP="00246C30">
      <w:pPr>
        <w:spacing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eastAsia"/>
          <w:sz w:val="24"/>
          <w:szCs w:val="24"/>
          <w:rtl/>
          <w:lang w:eastAsia="en-US"/>
        </w:rPr>
        <w:t>יצוין</w:t>
      </w:r>
      <w:r w:rsidRPr="0045159B">
        <w:rPr>
          <w:rFonts w:ascii="David" w:eastAsiaTheme="minorHAnsi" w:hAnsi="David" w:cs="David"/>
          <w:sz w:val="24"/>
          <w:szCs w:val="24"/>
          <w:rtl/>
          <w:lang w:eastAsia="en-US"/>
        </w:rPr>
        <w:t xml:space="preserve"> כי שיעורים אלה נועדו לצורך קביעת הנחות תמחור עבור חישוב פרמיות הסיכון לרובד ה</w:t>
      </w:r>
      <w:r w:rsidR="00246C30">
        <w:rPr>
          <w:rFonts w:ascii="David" w:eastAsiaTheme="minorHAnsi" w:hAnsi="David" w:cs="David" w:hint="cs"/>
          <w:sz w:val="24"/>
          <w:szCs w:val="24"/>
          <w:rtl/>
          <w:lang w:eastAsia="en-US"/>
        </w:rPr>
        <w:t>מורחב</w:t>
      </w:r>
      <w:r w:rsidRPr="0045159B">
        <w:rPr>
          <w:rFonts w:ascii="David" w:eastAsiaTheme="minorHAnsi" w:hAnsi="David" w:cs="David"/>
          <w:sz w:val="24"/>
          <w:szCs w:val="24"/>
          <w:rtl/>
          <w:lang w:eastAsia="en-US"/>
        </w:rPr>
        <w:t>של ביטוח סיעודי לקופות החולים וכי הם נקבעו בהתבסס על ניסיון הביטוח הסיעודי</w:t>
      </w:r>
      <w:r w:rsidRPr="0045159B">
        <w:rPr>
          <w:rFonts w:ascii="David" w:eastAsiaTheme="minorHAnsi" w:hAnsi="David" w:cs="David" w:hint="cs"/>
          <w:sz w:val="24"/>
          <w:szCs w:val="24"/>
          <w:rtl/>
          <w:lang w:eastAsia="en-US"/>
        </w:rPr>
        <w:t xml:space="preserve"> </w:t>
      </w:r>
      <w:r w:rsidRPr="0045159B">
        <w:rPr>
          <w:rFonts w:ascii="David" w:eastAsiaTheme="minorHAnsi" w:hAnsi="David" w:cs="David" w:hint="cs"/>
          <w:sz w:val="24"/>
          <w:szCs w:val="24"/>
          <w:rtl/>
          <w:lang w:eastAsia="en-US"/>
        </w:rPr>
        <w:lastRenderedPageBreak/>
        <w:t>הקולקטיבי</w:t>
      </w:r>
      <w:r w:rsidRPr="0045159B">
        <w:rPr>
          <w:rFonts w:ascii="David" w:eastAsiaTheme="minorHAnsi" w:hAnsi="David" w:cs="David"/>
          <w:sz w:val="24"/>
          <w:szCs w:val="24"/>
          <w:rtl/>
          <w:lang w:eastAsia="en-US"/>
        </w:rPr>
        <w:t xml:space="preserve"> הקיים של</w:t>
      </w:r>
      <w:r w:rsidRPr="0045159B">
        <w:rPr>
          <w:rFonts w:ascii="David" w:eastAsiaTheme="minorHAnsi" w:hAnsi="David" w:cs="David" w:hint="cs"/>
          <w:sz w:val="24"/>
          <w:szCs w:val="24"/>
          <w:rtl/>
          <w:lang w:eastAsia="en-US"/>
        </w:rPr>
        <w:t xml:space="preserve"> כל</w:t>
      </w:r>
      <w:r w:rsidRPr="0045159B">
        <w:rPr>
          <w:rFonts w:ascii="David" w:eastAsiaTheme="minorHAnsi" w:hAnsi="David" w:cs="David"/>
          <w:sz w:val="24"/>
          <w:szCs w:val="24"/>
          <w:rtl/>
          <w:lang w:eastAsia="en-US"/>
        </w:rPr>
        <w:t xml:space="preserve"> קופות החולים</w:t>
      </w:r>
      <w:r w:rsidRPr="0045159B">
        <w:rPr>
          <w:rFonts w:ascii="David" w:eastAsiaTheme="minorHAnsi" w:hAnsi="David" w:cs="David" w:hint="cs"/>
          <w:sz w:val="24"/>
          <w:szCs w:val="24"/>
          <w:rtl/>
          <w:lang w:eastAsia="en-US"/>
        </w:rPr>
        <w:t xml:space="preserve"> יחד, תוך בחירה שמרנית בשיעורים המתאימים לקבוצות הגיל, מין וותק תביעה השונים.</w:t>
      </w:r>
      <w:r w:rsidRPr="0045159B">
        <w:rPr>
          <w:rFonts w:ascii="David" w:eastAsiaTheme="minorHAnsi" w:hAnsi="David" w:cs="David"/>
          <w:sz w:val="24"/>
          <w:szCs w:val="24"/>
          <w:rtl/>
          <w:lang w:eastAsia="en-US"/>
        </w:rPr>
        <w:t xml:space="preserve"> </w:t>
      </w:r>
    </w:p>
    <w:p w14:paraId="3B18236E"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r w:rsidRPr="0045159B">
        <w:rPr>
          <w:rFonts w:ascii="David" w:eastAsiaTheme="minorHAnsi" w:hAnsi="David" w:cs="David" w:hint="eastAsia"/>
          <w:sz w:val="24"/>
          <w:szCs w:val="24"/>
          <w:rtl/>
          <w:lang w:eastAsia="en-US"/>
        </w:rPr>
        <w:t>השיעורים</w:t>
      </w:r>
      <w:r w:rsidRPr="0045159B">
        <w:rPr>
          <w:rFonts w:ascii="David" w:eastAsiaTheme="minorHAnsi" w:hAnsi="David" w:cs="David"/>
          <w:sz w:val="24"/>
          <w:szCs w:val="24"/>
          <w:rtl/>
          <w:lang w:eastAsia="en-US"/>
        </w:rPr>
        <w:t xml:space="preserve"> נקבעו בהתחשב בשיקולים שונים</w:t>
      </w:r>
      <w:r w:rsidRPr="0045159B">
        <w:rPr>
          <w:rFonts w:ascii="David" w:eastAsiaTheme="minorHAnsi" w:hAnsi="David" w:cs="David" w:hint="cs"/>
          <w:sz w:val="24"/>
          <w:szCs w:val="24"/>
          <w:rtl/>
          <w:lang w:eastAsia="en-US"/>
        </w:rPr>
        <w:t>, אקטואריים ואחרים,</w:t>
      </w:r>
      <w:r w:rsidRPr="0045159B">
        <w:rPr>
          <w:rFonts w:ascii="David" w:eastAsiaTheme="minorHAnsi" w:hAnsi="David" w:cs="David"/>
          <w:sz w:val="24"/>
          <w:szCs w:val="24"/>
          <w:rtl/>
          <w:lang w:eastAsia="en-US"/>
        </w:rPr>
        <w:t xml:space="preserve"> הרלוונטיים לתמחור הרובד השני של כיסוי הסיעודי בקופות ולכן אינם בהכרח משקפים את </w:t>
      </w:r>
      <w:r w:rsidRPr="0045159B">
        <w:rPr>
          <w:rFonts w:ascii="David" w:eastAsiaTheme="minorHAnsi" w:hAnsi="David" w:cs="David" w:hint="cs"/>
          <w:sz w:val="24"/>
          <w:szCs w:val="24"/>
          <w:rtl/>
          <w:lang w:eastAsia="en-US"/>
        </w:rPr>
        <w:t xml:space="preserve">ממוצע </w:t>
      </w:r>
      <w:r w:rsidRPr="0045159B">
        <w:rPr>
          <w:rFonts w:ascii="David" w:eastAsiaTheme="minorHAnsi" w:hAnsi="David" w:cs="David"/>
          <w:sz w:val="24"/>
          <w:szCs w:val="24"/>
          <w:rtl/>
          <w:lang w:eastAsia="en-US"/>
        </w:rPr>
        <w:t>הניסיון</w:t>
      </w:r>
      <w:r w:rsidRPr="0045159B">
        <w:rPr>
          <w:rFonts w:ascii="David" w:eastAsiaTheme="minorHAnsi" w:hAnsi="David" w:cs="David" w:hint="cs"/>
          <w:sz w:val="24"/>
          <w:szCs w:val="24"/>
          <w:rtl/>
          <w:lang w:eastAsia="en-US"/>
        </w:rPr>
        <w:t xml:space="preserve"> או האומדן המיטבי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מבוטחי הביטוח הסיעוד</w:t>
      </w:r>
      <w:r w:rsidRPr="0045159B">
        <w:rPr>
          <w:rFonts w:ascii="David" w:eastAsiaTheme="minorHAnsi" w:hAnsi="David" w:cs="David" w:hint="eastAsia"/>
          <w:sz w:val="24"/>
          <w:szCs w:val="24"/>
          <w:rtl/>
          <w:lang w:eastAsia="en-US"/>
        </w:rPr>
        <w:t>י</w:t>
      </w:r>
      <w:r w:rsidRPr="0045159B">
        <w:rPr>
          <w:rFonts w:ascii="David" w:eastAsiaTheme="minorHAnsi" w:hAnsi="David" w:cs="David"/>
          <w:sz w:val="24"/>
          <w:szCs w:val="24"/>
          <w:rtl/>
          <w:lang w:eastAsia="en-US"/>
        </w:rPr>
        <w:t xml:space="preserve"> </w:t>
      </w:r>
      <w:r w:rsidRPr="0045159B">
        <w:rPr>
          <w:rFonts w:ascii="David" w:eastAsiaTheme="minorHAnsi" w:hAnsi="David" w:cs="David" w:hint="cs"/>
          <w:sz w:val="24"/>
          <w:szCs w:val="24"/>
          <w:rtl/>
          <w:lang w:eastAsia="en-US"/>
        </w:rPr>
        <w:t xml:space="preserve">של קופות החולים ושל מבוטחי סיעוד פרט בחברות וכל שימוש בשיעורים אלו למטרות </w:t>
      </w:r>
      <w:r w:rsidRPr="0045159B">
        <w:rPr>
          <w:rFonts w:ascii="David" w:eastAsiaTheme="minorHAnsi" w:hAnsi="David" w:cs="David" w:hint="eastAsia"/>
          <w:sz w:val="24"/>
          <w:szCs w:val="24"/>
          <w:rtl/>
          <w:lang w:eastAsia="en-US"/>
        </w:rPr>
        <w:t>אחרות</w:t>
      </w:r>
      <w:r w:rsidRPr="0045159B">
        <w:rPr>
          <w:rFonts w:ascii="David" w:eastAsiaTheme="minorHAnsi" w:hAnsi="David" w:cs="David" w:hint="cs"/>
          <w:sz w:val="24"/>
          <w:szCs w:val="24"/>
          <w:rtl/>
          <w:lang w:eastAsia="en-US"/>
        </w:rPr>
        <w:t xml:space="preserve"> כגון תמחור, עתודות, סולבנסי צריכות להיעשו</w:t>
      </w:r>
      <w:r w:rsidRPr="0045159B">
        <w:rPr>
          <w:rFonts w:ascii="David" w:eastAsiaTheme="minorHAnsi" w:hAnsi="David" w:cs="David" w:hint="eastAsia"/>
          <w:sz w:val="24"/>
          <w:szCs w:val="24"/>
          <w:rtl/>
          <w:lang w:eastAsia="en-US"/>
        </w:rPr>
        <w:t>ת</w:t>
      </w:r>
      <w:r w:rsidRPr="0045159B">
        <w:rPr>
          <w:rFonts w:ascii="David" w:eastAsiaTheme="minorHAnsi" w:hAnsi="David" w:cs="David" w:hint="cs"/>
          <w:sz w:val="24"/>
          <w:szCs w:val="24"/>
          <w:rtl/>
          <w:lang w:eastAsia="en-US"/>
        </w:rPr>
        <w:t xml:space="preserve"> בזהירות המתבקשת תוך הפעלת שיקול דעת מקצועית.</w:t>
      </w:r>
    </w:p>
    <w:p w14:paraId="281408E8" w14:textId="77777777" w:rsidR="0045159B" w:rsidRPr="0045159B" w:rsidRDefault="0045159B" w:rsidP="0045159B">
      <w:pPr>
        <w:overflowPunct w:val="0"/>
        <w:autoSpaceDE w:val="0"/>
        <w:autoSpaceDN w:val="0"/>
        <w:adjustRightInd w:val="0"/>
        <w:spacing w:after="160"/>
        <w:jc w:val="left"/>
        <w:textAlignment w:val="baseline"/>
        <w:rPr>
          <w:rFonts w:ascii="David" w:hAnsi="David" w:cs="David"/>
          <w:sz w:val="20"/>
          <w:szCs w:val="24"/>
        </w:rPr>
      </w:pPr>
    </w:p>
    <w:p w14:paraId="23A66CDF" w14:textId="77777777" w:rsidR="0045159B" w:rsidRPr="0045159B" w:rsidRDefault="0045159B" w:rsidP="0045159B">
      <w:pPr>
        <w:overflowPunct w:val="0"/>
        <w:autoSpaceDE w:val="0"/>
        <w:autoSpaceDN w:val="0"/>
        <w:bidi w:val="0"/>
        <w:adjustRightInd w:val="0"/>
        <w:jc w:val="left"/>
        <w:textAlignment w:val="baseline"/>
        <w:rPr>
          <w:rFonts w:ascii="David" w:hAnsi="David" w:cs="David"/>
          <w:sz w:val="24"/>
          <w:szCs w:val="24"/>
        </w:rPr>
      </w:pPr>
      <w:r w:rsidRPr="0045159B">
        <w:rPr>
          <w:rFonts w:ascii="David" w:hAnsi="David" w:cs="David"/>
          <w:sz w:val="24"/>
          <w:szCs w:val="24"/>
          <w:rtl/>
        </w:rPr>
        <w:br w:type="page"/>
      </w:r>
    </w:p>
    <w:p w14:paraId="42AB7084" w14:textId="77777777" w:rsidR="0045159B" w:rsidRPr="0045159B" w:rsidRDefault="0045159B" w:rsidP="0045159B">
      <w:pPr>
        <w:overflowPunct w:val="0"/>
        <w:autoSpaceDE w:val="0"/>
        <w:autoSpaceDN w:val="0"/>
        <w:adjustRightInd w:val="0"/>
        <w:spacing w:line="360" w:lineRule="auto"/>
        <w:jc w:val="center"/>
        <w:textAlignment w:val="baseline"/>
        <w:rPr>
          <w:rFonts w:ascii="David" w:hAnsi="David" w:cs="David"/>
          <w:b/>
          <w:bCs/>
          <w:sz w:val="28"/>
          <w:szCs w:val="28"/>
          <w:u w:val="single"/>
          <w:rtl/>
        </w:rPr>
      </w:pPr>
      <w:r w:rsidRPr="0045159B">
        <w:rPr>
          <w:rFonts w:ascii="David" w:hAnsi="David" w:cs="David" w:hint="eastAsia"/>
          <w:b/>
          <w:bCs/>
          <w:sz w:val="24"/>
          <w:szCs w:val="24"/>
          <w:u w:val="single"/>
          <w:rtl/>
        </w:rPr>
        <w:lastRenderedPageBreak/>
        <w:t>נספ</w:t>
      </w:r>
      <w:r w:rsidRPr="0045159B">
        <w:rPr>
          <w:rFonts w:ascii="David" w:hAnsi="David" w:cs="David" w:hint="cs"/>
          <w:b/>
          <w:bCs/>
          <w:sz w:val="24"/>
          <w:szCs w:val="24"/>
          <w:u w:val="single"/>
          <w:rtl/>
        </w:rPr>
        <w:t>ח</w:t>
      </w:r>
      <w:r w:rsidRPr="0045159B">
        <w:rPr>
          <w:rFonts w:ascii="David" w:hAnsi="David" w:cs="David"/>
          <w:b/>
          <w:bCs/>
          <w:sz w:val="24"/>
          <w:szCs w:val="24"/>
          <w:u w:val="single"/>
          <w:rtl/>
        </w:rPr>
        <w:t xml:space="preserve"> א – שיעורי </w:t>
      </w:r>
      <w:r w:rsidRPr="0045159B">
        <w:rPr>
          <w:rFonts w:ascii="David" w:hAnsi="David" w:cs="David" w:hint="eastAsia"/>
          <w:b/>
          <w:bCs/>
          <w:sz w:val="24"/>
          <w:szCs w:val="24"/>
          <w:u w:val="single"/>
          <w:rtl/>
        </w:rPr>
        <w:t>תחלואה</w:t>
      </w:r>
      <w:r w:rsidRPr="0045159B">
        <w:rPr>
          <w:rFonts w:ascii="David" w:hAnsi="David" w:cs="David"/>
          <w:b/>
          <w:bCs/>
          <w:sz w:val="24"/>
          <w:szCs w:val="24"/>
          <w:u w:val="single"/>
          <w:rtl/>
        </w:rPr>
        <w:t xml:space="preserve"> </w:t>
      </w:r>
      <w:r w:rsidRPr="0045159B">
        <w:rPr>
          <w:rFonts w:ascii="David" w:hAnsi="David" w:cs="David" w:hint="eastAsia"/>
          <w:b/>
          <w:bCs/>
          <w:sz w:val="24"/>
          <w:szCs w:val="24"/>
          <w:u w:val="single"/>
          <w:rtl/>
        </w:rPr>
        <w:t>והפסקת</w:t>
      </w:r>
      <w:r w:rsidRPr="0045159B">
        <w:rPr>
          <w:rFonts w:ascii="David" w:hAnsi="David" w:cs="David"/>
          <w:b/>
          <w:bCs/>
          <w:sz w:val="24"/>
          <w:szCs w:val="24"/>
          <w:u w:val="single"/>
          <w:rtl/>
        </w:rPr>
        <w:t xml:space="preserve"> </w:t>
      </w:r>
      <w:r w:rsidRPr="0045159B">
        <w:rPr>
          <w:rFonts w:ascii="David" w:hAnsi="David" w:cs="David" w:hint="eastAsia"/>
          <w:b/>
          <w:bCs/>
          <w:sz w:val="24"/>
          <w:szCs w:val="24"/>
          <w:u w:val="single"/>
          <w:rtl/>
        </w:rPr>
        <w:t>תשלומים</w:t>
      </w:r>
    </w:p>
    <w:p w14:paraId="4608590F"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494D7DE0" w14:textId="77777777"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שיעורי</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כניסה</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למצב</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סיעודי</w:t>
      </w:r>
      <w:r w:rsidRPr="0045159B">
        <w:rPr>
          <w:rFonts w:ascii="David" w:eastAsiaTheme="minorHAnsi" w:hAnsi="David" w:cs="David"/>
          <w:b/>
          <w:bCs/>
          <w:sz w:val="24"/>
          <w:szCs w:val="24"/>
          <w:rtl/>
          <w:lang w:eastAsia="en-US"/>
        </w:rPr>
        <w:t xml:space="preserve"> בחלוקה לפי קבוצות גיל ומין (שנתי)</w:t>
      </w:r>
    </w:p>
    <w:p w14:paraId="3CE2C3A8"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tbl>
      <w:tblPr>
        <w:tblW w:w="5344" w:type="dxa"/>
        <w:jc w:val="center"/>
        <w:tblLook w:val="04A0" w:firstRow="1" w:lastRow="0" w:firstColumn="1" w:lastColumn="0" w:noHBand="0" w:noVBand="1"/>
      </w:tblPr>
      <w:tblGrid>
        <w:gridCol w:w="1784"/>
        <w:gridCol w:w="1784"/>
        <w:gridCol w:w="1776"/>
      </w:tblGrid>
      <w:tr w:rsidR="0045159B" w:rsidRPr="0045159B" w14:paraId="2A6BC40E" w14:textId="77777777" w:rsidTr="0045159B">
        <w:trPr>
          <w:trHeight w:val="374"/>
          <w:jc w:val="center"/>
        </w:trPr>
        <w:tc>
          <w:tcPr>
            <w:tcW w:w="17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78D03B"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tl/>
              </w:rPr>
              <w:t>נשים</w:t>
            </w:r>
          </w:p>
        </w:tc>
        <w:tc>
          <w:tcPr>
            <w:tcW w:w="1784" w:type="dxa"/>
            <w:tcBorders>
              <w:top w:val="single" w:sz="8" w:space="0" w:color="auto"/>
              <w:left w:val="nil"/>
              <w:bottom w:val="single" w:sz="8" w:space="0" w:color="auto"/>
              <w:right w:val="single" w:sz="8" w:space="0" w:color="auto"/>
            </w:tcBorders>
            <w:shd w:val="clear" w:color="auto" w:fill="auto"/>
            <w:noWrap/>
            <w:vAlign w:val="center"/>
            <w:hideMark/>
          </w:tcPr>
          <w:p w14:paraId="4FD95D38"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tl/>
              </w:rPr>
            </w:pPr>
            <w:r w:rsidRPr="0045159B">
              <w:rPr>
                <w:rFonts w:ascii="Arial" w:hAnsi="Arial" w:cs="Arial"/>
                <w:b/>
                <w:bCs/>
                <w:color w:val="000000"/>
                <w:sz w:val="20"/>
                <w:szCs w:val="24"/>
                <w:rtl/>
              </w:rPr>
              <w:t>גברים</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60DA1BDC"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tl/>
              </w:rPr>
            </w:pPr>
            <w:r w:rsidRPr="0045159B">
              <w:rPr>
                <w:rFonts w:ascii="Arial" w:hAnsi="Arial" w:cs="Arial"/>
                <w:b/>
                <w:bCs/>
                <w:color w:val="000000"/>
                <w:sz w:val="20"/>
                <w:szCs w:val="24"/>
                <w:rtl/>
              </w:rPr>
              <w:t>קבוצת גיל</w:t>
            </w:r>
          </w:p>
        </w:tc>
      </w:tr>
      <w:tr w:rsidR="0045159B" w:rsidRPr="0045159B" w14:paraId="03AD58B3"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034D0D9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0.020%</w:t>
            </w:r>
          </w:p>
        </w:tc>
        <w:tc>
          <w:tcPr>
            <w:tcW w:w="1784" w:type="dxa"/>
            <w:tcBorders>
              <w:top w:val="nil"/>
              <w:left w:val="nil"/>
              <w:bottom w:val="single" w:sz="4" w:space="0" w:color="auto"/>
              <w:right w:val="single" w:sz="8" w:space="0" w:color="auto"/>
            </w:tcBorders>
            <w:shd w:val="clear" w:color="auto" w:fill="auto"/>
            <w:noWrap/>
            <w:vAlign w:val="bottom"/>
            <w:hideMark/>
          </w:tcPr>
          <w:p w14:paraId="3E0F8F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0.055%</w:t>
            </w:r>
          </w:p>
        </w:tc>
        <w:tc>
          <w:tcPr>
            <w:tcW w:w="1776" w:type="dxa"/>
            <w:tcBorders>
              <w:top w:val="nil"/>
              <w:left w:val="nil"/>
              <w:bottom w:val="single" w:sz="4" w:space="0" w:color="auto"/>
              <w:right w:val="single" w:sz="8" w:space="0" w:color="auto"/>
            </w:tcBorders>
            <w:shd w:val="clear" w:color="auto" w:fill="auto"/>
            <w:noWrap/>
            <w:vAlign w:val="center"/>
            <w:hideMark/>
          </w:tcPr>
          <w:p w14:paraId="760046E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0-4</w:t>
            </w:r>
          </w:p>
        </w:tc>
      </w:tr>
      <w:tr w:rsidR="0045159B" w:rsidRPr="0045159B" w14:paraId="3543C853"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C308E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5DE49057" w14:textId="1998520E" w:rsidR="0045159B" w:rsidRPr="0045159B" w:rsidRDefault="0045159B" w:rsidP="00F16B93">
            <w:pPr>
              <w:overflowPunct w:val="0"/>
              <w:autoSpaceDE w:val="0"/>
              <w:autoSpaceDN w:val="0"/>
              <w:bidi w:val="0"/>
              <w:adjustRightInd w:val="0"/>
              <w:jc w:val="right"/>
              <w:textAlignment w:val="baseline"/>
              <w:rPr>
                <w:rFonts w:ascii="Arial" w:hAnsi="Arial" w:cs="Arial"/>
                <w:color w:val="000000"/>
                <w:sz w:val="20"/>
                <w:szCs w:val="20"/>
              </w:rPr>
            </w:pPr>
            <w:r w:rsidRPr="00DF7765">
              <w:rPr>
                <w:rFonts w:ascii="Arial" w:hAnsi="Arial" w:cs="Arial"/>
                <w:color w:val="000000"/>
                <w:sz w:val="20"/>
                <w:szCs w:val="20"/>
                <w:u w:val="single"/>
              </w:rPr>
              <w:t>0.</w:t>
            </w:r>
            <w:r w:rsidR="00F16B93" w:rsidRPr="00DF7765">
              <w:rPr>
                <w:rFonts w:ascii="Arial" w:hAnsi="Arial" w:cs="Arial"/>
                <w:color w:val="000000"/>
                <w:sz w:val="20"/>
                <w:szCs w:val="20"/>
                <w:u w:val="single"/>
              </w:rPr>
              <w:t>020</w:t>
            </w:r>
            <w:r w:rsidRPr="0045159B">
              <w:rPr>
                <w:rFonts w:ascii="Arial" w:hAnsi="Arial" w:cs="Arial"/>
                <w:color w:val="000000"/>
                <w:sz w:val="20"/>
                <w:szCs w:val="20"/>
              </w:rPr>
              <w:t>%</w:t>
            </w:r>
          </w:p>
        </w:tc>
        <w:tc>
          <w:tcPr>
            <w:tcW w:w="1776" w:type="dxa"/>
            <w:tcBorders>
              <w:top w:val="nil"/>
              <w:left w:val="nil"/>
              <w:bottom w:val="single" w:sz="4" w:space="0" w:color="auto"/>
              <w:right w:val="single" w:sz="8" w:space="0" w:color="auto"/>
            </w:tcBorders>
            <w:shd w:val="clear" w:color="auto" w:fill="auto"/>
            <w:noWrap/>
            <w:vAlign w:val="center"/>
            <w:hideMark/>
          </w:tcPr>
          <w:p w14:paraId="2482495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5-9</w:t>
            </w:r>
          </w:p>
        </w:tc>
      </w:tr>
      <w:tr w:rsidR="0045159B" w:rsidRPr="0045159B" w14:paraId="45CD9E39"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0468E3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0.009%</w:t>
            </w:r>
          </w:p>
        </w:tc>
        <w:tc>
          <w:tcPr>
            <w:tcW w:w="1784" w:type="dxa"/>
            <w:tcBorders>
              <w:top w:val="nil"/>
              <w:left w:val="nil"/>
              <w:bottom w:val="single" w:sz="4" w:space="0" w:color="auto"/>
              <w:right w:val="single" w:sz="8" w:space="0" w:color="auto"/>
            </w:tcBorders>
            <w:shd w:val="clear" w:color="auto" w:fill="auto"/>
            <w:noWrap/>
            <w:vAlign w:val="bottom"/>
            <w:hideMark/>
          </w:tcPr>
          <w:p w14:paraId="46EAC80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0.018%</w:t>
            </w:r>
          </w:p>
        </w:tc>
        <w:tc>
          <w:tcPr>
            <w:tcW w:w="1776" w:type="dxa"/>
            <w:tcBorders>
              <w:top w:val="nil"/>
              <w:left w:val="nil"/>
              <w:bottom w:val="single" w:sz="4" w:space="0" w:color="auto"/>
              <w:right w:val="single" w:sz="8" w:space="0" w:color="auto"/>
            </w:tcBorders>
            <w:shd w:val="clear" w:color="auto" w:fill="auto"/>
            <w:noWrap/>
            <w:vAlign w:val="center"/>
            <w:hideMark/>
          </w:tcPr>
          <w:p w14:paraId="3808D48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10-14</w:t>
            </w:r>
          </w:p>
        </w:tc>
      </w:tr>
      <w:tr w:rsidR="0045159B" w:rsidRPr="0045159B" w14:paraId="64585E28"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7C3BDB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1F5FD14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0.019%</w:t>
            </w:r>
          </w:p>
        </w:tc>
        <w:tc>
          <w:tcPr>
            <w:tcW w:w="1776" w:type="dxa"/>
            <w:tcBorders>
              <w:top w:val="nil"/>
              <w:left w:val="nil"/>
              <w:bottom w:val="single" w:sz="4" w:space="0" w:color="auto"/>
              <w:right w:val="single" w:sz="8" w:space="0" w:color="auto"/>
            </w:tcBorders>
            <w:shd w:val="clear" w:color="auto" w:fill="auto"/>
            <w:noWrap/>
            <w:vAlign w:val="center"/>
            <w:hideMark/>
          </w:tcPr>
          <w:p w14:paraId="39ED6C16"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15-19</w:t>
            </w:r>
          </w:p>
        </w:tc>
      </w:tr>
      <w:tr w:rsidR="0045159B" w:rsidRPr="0045159B" w14:paraId="742FA795"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D2120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0.008%</w:t>
            </w:r>
          </w:p>
        </w:tc>
        <w:tc>
          <w:tcPr>
            <w:tcW w:w="1784" w:type="dxa"/>
            <w:tcBorders>
              <w:top w:val="nil"/>
              <w:left w:val="nil"/>
              <w:bottom w:val="single" w:sz="4" w:space="0" w:color="auto"/>
              <w:right w:val="single" w:sz="8" w:space="0" w:color="auto"/>
            </w:tcBorders>
            <w:shd w:val="clear" w:color="auto" w:fill="auto"/>
            <w:noWrap/>
            <w:vAlign w:val="bottom"/>
            <w:hideMark/>
          </w:tcPr>
          <w:p w14:paraId="6AE4597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0.011%</w:t>
            </w:r>
          </w:p>
        </w:tc>
        <w:tc>
          <w:tcPr>
            <w:tcW w:w="1776" w:type="dxa"/>
            <w:tcBorders>
              <w:top w:val="nil"/>
              <w:left w:val="nil"/>
              <w:bottom w:val="single" w:sz="4" w:space="0" w:color="auto"/>
              <w:right w:val="single" w:sz="8" w:space="0" w:color="auto"/>
            </w:tcBorders>
            <w:shd w:val="clear" w:color="auto" w:fill="auto"/>
            <w:noWrap/>
            <w:vAlign w:val="center"/>
            <w:hideMark/>
          </w:tcPr>
          <w:p w14:paraId="554932D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20-24</w:t>
            </w:r>
          </w:p>
        </w:tc>
      </w:tr>
      <w:tr w:rsidR="0045159B" w:rsidRPr="0045159B" w14:paraId="239EB271"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33D04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36E848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76" w:type="dxa"/>
            <w:tcBorders>
              <w:top w:val="nil"/>
              <w:left w:val="nil"/>
              <w:bottom w:val="single" w:sz="4" w:space="0" w:color="auto"/>
              <w:right w:val="single" w:sz="8" w:space="0" w:color="auto"/>
            </w:tcBorders>
            <w:shd w:val="clear" w:color="auto" w:fill="auto"/>
            <w:noWrap/>
            <w:vAlign w:val="center"/>
            <w:hideMark/>
          </w:tcPr>
          <w:p w14:paraId="0832E59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25-29</w:t>
            </w:r>
          </w:p>
        </w:tc>
      </w:tr>
      <w:tr w:rsidR="0045159B" w:rsidRPr="0045159B" w14:paraId="5FBED03A"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1A3051B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0.017%</w:t>
            </w:r>
          </w:p>
        </w:tc>
        <w:tc>
          <w:tcPr>
            <w:tcW w:w="1784" w:type="dxa"/>
            <w:tcBorders>
              <w:top w:val="nil"/>
              <w:left w:val="nil"/>
              <w:bottom w:val="single" w:sz="4" w:space="0" w:color="auto"/>
              <w:right w:val="single" w:sz="8" w:space="0" w:color="auto"/>
            </w:tcBorders>
            <w:shd w:val="clear" w:color="auto" w:fill="auto"/>
            <w:noWrap/>
            <w:vAlign w:val="bottom"/>
            <w:hideMark/>
          </w:tcPr>
          <w:p w14:paraId="4ABAFFC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0.014%</w:t>
            </w:r>
          </w:p>
        </w:tc>
        <w:tc>
          <w:tcPr>
            <w:tcW w:w="1776" w:type="dxa"/>
            <w:tcBorders>
              <w:top w:val="nil"/>
              <w:left w:val="nil"/>
              <w:bottom w:val="single" w:sz="4" w:space="0" w:color="auto"/>
              <w:right w:val="single" w:sz="8" w:space="0" w:color="auto"/>
            </w:tcBorders>
            <w:shd w:val="clear" w:color="auto" w:fill="auto"/>
            <w:noWrap/>
            <w:vAlign w:val="center"/>
            <w:hideMark/>
          </w:tcPr>
          <w:p w14:paraId="02F3D85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30-34</w:t>
            </w:r>
          </w:p>
        </w:tc>
      </w:tr>
      <w:tr w:rsidR="0045159B" w:rsidRPr="0045159B" w14:paraId="43AEB59C"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64726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0.021%</w:t>
            </w:r>
          </w:p>
        </w:tc>
        <w:tc>
          <w:tcPr>
            <w:tcW w:w="1784" w:type="dxa"/>
            <w:tcBorders>
              <w:top w:val="nil"/>
              <w:left w:val="nil"/>
              <w:bottom w:val="single" w:sz="4" w:space="0" w:color="auto"/>
              <w:right w:val="single" w:sz="8" w:space="0" w:color="auto"/>
            </w:tcBorders>
            <w:shd w:val="clear" w:color="auto" w:fill="auto"/>
            <w:noWrap/>
            <w:vAlign w:val="bottom"/>
            <w:hideMark/>
          </w:tcPr>
          <w:p w14:paraId="6298118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0.016%</w:t>
            </w:r>
          </w:p>
        </w:tc>
        <w:tc>
          <w:tcPr>
            <w:tcW w:w="1776" w:type="dxa"/>
            <w:tcBorders>
              <w:top w:val="nil"/>
              <w:left w:val="nil"/>
              <w:bottom w:val="single" w:sz="4" w:space="0" w:color="auto"/>
              <w:right w:val="single" w:sz="8" w:space="0" w:color="auto"/>
            </w:tcBorders>
            <w:shd w:val="clear" w:color="auto" w:fill="auto"/>
            <w:noWrap/>
            <w:vAlign w:val="center"/>
            <w:hideMark/>
          </w:tcPr>
          <w:p w14:paraId="7EE5746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35-39</w:t>
            </w:r>
          </w:p>
        </w:tc>
      </w:tr>
      <w:tr w:rsidR="0045159B" w:rsidRPr="0045159B" w14:paraId="7AD4122C"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079EBA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0.031%</w:t>
            </w:r>
          </w:p>
        </w:tc>
        <w:tc>
          <w:tcPr>
            <w:tcW w:w="1784" w:type="dxa"/>
            <w:tcBorders>
              <w:top w:val="nil"/>
              <w:left w:val="nil"/>
              <w:bottom w:val="single" w:sz="4" w:space="0" w:color="auto"/>
              <w:right w:val="single" w:sz="8" w:space="0" w:color="auto"/>
            </w:tcBorders>
            <w:shd w:val="clear" w:color="auto" w:fill="auto"/>
            <w:noWrap/>
            <w:vAlign w:val="bottom"/>
            <w:hideMark/>
          </w:tcPr>
          <w:p w14:paraId="00513DA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0.028%</w:t>
            </w:r>
          </w:p>
        </w:tc>
        <w:tc>
          <w:tcPr>
            <w:tcW w:w="1776" w:type="dxa"/>
            <w:tcBorders>
              <w:top w:val="nil"/>
              <w:left w:val="nil"/>
              <w:bottom w:val="single" w:sz="4" w:space="0" w:color="auto"/>
              <w:right w:val="single" w:sz="8" w:space="0" w:color="auto"/>
            </w:tcBorders>
            <w:shd w:val="clear" w:color="auto" w:fill="auto"/>
            <w:noWrap/>
            <w:vAlign w:val="center"/>
            <w:hideMark/>
          </w:tcPr>
          <w:p w14:paraId="47B80CE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40-44</w:t>
            </w:r>
          </w:p>
        </w:tc>
      </w:tr>
      <w:tr w:rsidR="0045159B" w:rsidRPr="0045159B" w14:paraId="23969947"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4CA0DC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0.038%</w:t>
            </w:r>
          </w:p>
        </w:tc>
        <w:tc>
          <w:tcPr>
            <w:tcW w:w="1784" w:type="dxa"/>
            <w:tcBorders>
              <w:top w:val="nil"/>
              <w:left w:val="nil"/>
              <w:bottom w:val="single" w:sz="4" w:space="0" w:color="auto"/>
              <w:right w:val="single" w:sz="8" w:space="0" w:color="auto"/>
            </w:tcBorders>
            <w:shd w:val="clear" w:color="auto" w:fill="auto"/>
            <w:noWrap/>
            <w:vAlign w:val="bottom"/>
            <w:hideMark/>
          </w:tcPr>
          <w:p w14:paraId="468080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0.039%</w:t>
            </w:r>
          </w:p>
        </w:tc>
        <w:tc>
          <w:tcPr>
            <w:tcW w:w="1776" w:type="dxa"/>
            <w:tcBorders>
              <w:top w:val="nil"/>
              <w:left w:val="nil"/>
              <w:bottom w:val="single" w:sz="4" w:space="0" w:color="auto"/>
              <w:right w:val="single" w:sz="8" w:space="0" w:color="auto"/>
            </w:tcBorders>
            <w:shd w:val="clear" w:color="auto" w:fill="auto"/>
            <w:noWrap/>
            <w:vAlign w:val="center"/>
            <w:hideMark/>
          </w:tcPr>
          <w:p w14:paraId="4AC9322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45-49</w:t>
            </w:r>
          </w:p>
        </w:tc>
      </w:tr>
      <w:tr w:rsidR="0045159B" w:rsidRPr="0045159B" w14:paraId="117ED06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38303B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0.115%</w:t>
            </w:r>
          </w:p>
        </w:tc>
        <w:tc>
          <w:tcPr>
            <w:tcW w:w="1784" w:type="dxa"/>
            <w:tcBorders>
              <w:top w:val="nil"/>
              <w:left w:val="nil"/>
              <w:bottom w:val="single" w:sz="4" w:space="0" w:color="auto"/>
              <w:right w:val="single" w:sz="8" w:space="0" w:color="auto"/>
            </w:tcBorders>
            <w:shd w:val="clear" w:color="auto" w:fill="auto"/>
            <w:noWrap/>
            <w:vAlign w:val="bottom"/>
            <w:hideMark/>
          </w:tcPr>
          <w:p w14:paraId="34329C4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0.112%</w:t>
            </w:r>
          </w:p>
        </w:tc>
        <w:tc>
          <w:tcPr>
            <w:tcW w:w="1776" w:type="dxa"/>
            <w:tcBorders>
              <w:top w:val="nil"/>
              <w:left w:val="nil"/>
              <w:bottom w:val="single" w:sz="4" w:space="0" w:color="auto"/>
              <w:right w:val="single" w:sz="8" w:space="0" w:color="auto"/>
            </w:tcBorders>
            <w:shd w:val="clear" w:color="auto" w:fill="auto"/>
            <w:noWrap/>
            <w:vAlign w:val="center"/>
            <w:hideMark/>
          </w:tcPr>
          <w:p w14:paraId="14A177D5"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50-54</w:t>
            </w:r>
          </w:p>
        </w:tc>
      </w:tr>
      <w:tr w:rsidR="0045159B" w:rsidRPr="0045159B" w14:paraId="604146FF"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90E48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0.185%</w:t>
            </w:r>
          </w:p>
        </w:tc>
        <w:tc>
          <w:tcPr>
            <w:tcW w:w="1784" w:type="dxa"/>
            <w:tcBorders>
              <w:top w:val="nil"/>
              <w:left w:val="nil"/>
              <w:bottom w:val="single" w:sz="4" w:space="0" w:color="auto"/>
              <w:right w:val="single" w:sz="8" w:space="0" w:color="auto"/>
            </w:tcBorders>
            <w:shd w:val="clear" w:color="auto" w:fill="auto"/>
            <w:noWrap/>
            <w:vAlign w:val="bottom"/>
            <w:hideMark/>
          </w:tcPr>
          <w:p w14:paraId="44012A9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0.212%</w:t>
            </w:r>
          </w:p>
        </w:tc>
        <w:tc>
          <w:tcPr>
            <w:tcW w:w="1776" w:type="dxa"/>
            <w:tcBorders>
              <w:top w:val="nil"/>
              <w:left w:val="nil"/>
              <w:bottom w:val="single" w:sz="4" w:space="0" w:color="auto"/>
              <w:right w:val="single" w:sz="8" w:space="0" w:color="auto"/>
            </w:tcBorders>
            <w:shd w:val="clear" w:color="auto" w:fill="auto"/>
            <w:noWrap/>
            <w:vAlign w:val="center"/>
            <w:hideMark/>
          </w:tcPr>
          <w:p w14:paraId="7BCC1B5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55-59</w:t>
            </w:r>
          </w:p>
        </w:tc>
      </w:tr>
      <w:tr w:rsidR="0045159B" w:rsidRPr="0045159B" w14:paraId="3E58C4D5"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34D8A9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0.288%</w:t>
            </w:r>
          </w:p>
        </w:tc>
        <w:tc>
          <w:tcPr>
            <w:tcW w:w="1784" w:type="dxa"/>
            <w:tcBorders>
              <w:top w:val="nil"/>
              <w:left w:val="nil"/>
              <w:bottom w:val="single" w:sz="4" w:space="0" w:color="auto"/>
              <w:right w:val="single" w:sz="8" w:space="0" w:color="auto"/>
            </w:tcBorders>
            <w:shd w:val="clear" w:color="auto" w:fill="auto"/>
            <w:noWrap/>
            <w:vAlign w:val="bottom"/>
            <w:hideMark/>
          </w:tcPr>
          <w:p w14:paraId="10CB8B0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0.345%</w:t>
            </w:r>
          </w:p>
        </w:tc>
        <w:tc>
          <w:tcPr>
            <w:tcW w:w="1776" w:type="dxa"/>
            <w:tcBorders>
              <w:top w:val="nil"/>
              <w:left w:val="nil"/>
              <w:bottom w:val="single" w:sz="4" w:space="0" w:color="auto"/>
              <w:right w:val="single" w:sz="8" w:space="0" w:color="auto"/>
            </w:tcBorders>
            <w:shd w:val="clear" w:color="auto" w:fill="auto"/>
            <w:noWrap/>
            <w:vAlign w:val="center"/>
            <w:hideMark/>
          </w:tcPr>
          <w:p w14:paraId="6BA1EEF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60-64</w:t>
            </w:r>
          </w:p>
        </w:tc>
      </w:tr>
      <w:tr w:rsidR="0045159B" w:rsidRPr="0045159B" w14:paraId="16DD011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E83F0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0.616%</w:t>
            </w:r>
          </w:p>
        </w:tc>
        <w:tc>
          <w:tcPr>
            <w:tcW w:w="1784" w:type="dxa"/>
            <w:tcBorders>
              <w:top w:val="nil"/>
              <w:left w:val="nil"/>
              <w:bottom w:val="single" w:sz="4" w:space="0" w:color="auto"/>
              <w:right w:val="single" w:sz="8" w:space="0" w:color="auto"/>
            </w:tcBorders>
            <w:shd w:val="clear" w:color="auto" w:fill="auto"/>
            <w:noWrap/>
            <w:vAlign w:val="bottom"/>
            <w:hideMark/>
          </w:tcPr>
          <w:p w14:paraId="56A3BA8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0.676%</w:t>
            </w:r>
          </w:p>
        </w:tc>
        <w:tc>
          <w:tcPr>
            <w:tcW w:w="1776" w:type="dxa"/>
            <w:tcBorders>
              <w:top w:val="nil"/>
              <w:left w:val="nil"/>
              <w:bottom w:val="single" w:sz="4" w:space="0" w:color="auto"/>
              <w:right w:val="single" w:sz="8" w:space="0" w:color="auto"/>
            </w:tcBorders>
            <w:shd w:val="clear" w:color="auto" w:fill="auto"/>
            <w:noWrap/>
            <w:vAlign w:val="center"/>
            <w:hideMark/>
          </w:tcPr>
          <w:p w14:paraId="6237EF1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65-69</w:t>
            </w:r>
          </w:p>
        </w:tc>
      </w:tr>
      <w:tr w:rsidR="0045159B" w:rsidRPr="0045159B" w14:paraId="1A1F5E0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7802C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1.197%</w:t>
            </w:r>
          </w:p>
        </w:tc>
        <w:tc>
          <w:tcPr>
            <w:tcW w:w="1784" w:type="dxa"/>
            <w:tcBorders>
              <w:top w:val="nil"/>
              <w:left w:val="nil"/>
              <w:bottom w:val="single" w:sz="4" w:space="0" w:color="auto"/>
              <w:right w:val="single" w:sz="8" w:space="0" w:color="auto"/>
            </w:tcBorders>
            <w:shd w:val="clear" w:color="auto" w:fill="auto"/>
            <w:noWrap/>
            <w:vAlign w:val="bottom"/>
            <w:hideMark/>
          </w:tcPr>
          <w:p w14:paraId="4B4811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1.332%</w:t>
            </w:r>
          </w:p>
        </w:tc>
        <w:tc>
          <w:tcPr>
            <w:tcW w:w="1776" w:type="dxa"/>
            <w:tcBorders>
              <w:top w:val="nil"/>
              <w:left w:val="nil"/>
              <w:bottom w:val="single" w:sz="4" w:space="0" w:color="auto"/>
              <w:right w:val="single" w:sz="8" w:space="0" w:color="auto"/>
            </w:tcBorders>
            <w:shd w:val="clear" w:color="auto" w:fill="auto"/>
            <w:noWrap/>
            <w:vAlign w:val="center"/>
            <w:hideMark/>
          </w:tcPr>
          <w:p w14:paraId="26D37A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70-74</w:t>
            </w:r>
          </w:p>
        </w:tc>
      </w:tr>
      <w:tr w:rsidR="0045159B" w:rsidRPr="0045159B" w14:paraId="5D44FB52"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067893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2.889%</w:t>
            </w:r>
          </w:p>
        </w:tc>
        <w:tc>
          <w:tcPr>
            <w:tcW w:w="1784" w:type="dxa"/>
            <w:tcBorders>
              <w:top w:val="nil"/>
              <w:left w:val="nil"/>
              <w:bottom w:val="single" w:sz="4" w:space="0" w:color="auto"/>
              <w:right w:val="single" w:sz="8" w:space="0" w:color="auto"/>
            </w:tcBorders>
            <w:shd w:val="clear" w:color="auto" w:fill="auto"/>
            <w:noWrap/>
            <w:vAlign w:val="bottom"/>
            <w:hideMark/>
          </w:tcPr>
          <w:p w14:paraId="5F07C5D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2.651%</w:t>
            </w:r>
          </w:p>
        </w:tc>
        <w:tc>
          <w:tcPr>
            <w:tcW w:w="1776" w:type="dxa"/>
            <w:tcBorders>
              <w:top w:val="nil"/>
              <w:left w:val="nil"/>
              <w:bottom w:val="single" w:sz="4" w:space="0" w:color="auto"/>
              <w:right w:val="single" w:sz="8" w:space="0" w:color="auto"/>
            </w:tcBorders>
            <w:shd w:val="clear" w:color="auto" w:fill="auto"/>
            <w:noWrap/>
            <w:vAlign w:val="center"/>
            <w:hideMark/>
          </w:tcPr>
          <w:p w14:paraId="483CBDAA"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75-79</w:t>
            </w:r>
          </w:p>
        </w:tc>
      </w:tr>
      <w:tr w:rsidR="0045159B" w:rsidRPr="0045159B" w14:paraId="4E39C956"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A6A6D7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5.753%</w:t>
            </w:r>
          </w:p>
        </w:tc>
        <w:tc>
          <w:tcPr>
            <w:tcW w:w="1784" w:type="dxa"/>
            <w:tcBorders>
              <w:top w:val="nil"/>
              <w:left w:val="nil"/>
              <w:bottom w:val="single" w:sz="4" w:space="0" w:color="auto"/>
              <w:right w:val="single" w:sz="8" w:space="0" w:color="auto"/>
            </w:tcBorders>
            <w:shd w:val="clear" w:color="auto" w:fill="auto"/>
            <w:noWrap/>
            <w:vAlign w:val="bottom"/>
            <w:hideMark/>
          </w:tcPr>
          <w:p w14:paraId="1FF5CDD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5.097%</w:t>
            </w:r>
          </w:p>
        </w:tc>
        <w:tc>
          <w:tcPr>
            <w:tcW w:w="1776" w:type="dxa"/>
            <w:tcBorders>
              <w:top w:val="nil"/>
              <w:left w:val="nil"/>
              <w:bottom w:val="single" w:sz="4" w:space="0" w:color="auto"/>
              <w:right w:val="single" w:sz="8" w:space="0" w:color="auto"/>
            </w:tcBorders>
            <w:shd w:val="clear" w:color="auto" w:fill="auto"/>
            <w:noWrap/>
            <w:vAlign w:val="center"/>
            <w:hideMark/>
          </w:tcPr>
          <w:p w14:paraId="33E75F2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80-84</w:t>
            </w:r>
          </w:p>
        </w:tc>
      </w:tr>
      <w:tr w:rsidR="0045159B" w:rsidRPr="0045159B" w14:paraId="05947616"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19EDB9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10.690%</w:t>
            </w:r>
          </w:p>
        </w:tc>
        <w:tc>
          <w:tcPr>
            <w:tcW w:w="1784" w:type="dxa"/>
            <w:tcBorders>
              <w:top w:val="nil"/>
              <w:left w:val="nil"/>
              <w:bottom w:val="single" w:sz="4" w:space="0" w:color="auto"/>
              <w:right w:val="single" w:sz="8" w:space="0" w:color="auto"/>
            </w:tcBorders>
            <w:shd w:val="clear" w:color="auto" w:fill="auto"/>
            <w:noWrap/>
            <w:vAlign w:val="bottom"/>
            <w:hideMark/>
          </w:tcPr>
          <w:p w14:paraId="4FE8409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9.439%</w:t>
            </w:r>
          </w:p>
        </w:tc>
        <w:tc>
          <w:tcPr>
            <w:tcW w:w="1776" w:type="dxa"/>
            <w:tcBorders>
              <w:top w:val="nil"/>
              <w:left w:val="nil"/>
              <w:bottom w:val="single" w:sz="4" w:space="0" w:color="auto"/>
              <w:right w:val="single" w:sz="8" w:space="0" w:color="auto"/>
            </w:tcBorders>
            <w:shd w:val="clear" w:color="auto" w:fill="auto"/>
            <w:noWrap/>
            <w:vAlign w:val="center"/>
            <w:hideMark/>
          </w:tcPr>
          <w:p w14:paraId="1C01A14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85-89</w:t>
            </w:r>
          </w:p>
        </w:tc>
      </w:tr>
      <w:tr w:rsidR="00915A01" w:rsidRPr="0045159B" w14:paraId="188BC90D"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tcPr>
          <w:p w14:paraId="3DDCF583" w14:textId="682B61FE"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16.695%</w:t>
            </w:r>
          </w:p>
        </w:tc>
        <w:tc>
          <w:tcPr>
            <w:tcW w:w="1784" w:type="dxa"/>
            <w:tcBorders>
              <w:top w:val="nil"/>
              <w:left w:val="nil"/>
              <w:bottom w:val="single" w:sz="4" w:space="0" w:color="auto"/>
              <w:right w:val="single" w:sz="8" w:space="0" w:color="auto"/>
            </w:tcBorders>
            <w:shd w:val="clear" w:color="auto" w:fill="auto"/>
            <w:noWrap/>
            <w:vAlign w:val="bottom"/>
          </w:tcPr>
          <w:p w14:paraId="60C37456" w14:textId="3D093D69"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15.025%</w:t>
            </w:r>
          </w:p>
        </w:tc>
        <w:tc>
          <w:tcPr>
            <w:tcW w:w="1776" w:type="dxa"/>
            <w:tcBorders>
              <w:top w:val="nil"/>
              <w:left w:val="nil"/>
              <w:bottom w:val="single" w:sz="4" w:space="0" w:color="auto"/>
              <w:right w:val="single" w:sz="8" w:space="0" w:color="auto"/>
            </w:tcBorders>
            <w:shd w:val="clear" w:color="auto" w:fill="auto"/>
            <w:noWrap/>
            <w:vAlign w:val="center"/>
          </w:tcPr>
          <w:p w14:paraId="4552E79A" w14:textId="75444C79" w:rsidR="00915A01" w:rsidRPr="00915A01" w:rsidRDefault="00915A01" w:rsidP="00915A01">
            <w:pPr>
              <w:overflowPunct w:val="0"/>
              <w:autoSpaceDE w:val="0"/>
              <w:autoSpaceDN w:val="0"/>
              <w:bidi w:val="0"/>
              <w:adjustRightInd w:val="0"/>
              <w:jc w:val="center"/>
              <w:textAlignment w:val="baseline"/>
              <w:rPr>
                <w:rFonts w:ascii="Arial" w:hAnsi="Arial" w:cs="Arial"/>
                <w:b/>
                <w:bCs/>
                <w:color w:val="000000"/>
                <w:sz w:val="20"/>
                <w:szCs w:val="14"/>
              </w:rPr>
            </w:pPr>
            <w:r w:rsidRPr="00915A01">
              <w:rPr>
                <w:rFonts w:ascii="Arial" w:hAnsi="Arial" w:cs="Arial"/>
                <w:b/>
                <w:bCs/>
                <w:color w:val="000000"/>
                <w:sz w:val="20"/>
                <w:szCs w:val="14"/>
              </w:rPr>
              <w:t>90-94</w:t>
            </w:r>
          </w:p>
        </w:tc>
      </w:tr>
      <w:tr w:rsidR="00915A01" w:rsidRPr="0045159B" w14:paraId="279BDF34" w14:textId="77777777" w:rsidTr="0045159B">
        <w:trPr>
          <w:trHeight w:val="356"/>
          <w:jc w:val="center"/>
        </w:trPr>
        <w:tc>
          <w:tcPr>
            <w:tcW w:w="1784" w:type="dxa"/>
            <w:tcBorders>
              <w:top w:val="nil"/>
              <w:left w:val="single" w:sz="8" w:space="0" w:color="auto"/>
              <w:bottom w:val="single" w:sz="8" w:space="0" w:color="auto"/>
              <w:right w:val="single" w:sz="4" w:space="0" w:color="auto"/>
            </w:tcBorders>
            <w:shd w:val="clear" w:color="auto" w:fill="auto"/>
            <w:noWrap/>
            <w:vAlign w:val="bottom"/>
            <w:hideMark/>
          </w:tcPr>
          <w:p w14:paraId="2B82EF4D" w14:textId="45AE8DB6"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18.700%</w:t>
            </w:r>
          </w:p>
        </w:tc>
        <w:tc>
          <w:tcPr>
            <w:tcW w:w="1784" w:type="dxa"/>
            <w:tcBorders>
              <w:top w:val="nil"/>
              <w:left w:val="nil"/>
              <w:bottom w:val="single" w:sz="8" w:space="0" w:color="auto"/>
              <w:right w:val="single" w:sz="8" w:space="0" w:color="auto"/>
            </w:tcBorders>
            <w:shd w:val="clear" w:color="auto" w:fill="auto"/>
            <w:noWrap/>
            <w:vAlign w:val="bottom"/>
            <w:hideMark/>
          </w:tcPr>
          <w:p w14:paraId="5923377C" w14:textId="36870987"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18.515%</w:t>
            </w:r>
          </w:p>
        </w:tc>
        <w:tc>
          <w:tcPr>
            <w:tcW w:w="1776" w:type="dxa"/>
            <w:tcBorders>
              <w:top w:val="nil"/>
              <w:left w:val="nil"/>
              <w:bottom w:val="single" w:sz="8" w:space="0" w:color="auto"/>
              <w:right w:val="single" w:sz="8" w:space="0" w:color="auto"/>
            </w:tcBorders>
            <w:shd w:val="clear" w:color="auto" w:fill="auto"/>
            <w:noWrap/>
            <w:vAlign w:val="center"/>
            <w:hideMark/>
          </w:tcPr>
          <w:p w14:paraId="37147A12" w14:textId="167474AF" w:rsidR="00915A01" w:rsidRPr="00915A01" w:rsidRDefault="00915A01" w:rsidP="00915A01">
            <w:pPr>
              <w:overflowPunct w:val="0"/>
              <w:autoSpaceDE w:val="0"/>
              <w:autoSpaceDN w:val="0"/>
              <w:bidi w:val="0"/>
              <w:adjustRightInd w:val="0"/>
              <w:jc w:val="center"/>
              <w:textAlignment w:val="baseline"/>
              <w:rPr>
                <w:rFonts w:ascii="Arial" w:hAnsi="Arial" w:cs="Arial"/>
                <w:b/>
                <w:bCs/>
                <w:color w:val="000000"/>
                <w:sz w:val="20"/>
                <w:szCs w:val="14"/>
              </w:rPr>
            </w:pPr>
            <w:r w:rsidRPr="00915A01">
              <w:rPr>
                <w:rFonts w:ascii="Arial" w:hAnsi="Arial" w:cs="Arial"/>
                <w:b/>
                <w:bCs/>
                <w:color w:val="000000"/>
                <w:sz w:val="20"/>
                <w:szCs w:val="14"/>
              </w:rPr>
              <w:t>95+</w:t>
            </w:r>
          </w:p>
        </w:tc>
      </w:tr>
    </w:tbl>
    <w:p w14:paraId="21CE9F7D"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EC950D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5C2ECDB9"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A9723F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634AF0C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4D03D16B"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2685C885"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56A573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BA04B4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1F7466C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4F9738BB"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7683B5E"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4BA726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2FC3603D"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54FCC03" w14:textId="49F35C86" w:rsid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18316516" w14:textId="76E792F7" w:rsidR="005F26D0" w:rsidRDefault="005F26D0" w:rsidP="0045159B">
      <w:pPr>
        <w:overflowPunct w:val="0"/>
        <w:autoSpaceDE w:val="0"/>
        <w:autoSpaceDN w:val="0"/>
        <w:adjustRightInd w:val="0"/>
        <w:spacing w:line="360" w:lineRule="auto"/>
        <w:textAlignment w:val="baseline"/>
        <w:rPr>
          <w:rFonts w:ascii="David" w:hAnsi="David" w:cs="David"/>
          <w:sz w:val="24"/>
          <w:szCs w:val="24"/>
          <w:rtl/>
        </w:rPr>
      </w:pPr>
    </w:p>
    <w:p w14:paraId="2CFDF2F6" w14:textId="77777777" w:rsidR="005F26D0" w:rsidRPr="0045159B" w:rsidRDefault="005F26D0" w:rsidP="0045159B">
      <w:pPr>
        <w:overflowPunct w:val="0"/>
        <w:autoSpaceDE w:val="0"/>
        <w:autoSpaceDN w:val="0"/>
        <w:adjustRightInd w:val="0"/>
        <w:spacing w:line="360" w:lineRule="auto"/>
        <w:textAlignment w:val="baseline"/>
        <w:rPr>
          <w:rFonts w:ascii="David" w:hAnsi="David" w:cs="David"/>
          <w:sz w:val="24"/>
          <w:szCs w:val="24"/>
          <w:rtl/>
        </w:rPr>
      </w:pPr>
    </w:p>
    <w:p w14:paraId="115296B7" w14:textId="77777777"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שיעורי</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הפסקת</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תשלום</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הקצבה</w:t>
      </w:r>
      <w:r w:rsidRPr="0045159B">
        <w:rPr>
          <w:rFonts w:ascii="David" w:eastAsiaTheme="minorHAnsi" w:hAnsi="David" w:cs="David"/>
          <w:b/>
          <w:bCs/>
          <w:sz w:val="24"/>
          <w:szCs w:val="24"/>
          <w:rtl/>
          <w:lang w:eastAsia="en-US"/>
        </w:rPr>
        <w:t xml:space="preserve"> לפי קבוצות גיל והזמן שחלף מהתביעה (שנתי)</w:t>
      </w:r>
    </w:p>
    <w:p w14:paraId="286C9544" w14:textId="77777777" w:rsidR="0045159B" w:rsidRPr="0045159B" w:rsidRDefault="0045159B" w:rsidP="0045159B">
      <w:pPr>
        <w:numPr>
          <w:ilvl w:val="0"/>
          <w:numId w:val="26"/>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גברים:</w:t>
      </w:r>
      <w:r w:rsidRPr="0045159B">
        <w:rPr>
          <w:rFonts w:ascii="David" w:eastAsiaTheme="minorHAnsi" w:hAnsi="David" w:cs="David"/>
          <w:b/>
          <w:bCs/>
          <w:sz w:val="24"/>
          <w:szCs w:val="24"/>
          <w:rtl/>
          <w:lang w:eastAsia="en-US"/>
        </w:rPr>
        <w:t xml:space="preserve"> </w:t>
      </w:r>
    </w:p>
    <w:tbl>
      <w:tblPr>
        <w:tblpPr w:leftFromText="180" w:rightFromText="180" w:vertAnchor="text" w:horzAnchor="margin" w:tblpXSpec="center" w:tblpY="177"/>
        <w:bidiVisual/>
        <w:tblW w:w="108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
        <w:gridCol w:w="895"/>
        <w:gridCol w:w="895"/>
        <w:gridCol w:w="895"/>
        <w:gridCol w:w="895"/>
        <w:gridCol w:w="895"/>
        <w:gridCol w:w="895"/>
        <w:gridCol w:w="895"/>
        <w:gridCol w:w="895"/>
        <w:gridCol w:w="895"/>
        <w:gridCol w:w="895"/>
        <w:gridCol w:w="895"/>
      </w:tblGrid>
      <w:tr w:rsidR="0045159B" w:rsidRPr="0045159B" w14:paraId="3825B3A7" w14:textId="77777777" w:rsidTr="0045159B">
        <w:trPr>
          <w:trHeight w:val="506"/>
        </w:trPr>
        <w:tc>
          <w:tcPr>
            <w:tcW w:w="962" w:type="dxa"/>
            <w:shd w:val="clear" w:color="auto" w:fill="auto"/>
            <w:vAlign w:val="bottom"/>
            <w:hideMark/>
          </w:tcPr>
          <w:p w14:paraId="68A720AD" w14:textId="77777777" w:rsidR="0045159B" w:rsidRPr="0045159B" w:rsidRDefault="0045159B" w:rsidP="0045159B">
            <w:pPr>
              <w:overflowPunct w:val="0"/>
              <w:autoSpaceDE w:val="0"/>
              <w:autoSpaceDN w:val="0"/>
              <w:adjustRightInd w:val="0"/>
              <w:jc w:val="right"/>
              <w:textAlignment w:val="baseline"/>
              <w:rPr>
                <w:rFonts w:ascii="Arial" w:hAnsi="Arial" w:cs="Arial"/>
                <w:b/>
                <w:bCs/>
                <w:color w:val="000000"/>
                <w:sz w:val="20"/>
                <w:szCs w:val="20"/>
              </w:rPr>
            </w:pPr>
            <w:r w:rsidRPr="0045159B">
              <w:rPr>
                <w:rFonts w:ascii="Arial" w:hAnsi="Arial" w:cs="Arial"/>
                <w:b/>
                <w:bCs/>
                <w:color w:val="000000"/>
                <w:sz w:val="20"/>
                <w:szCs w:val="20"/>
                <w:rtl/>
              </w:rPr>
              <w:t>קבוצת גיל/ שנה</w:t>
            </w:r>
          </w:p>
        </w:tc>
        <w:tc>
          <w:tcPr>
            <w:tcW w:w="895" w:type="dxa"/>
            <w:shd w:val="clear" w:color="auto" w:fill="auto"/>
            <w:noWrap/>
            <w:vAlign w:val="center"/>
            <w:hideMark/>
          </w:tcPr>
          <w:p w14:paraId="6E9D77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tl/>
              </w:rPr>
            </w:pPr>
            <w:r w:rsidRPr="0045159B">
              <w:rPr>
                <w:rFonts w:ascii="Arial" w:hAnsi="Arial" w:cs="Arial"/>
                <w:b/>
                <w:bCs/>
                <w:color w:val="000000"/>
                <w:sz w:val="20"/>
                <w:szCs w:val="20"/>
              </w:rPr>
              <w:t>5-9</w:t>
            </w:r>
          </w:p>
        </w:tc>
        <w:tc>
          <w:tcPr>
            <w:tcW w:w="895" w:type="dxa"/>
            <w:shd w:val="clear" w:color="auto" w:fill="auto"/>
            <w:noWrap/>
            <w:vAlign w:val="center"/>
            <w:hideMark/>
          </w:tcPr>
          <w:p w14:paraId="2A0E61DE"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c>
          <w:tcPr>
            <w:tcW w:w="895" w:type="dxa"/>
            <w:shd w:val="clear" w:color="auto" w:fill="auto"/>
            <w:noWrap/>
            <w:vAlign w:val="center"/>
            <w:hideMark/>
          </w:tcPr>
          <w:p w14:paraId="04CD3F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c>
          <w:tcPr>
            <w:tcW w:w="895" w:type="dxa"/>
            <w:shd w:val="clear" w:color="auto" w:fill="auto"/>
            <w:noWrap/>
            <w:vAlign w:val="center"/>
            <w:hideMark/>
          </w:tcPr>
          <w:p w14:paraId="5119CBA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c>
          <w:tcPr>
            <w:tcW w:w="895" w:type="dxa"/>
            <w:shd w:val="clear" w:color="auto" w:fill="auto"/>
            <w:noWrap/>
            <w:vAlign w:val="center"/>
            <w:hideMark/>
          </w:tcPr>
          <w:p w14:paraId="65A7734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c>
          <w:tcPr>
            <w:tcW w:w="895" w:type="dxa"/>
            <w:shd w:val="clear" w:color="auto" w:fill="auto"/>
            <w:noWrap/>
            <w:vAlign w:val="center"/>
            <w:hideMark/>
          </w:tcPr>
          <w:p w14:paraId="63FD626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c>
          <w:tcPr>
            <w:tcW w:w="895" w:type="dxa"/>
            <w:shd w:val="clear" w:color="auto" w:fill="auto"/>
            <w:noWrap/>
            <w:vAlign w:val="center"/>
            <w:hideMark/>
          </w:tcPr>
          <w:p w14:paraId="0AB5B2F6"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c>
          <w:tcPr>
            <w:tcW w:w="895" w:type="dxa"/>
            <w:shd w:val="clear" w:color="auto" w:fill="auto"/>
            <w:noWrap/>
            <w:vAlign w:val="center"/>
            <w:hideMark/>
          </w:tcPr>
          <w:p w14:paraId="779F4627"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c>
          <w:tcPr>
            <w:tcW w:w="895" w:type="dxa"/>
            <w:shd w:val="clear" w:color="auto" w:fill="auto"/>
            <w:noWrap/>
            <w:vAlign w:val="center"/>
            <w:hideMark/>
          </w:tcPr>
          <w:p w14:paraId="34534E9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c>
          <w:tcPr>
            <w:tcW w:w="895" w:type="dxa"/>
            <w:vAlign w:val="center"/>
          </w:tcPr>
          <w:p w14:paraId="7AFBAE0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90-94</w:t>
            </w:r>
          </w:p>
        </w:tc>
        <w:tc>
          <w:tcPr>
            <w:tcW w:w="895" w:type="dxa"/>
            <w:shd w:val="clear" w:color="auto" w:fill="auto"/>
            <w:noWrap/>
            <w:vAlign w:val="center"/>
            <w:hideMark/>
          </w:tcPr>
          <w:p w14:paraId="2450504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95+</w:t>
            </w:r>
          </w:p>
        </w:tc>
      </w:tr>
      <w:tr w:rsidR="0045159B" w:rsidRPr="0045159B" w14:paraId="7F415B13" w14:textId="77777777" w:rsidTr="0045159B">
        <w:trPr>
          <w:trHeight w:val="253"/>
        </w:trPr>
        <w:tc>
          <w:tcPr>
            <w:tcW w:w="962" w:type="dxa"/>
            <w:shd w:val="clear" w:color="auto" w:fill="auto"/>
            <w:noWrap/>
            <w:vAlign w:val="bottom"/>
            <w:hideMark/>
          </w:tcPr>
          <w:p w14:paraId="1969D60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w:t>
            </w:r>
          </w:p>
        </w:tc>
        <w:tc>
          <w:tcPr>
            <w:tcW w:w="895" w:type="dxa"/>
            <w:shd w:val="clear" w:color="000000" w:fill="E2EFDA"/>
            <w:noWrap/>
            <w:vAlign w:val="bottom"/>
            <w:hideMark/>
          </w:tcPr>
          <w:p w14:paraId="0C45760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28.2%</w:t>
            </w:r>
          </w:p>
        </w:tc>
        <w:tc>
          <w:tcPr>
            <w:tcW w:w="895" w:type="dxa"/>
            <w:shd w:val="clear" w:color="000000" w:fill="E2EFDA"/>
            <w:noWrap/>
            <w:vAlign w:val="bottom"/>
            <w:hideMark/>
          </w:tcPr>
          <w:p w14:paraId="5FCDEB6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42.0%</w:t>
            </w:r>
          </w:p>
        </w:tc>
        <w:tc>
          <w:tcPr>
            <w:tcW w:w="895" w:type="dxa"/>
            <w:shd w:val="clear" w:color="000000" w:fill="E2EFDA"/>
            <w:noWrap/>
            <w:vAlign w:val="bottom"/>
            <w:hideMark/>
          </w:tcPr>
          <w:p w14:paraId="79CD51E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42.0%</w:t>
            </w:r>
          </w:p>
        </w:tc>
        <w:tc>
          <w:tcPr>
            <w:tcW w:w="895" w:type="dxa"/>
            <w:shd w:val="clear" w:color="000000" w:fill="E2EFDA"/>
            <w:noWrap/>
            <w:vAlign w:val="bottom"/>
            <w:hideMark/>
          </w:tcPr>
          <w:p w14:paraId="54CB98D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40.8%</w:t>
            </w:r>
          </w:p>
        </w:tc>
        <w:tc>
          <w:tcPr>
            <w:tcW w:w="895" w:type="dxa"/>
            <w:shd w:val="clear" w:color="000000" w:fill="E2EFDA"/>
            <w:noWrap/>
            <w:vAlign w:val="bottom"/>
            <w:hideMark/>
          </w:tcPr>
          <w:p w14:paraId="21B3DB4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40.8%</w:t>
            </w:r>
          </w:p>
        </w:tc>
        <w:tc>
          <w:tcPr>
            <w:tcW w:w="895" w:type="dxa"/>
            <w:shd w:val="clear" w:color="000000" w:fill="E2EFDA"/>
            <w:noWrap/>
            <w:vAlign w:val="bottom"/>
            <w:hideMark/>
          </w:tcPr>
          <w:p w14:paraId="0BF11FB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40.3%</w:t>
            </w:r>
          </w:p>
        </w:tc>
        <w:tc>
          <w:tcPr>
            <w:tcW w:w="895" w:type="dxa"/>
            <w:shd w:val="clear" w:color="000000" w:fill="E2EFDA"/>
            <w:noWrap/>
            <w:vAlign w:val="bottom"/>
            <w:hideMark/>
          </w:tcPr>
          <w:p w14:paraId="3C59B9C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38.6%</w:t>
            </w:r>
          </w:p>
        </w:tc>
        <w:tc>
          <w:tcPr>
            <w:tcW w:w="895" w:type="dxa"/>
            <w:shd w:val="clear" w:color="000000" w:fill="E2EFDA"/>
            <w:noWrap/>
            <w:vAlign w:val="bottom"/>
            <w:hideMark/>
          </w:tcPr>
          <w:p w14:paraId="593886B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31.3%</w:t>
            </w:r>
          </w:p>
        </w:tc>
        <w:tc>
          <w:tcPr>
            <w:tcW w:w="895" w:type="dxa"/>
            <w:shd w:val="clear" w:color="000000" w:fill="E2EFDA"/>
            <w:noWrap/>
            <w:vAlign w:val="bottom"/>
            <w:hideMark/>
          </w:tcPr>
          <w:p w14:paraId="6894231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27.4%</w:t>
            </w:r>
          </w:p>
        </w:tc>
        <w:tc>
          <w:tcPr>
            <w:tcW w:w="895" w:type="dxa"/>
            <w:shd w:val="clear" w:color="000000" w:fill="E2EFDA"/>
            <w:vAlign w:val="bottom"/>
          </w:tcPr>
          <w:p w14:paraId="161428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29.4%</w:t>
            </w:r>
          </w:p>
        </w:tc>
        <w:tc>
          <w:tcPr>
            <w:tcW w:w="895" w:type="dxa"/>
            <w:shd w:val="clear" w:color="000000" w:fill="E2EFDA"/>
            <w:noWrap/>
            <w:vAlign w:val="bottom"/>
            <w:hideMark/>
          </w:tcPr>
          <w:p w14:paraId="1E640C8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34.3%</w:t>
            </w:r>
          </w:p>
        </w:tc>
      </w:tr>
      <w:tr w:rsidR="0045159B" w:rsidRPr="0045159B" w14:paraId="3A6A8FF1" w14:textId="77777777" w:rsidTr="0045159B">
        <w:trPr>
          <w:trHeight w:val="253"/>
        </w:trPr>
        <w:tc>
          <w:tcPr>
            <w:tcW w:w="962" w:type="dxa"/>
            <w:shd w:val="clear" w:color="auto" w:fill="auto"/>
            <w:noWrap/>
            <w:vAlign w:val="bottom"/>
            <w:hideMark/>
          </w:tcPr>
          <w:p w14:paraId="094FE56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w:t>
            </w:r>
          </w:p>
        </w:tc>
        <w:tc>
          <w:tcPr>
            <w:tcW w:w="895" w:type="dxa"/>
            <w:shd w:val="clear" w:color="000000" w:fill="E2EFDA"/>
            <w:noWrap/>
            <w:vAlign w:val="bottom"/>
            <w:hideMark/>
          </w:tcPr>
          <w:p w14:paraId="5920AA3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10.0%</w:t>
            </w:r>
          </w:p>
        </w:tc>
        <w:tc>
          <w:tcPr>
            <w:tcW w:w="895" w:type="dxa"/>
            <w:shd w:val="clear" w:color="000000" w:fill="E2EFDA"/>
            <w:noWrap/>
            <w:vAlign w:val="bottom"/>
            <w:hideMark/>
          </w:tcPr>
          <w:p w14:paraId="552EB4E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7.4%</w:t>
            </w:r>
          </w:p>
        </w:tc>
        <w:tc>
          <w:tcPr>
            <w:tcW w:w="895" w:type="dxa"/>
            <w:shd w:val="clear" w:color="000000" w:fill="E2EFDA"/>
            <w:noWrap/>
            <w:vAlign w:val="bottom"/>
            <w:hideMark/>
          </w:tcPr>
          <w:p w14:paraId="7BDDFEB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7.4%</w:t>
            </w:r>
          </w:p>
        </w:tc>
        <w:tc>
          <w:tcPr>
            <w:tcW w:w="895" w:type="dxa"/>
            <w:shd w:val="clear" w:color="000000" w:fill="E2EFDA"/>
            <w:noWrap/>
            <w:vAlign w:val="bottom"/>
            <w:hideMark/>
          </w:tcPr>
          <w:p w14:paraId="0E81B0A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16.1%</w:t>
            </w:r>
          </w:p>
        </w:tc>
        <w:tc>
          <w:tcPr>
            <w:tcW w:w="895" w:type="dxa"/>
            <w:shd w:val="clear" w:color="000000" w:fill="E2EFDA"/>
            <w:noWrap/>
            <w:vAlign w:val="bottom"/>
            <w:hideMark/>
          </w:tcPr>
          <w:p w14:paraId="206318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16.1%</w:t>
            </w:r>
          </w:p>
        </w:tc>
        <w:tc>
          <w:tcPr>
            <w:tcW w:w="895" w:type="dxa"/>
            <w:shd w:val="clear" w:color="000000" w:fill="E2EFDA"/>
            <w:noWrap/>
            <w:vAlign w:val="bottom"/>
            <w:hideMark/>
          </w:tcPr>
          <w:p w14:paraId="14B8E03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14.9%</w:t>
            </w:r>
          </w:p>
        </w:tc>
        <w:tc>
          <w:tcPr>
            <w:tcW w:w="895" w:type="dxa"/>
            <w:shd w:val="clear" w:color="000000" w:fill="E2EFDA"/>
            <w:noWrap/>
            <w:vAlign w:val="bottom"/>
            <w:hideMark/>
          </w:tcPr>
          <w:p w14:paraId="137EF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17.4%</w:t>
            </w:r>
          </w:p>
        </w:tc>
        <w:tc>
          <w:tcPr>
            <w:tcW w:w="895" w:type="dxa"/>
            <w:shd w:val="clear" w:color="000000" w:fill="E2EFDA"/>
            <w:noWrap/>
            <w:vAlign w:val="bottom"/>
            <w:hideMark/>
          </w:tcPr>
          <w:p w14:paraId="0984E19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18.8%</w:t>
            </w:r>
          </w:p>
        </w:tc>
        <w:tc>
          <w:tcPr>
            <w:tcW w:w="895" w:type="dxa"/>
            <w:shd w:val="clear" w:color="000000" w:fill="E2EFDA"/>
            <w:noWrap/>
            <w:vAlign w:val="bottom"/>
            <w:hideMark/>
          </w:tcPr>
          <w:p w14:paraId="49CFD6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22.4%</w:t>
            </w:r>
          </w:p>
        </w:tc>
        <w:tc>
          <w:tcPr>
            <w:tcW w:w="895" w:type="dxa"/>
            <w:shd w:val="clear" w:color="000000" w:fill="E2EFDA"/>
            <w:vAlign w:val="bottom"/>
          </w:tcPr>
          <w:p w14:paraId="4566672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24.9%</w:t>
            </w:r>
          </w:p>
        </w:tc>
        <w:tc>
          <w:tcPr>
            <w:tcW w:w="895" w:type="dxa"/>
            <w:shd w:val="clear" w:color="000000" w:fill="E2EFDA"/>
            <w:noWrap/>
            <w:vAlign w:val="bottom"/>
            <w:hideMark/>
          </w:tcPr>
          <w:p w14:paraId="049099D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29.6%</w:t>
            </w:r>
          </w:p>
        </w:tc>
      </w:tr>
      <w:tr w:rsidR="0045159B" w:rsidRPr="0045159B" w14:paraId="40943B7C" w14:textId="77777777" w:rsidTr="0045159B">
        <w:trPr>
          <w:trHeight w:val="253"/>
        </w:trPr>
        <w:tc>
          <w:tcPr>
            <w:tcW w:w="962" w:type="dxa"/>
            <w:shd w:val="clear" w:color="auto" w:fill="auto"/>
            <w:noWrap/>
            <w:vAlign w:val="bottom"/>
            <w:hideMark/>
          </w:tcPr>
          <w:p w14:paraId="2520EB4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3</w:t>
            </w:r>
          </w:p>
        </w:tc>
        <w:tc>
          <w:tcPr>
            <w:tcW w:w="895" w:type="dxa"/>
            <w:shd w:val="clear" w:color="000000" w:fill="E2EFDA"/>
            <w:noWrap/>
            <w:vAlign w:val="bottom"/>
            <w:hideMark/>
          </w:tcPr>
          <w:p w14:paraId="7AEF4E7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4.4%</w:t>
            </w:r>
          </w:p>
        </w:tc>
        <w:tc>
          <w:tcPr>
            <w:tcW w:w="895" w:type="dxa"/>
            <w:shd w:val="clear" w:color="000000" w:fill="E2EFDA"/>
            <w:noWrap/>
            <w:vAlign w:val="bottom"/>
            <w:hideMark/>
          </w:tcPr>
          <w:p w14:paraId="49A1601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5.3%</w:t>
            </w:r>
          </w:p>
        </w:tc>
        <w:tc>
          <w:tcPr>
            <w:tcW w:w="895" w:type="dxa"/>
            <w:shd w:val="clear" w:color="000000" w:fill="E2EFDA"/>
            <w:noWrap/>
            <w:vAlign w:val="bottom"/>
            <w:hideMark/>
          </w:tcPr>
          <w:p w14:paraId="4EEFB21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5.3%</w:t>
            </w:r>
          </w:p>
        </w:tc>
        <w:tc>
          <w:tcPr>
            <w:tcW w:w="895" w:type="dxa"/>
            <w:shd w:val="clear" w:color="000000" w:fill="E2EFDA"/>
            <w:noWrap/>
            <w:vAlign w:val="bottom"/>
            <w:hideMark/>
          </w:tcPr>
          <w:p w14:paraId="5C8EDEA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11.3%</w:t>
            </w:r>
          </w:p>
        </w:tc>
        <w:tc>
          <w:tcPr>
            <w:tcW w:w="895" w:type="dxa"/>
            <w:shd w:val="clear" w:color="000000" w:fill="E2EFDA"/>
            <w:noWrap/>
            <w:vAlign w:val="bottom"/>
            <w:hideMark/>
          </w:tcPr>
          <w:p w14:paraId="6FFFF05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11.3%</w:t>
            </w:r>
          </w:p>
        </w:tc>
        <w:tc>
          <w:tcPr>
            <w:tcW w:w="895" w:type="dxa"/>
            <w:shd w:val="clear" w:color="000000" w:fill="E2EFDA"/>
            <w:noWrap/>
            <w:vAlign w:val="bottom"/>
            <w:hideMark/>
          </w:tcPr>
          <w:p w14:paraId="48B47E1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13.4%</w:t>
            </w:r>
          </w:p>
        </w:tc>
        <w:tc>
          <w:tcPr>
            <w:tcW w:w="895" w:type="dxa"/>
            <w:shd w:val="clear" w:color="000000" w:fill="E2EFDA"/>
            <w:noWrap/>
            <w:vAlign w:val="bottom"/>
            <w:hideMark/>
          </w:tcPr>
          <w:p w14:paraId="4F55363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14.4%</w:t>
            </w:r>
          </w:p>
        </w:tc>
        <w:tc>
          <w:tcPr>
            <w:tcW w:w="895" w:type="dxa"/>
            <w:shd w:val="clear" w:color="000000" w:fill="E2EFDA"/>
            <w:noWrap/>
            <w:vAlign w:val="bottom"/>
            <w:hideMark/>
          </w:tcPr>
          <w:p w14:paraId="130D558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18.2%</w:t>
            </w:r>
          </w:p>
        </w:tc>
        <w:tc>
          <w:tcPr>
            <w:tcW w:w="895" w:type="dxa"/>
            <w:shd w:val="clear" w:color="000000" w:fill="E2EFDA"/>
            <w:noWrap/>
            <w:vAlign w:val="bottom"/>
            <w:hideMark/>
          </w:tcPr>
          <w:p w14:paraId="0197512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23.4%</w:t>
            </w:r>
          </w:p>
        </w:tc>
        <w:tc>
          <w:tcPr>
            <w:tcW w:w="895" w:type="dxa"/>
            <w:shd w:val="clear" w:color="000000" w:fill="E2EFDA"/>
            <w:vAlign w:val="bottom"/>
          </w:tcPr>
          <w:p w14:paraId="2510D34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28.4%</w:t>
            </w:r>
          </w:p>
        </w:tc>
        <w:tc>
          <w:tcPr>
            <w:tcW w:w="895" w:type="dxa"/>
            <w:shd w:val="clear" w:color="000000" w:fill="E2EFDA"/>
            <w:noWrap/>
            <w:vAlign w:val="bottom"/>
            <w:hideMark/>
          </w:tcPr>
          <w:p w14:paraId="1185442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33.7%</w:t>
            </w:r>
          </w:p>
        </w:tc>
      </w:tr>
      <w:tr w:rsidR="0045159B" w:rsidRPr="0045159B" w14:paraId="280D36E2" w14:textId="77777777" w:rsidTr="0045159B">
        <w:trPr>
          <w:trHeight w:val="253"/>
        </w:trPr>
        <w:tc>
          <w:tcPr>
            <w:tcW w:w="962" w:type="dxa"/>
            <w:shd w:val="clear" w:color="auto" w:fill="auto"/>
            <w:noWrap/>
            <w:vAlign w:val="bottom"/>
            <w:hideMark/>
          </w:tcPr>
          <w:p w14:paraId="11BAE5CB"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4</w:t>
            </w:r>
          </w:p>
        </w:tc>
        <w:tc>
          <w:tcPr>
            <w:tcW w:w="895" w:type="dxa"/>
            <w:shd w:val="clear" w:color="000000" w:fill="E2EFDA"/>
            <w:noWrap/>
            <w:vAlign w:val="bottom"/>
            <w:hideMark/>
          </w:tcPr>
          <w:p w14:paraId="4A0E618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3.0%</w:t>
            </w:r>
          </w:p>
        </w:tc>
        <w:tc>
          <w:tcPr>
            <w:tcW w:w="895" w:type="dxa"/>
            <w:shd w:val="clear" w:color="000000" w:fill="E2EFDA"/>
            <w:noWrap/>
            <w:vAlign w:val="bottom"/>
            <w:hideMark/>
          </w:tcPr>
          <w:p w14:paraId="24C06E8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w:t>
            </w:r>
          </w:p>
        </w:tc>
        <w:tc>
          <w:tcPr>
            <w:tcW w:w="895" w:type="dxa"/>
            <w:shd w:val="clear" w:color="000000" w:fill="E2EFDA"/>
            <w:noWrap/>
            <w:vAlign w:val="bottom"/>
            <w:hideMark/>
          </w:tcPr>
          <w:p w14:paraId="055C2B6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w:t>
            </w:r>
          </w:p>
        </w:tc>
        <w:tc>
          <w:tcPr>
            <w:tcW w:w="895" w:type="dxa"/>
            <w:shd w:val="clear" w:color="000000" w:fill="E2EFDA"/>
            <w:noWrap/>
            <w:vAlign w:val="bottom"/>
            <w:hideMark/>
          </w:tcPr>
          <w:p w14:paraId="3BF8B38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5.9%</w:t>
            </w:r>
          </w:p>
        </w:tc>
        <w:tc>
          <w:tcPr>
            <w:tcW w:w="895" w:type="dxa"/>
            <w:shd w:val="clear" w:color="000000" w:fill="E2EFDA"/>
            <w:noWrap/>
            <w:vAlign w:val="bottom"/>
            <w:hideMark/>
          </w:tcPr>
          <w:p w14:paraId="4F0D127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5.9%</w:t>
            </w:r>
          </w:p>
        </w:tc>
        <w:tc>
          <w:tcPr>
            <w:tcW w:w="895" w:type="dxa"/>
            <w:shd w:val="clear" w:color="000000" w:fill="E2EFDA"/>
            <w:noWrap/>
            <w:vAlign w:val="bottom"/>
            <w:hideMark/>
          </w:tcPr>
          <w:p w14:paraId="438A752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9.2%</w:t>
            </w:r>
          </w:p>
        </w:tc>
        <w:tc>
          <w:tcPr>
            <w:tcW w:w="895" w:type="dxa"/>
            <w:shd w:val="clear" w:color="000000" w:fill="E2EFDA"/>
            <w:noWrap/>
            <w:vAlign w:val="bottom"/>
            <w:hideMark/>
          </w:tcPr>
          <w:p w14:paraId="31BD917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11.5%</w:t>
            </w:r>
          </w:p>
        </w:tc>
        <w:tc>
          <w:tcPr>
            <w:tcW w:w="895" w:type="dxa"/>
            <w:shd w:val="clear" w:color="000000" w:fill="E2EFDA"/>
            <w:noWrap/>
            <w:vAlign w:val="bottom"/>
            <w:hideMark/>
          </w:tcPr>
          <w:p w14:paraId="5083625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18.0%</w:t>
            </w:r>
          </w:p>
        </w:tc>
        <w:tc>
          <w:tcPr>
            <w:tcW w:w="895" w:type="dxa"/>
            <w:shd w:val="clear" w:color="000000" w:fill="E2EFDA"/>
            <w:noWrap/>
            <w:vAlign w:val="bottom"/>
            <w:hideMark/>
          </w:tcPr>
          <w:p w14:paraId="5B5FAB9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25.1%</w:t>
            </w:r>
          </w:p>
        </w:tc>
        <w:tc>
          <w:tcPr>
            <w:tcW w:w="895" w:type="dxa"/>
            <w:shd w:val="clear" w:color="000000" w:fill="E2EFDA"/>
            <w:vAlign w:val="bottom"/>
          </w:tcPr>
          <w:p w14:paraId="0045DA5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27.9%</w:t>
            </w:r>
          </w:p>
        </w:tc>
        <w:tc>
          <w:tcPr>
            <w:tcW w:w="895" w:type="dxa"/>
            <w:shd w:val="clear" w:color="000000" w:fill="E2EFDA"/>
            <w:noWrap/>
            <w:vAlign w:val="bottom"/>
            <w:hideMark/>
          </w:tcPr>
          <w:p w14:paraId="12D59DA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29.8%</w:t>
            </w:r>
          </w:p>
        </w:tc>
      </w:tr>
      <w:tr w:rsidR="0045159B" w:rsidRPr="0045159B" w14:paraId="5A6DFA05" w14:textId="77777777" w:rsidTr="0045159B">
        <w:trPr>
          <w:trHeight w:val="253"/>
        </w:trPr>
        <w:tc>
          <w:tcPr>
            <w:tcW w:w="962" w:type="dxa"/>
            <w:shd w:val="clear" w:color="auto" w:fill="auto"/>
            <w:noWrap/>
            <w:vAlign w:val="bottom"/>
            <w:hideMark/>
          </w:tcPr>
          <w:p w14:paraId="1DFF3495"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5</w:t>
            </w:r>
          </w:p>
        </w:tc>
        <w:tc>
          <w:tcPr>
            <w:tcW w:w="895" w:type="dxa"/>
            <w:shd w:val="clear" w:color="000000" w:fill="E2EFDA"/>
            <w:noWrap/>
            <w:vAlign w:val="bottom"/>
            <w:hideMark/>
          </w:tcPr>
          <w:p w14:paraId="6290F1D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0.7%</w:t>
            </w:r>
          </w:p>
        </w:tc>
        <w:tc>
          <w:tcPr>
            <w:tcW w:w="895" w:type="dxa"/>
            <w:shd w:val="clear" w:color="000000" w:fill="E2EFDA"/>
            <w:noWrap/>
            <w:vAlign w:val="bottom"/>
            <w:hideMark/>
          </w:tcPr>
          <w:p w14:paraId="6D9A003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w:t>
            </w:r>
          </w:p>
        </w:tc>
        <w:tc>
          <w:tcPr>
            <w:tcW w:w="895" w:type="dxa"/>
            <w:shd w:val="clear" w:color="000000" w:fill="E2EFDA"/>
            <w:noWrap/>
            <w:vAlign w:val="bottom"/>
            <w:hideMark/>
          </w:tcPr>
          <w:p w14:paraId="48084D7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w:t>
            </w:r>
          </w:p>
        </w:tc>
        <w:tc>
          <w:tcPr>
            <w:tcW w:w="895" w:type="dxa"/>
            <w:shd w:val="clear" w:color="000000" w:fill="E2EFDA"/>
            <w:noWrap/>
            <w:vAlign w:val="bottom"/>
            <w:hideMark/>
          </w:tcPr>
          <w:p w14:paraId="0191EE7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w:t>
            </w:r>
          </w:p>
        </w:tc>
        <w:tc>
          <w:tcPr>
            <w:tcW w:w="895" w:type="dxa"/>
            <w:shd w:val="clear" w:color="000000" w:fill="E2EFDA"/>
            <w:noWrap/>
            <w:vAlign w:val="bottom"/>
            <w:hideMark/>
          </w:tcPr>
          <w:p w14:paraId="5675D8D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3.0%</w:t>
            </w:r>
          </w:p>
        </w:tc>
        <w:tc>
          <w:tcPr>
            <w:tcW w:w="895" w:type="dxa"/>
            <w:shd w:val="clear" w:color="000000" w:fill="E2EFDA"/>
            <w:noWrap/>
            <w:vAlign w:val="bottom"/>
            <w:hideMark/>
          </w:tcPr>
          <w:p w14:paraId="020D98B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6.0%</w:t>
            </w:r>
          </w:p>
        </w:tc>
        <w:tc>
          <w:tcPr>
            <w:tcW w:w="895" w:type="dxa"/>
            <w:shd w:val="clear" w:color="000000" w:fill="E2EFDA"/>
            <w:noWrap/>
            <w:vAlign w:val="bottom"/>
            <w:hideMark/>
          </w:tcPr>
          <w:p w14:paraId="5EA952A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11.0%</w:t>
            </w:r>
          </w:p>
        </w:tc>
        <w:tc>
          <w:tcPr>
            <w:tcW w:w="895" w:type="dxa"/>
            <w:shd w:val="clear" w:color="000000" w:fill="E2EFDA"/>
            <w:noWrap/>
            <w:vAlign w:val="bottom"/>
            <w:hideMark/>
          </w:tcPr>
          <w:p w14:paraId="20D532F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17.5%</w:t>
            </w:r>
          </w:p>
        </w:tc>
        <w:tc>
          <w:tcPr>
            <w:tcW w:w="895" w:type="dxa"/>
            <w:shd w:val="clear" w:color="000000" w:fill="E2EFDA"/>
            <w:noWrap/>
            <w:vAlign w:val="bottom"/>
            <w:hideMark/>
          </w:tcPr>
          <w:p w14:paraId="2E109A6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26.0%</w:t>
            </w:r>
          </w:p>
        </w:tc>
        <w:tc>
          <w:tcPr>
            <w:tcW w:w="895" w:type="dxa"/>
            <w:shd w:val="clear" w:color="000000" w:fill="E2EFDA"/>
            <w:vAlign w:val="bottom"/>
          </w:tcPr>
          <w:p w14:paraId="4E001A2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32.7%</w:t>
            </w:r>
          </w:p>
        </w:tc>
        <w:tc>
          <w:tcPr>
            <w:tcW w:w="895" w:type="dxa"/>
            <w:shd w:val="clear" w:color="000000" w:fill="E2EFDA"/>
            <w:noWrap/>
            <w:vAlign w:val="bottom"/>
            <w:hideMark/>
          </w:tcPr>
          <w:p w14:paraId="74F79DC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32.6%</w:t>
            </w:r>
          </w:p>
        </w:tc>
      </w:tr>
      <w:tr w:rsidR="0045159B" w:rsidRPr="0045159B" w14:paraId="68299C40" w14:textId="77777777" w:rsidTr="0045159B">
        <w:trPr>
          <w:trHeight w:val="253"/>
        </w:trPr>
        <w:tc>
          <w:tcPr>
            <w:tcW w:w="962" w:type="dxa"/>
            <w:shd w:val="clear" w:color="auto" w:fill="auto"/>
            <w:noWrap/>
            <w:vAlign w:val="bottom"/>
            <w:hideMark/>
          </w:tcPr>
          <w:p w14:paraId="481D7A5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6</w:t>
            </w:r>
          </w:p>
        </w:tc>
        <w:tc>
          <w:tcPr>
            <w:tcW w:w="895" w:type="dxa"/>
            <w:shd w:val="clear" w:color="auto" w:fill="auto"/>
            <w:noWrap/>
            <w:vAlign w:val="bottom"/>
            <w:hideMark/>
          </w:tcPr>
          <w:p w14:paraId="2DEB445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5AA2E5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CC0FD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2CEAF2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7E23393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w:t>
            </w:r>
          </w:p>
        </w:tc>
        <w:tc>
          <w:tcPr>
            <w:tcW w:w="895" w:type="dxa"/>
            <w:shd w:val="clear" w:color="auto" w:fill="auto"/>
            <w:noWrap/>
            <w:vAlign w:val="bottom"/>
            <w:hideMark/>
          </w:tcPr>
          <w:p w14:paraId="28562A1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0C98FE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895" w:type="dxa"/>
            <w:shd w:val="clear" w:color="auto" w:fill="auto"/>
            <w:noWrap/>
            <w:vAlign w:val="bottom"/>
            <w:hideMark/>
          </w:tcPr>
          <w:p w14:paraId="6478DD1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17.0%</w:t>
            </w:r>
          </w:p>
        </w:tc>
        <w:tc>
          <w:tcPr>
            <w:tcW w:w="895" w:type="dxa"/>
            <w:shd w:val="clear" w:color="auto" w:fill="auto"/>
            <w:noWrap/>
            <w:vAlign w:val="bottom"/>
            <w:hideMark/>
          </w:tcPr>
          <w:p w14:paraId="0BC73D3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26.6%</w:t>
            </w:r>
          </w:p>
        </w:tc>
        <w:tc>
          <w:tcPr>
            <w:tcW w:w="895" w:type="dxa"/>
            <w:vAlign w:val="bottom"/>
          </w:tcPr>
          <w:p w14:paraId="75830EE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33.9%</w:t>
            </w:r>
          </w:p>
        </w:tc>
        <w:tc>
          <w:tcPr>
            <w:tcW w:w="895" w:type="dxa"/>
            <w:shd w:val="clear" w:color="auto" w:fill="auto"/>
            <w:noWrap/>
            <w:vAlign w:val="bottom"/>
            <w:hideMark/>
          </w:tcPr>
          <w:p w14:paraId="3FDEFA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33.9%</w:t>
            </w:r>
          </w:p>
        </w:tc>
      </w:tr>
      <w:tr w:rsidR="0045159B" w:rsidRPr="0045159B" w14:paraId="009213D6" w14:textId="77777777" w:rsidTr="0045159B">
        <w:trPr>
          <w:trHeight w:val="253"/>
        </w:trPr>
        <w:tc>
          <w:tcPr>
            <w:tcW w:w="962" w:type="dxa"/>
            <w:shd w:val="clear" w:color="auto" w:fill="auto"/>
            <w:noWrap/>
            <w:vAlign w:val="bottom"/>
            <w:hideMark/>
          </w:tcPr>
          <w:p w14:paraId="1F5C43A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7</w:t>
            </w:r>
          </w:p>
        </w:tc>
        <w:tc>
          <w:tcPr>
            <w:tcW w:w="895" w:type="dxa"/>
            <w:shd w:val="clear" w:color="auto" w:fill="auto"/>
            <w:noWrap/>
            <w:vAlign w:val="bottom"/>
            <w:hideMark/>
          </w:tcPr>
          <w:p w14:paraId="319D2A6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57164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A2E1D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62D929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D5D3FF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0D6C89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17D398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w:t>
            </w:r>
          </w:p>
        </w:tc>
        <w:tc>
          <w:tcPr>
            <w:tcW w:w="895" w:type="dxa"/>
            <w:shd w:val="clear" w:color="auto" w:fill="auto"/>
            <w:noWrap/>
            <w:vAlign w:val="bottom"/>
            <w:hideMark/>
          </w:tcPr>
          <w:p w14:paraId="2B936C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17.8%</w:t>
            </w:r>
          </w:p>
        </w:tc>
        <w:tc>
          <w:tcPr>
            <w:tcW w:w="895" w:type="dxa"/>
            <w:shd w:val="clear" w:color="auto" w:fill="auto"/>
            <w:noWrap/>
            <w:vAlign w:val="bottom"/>
            <w:hideMark/>
          </w:tcPr>
          <w:p w14:paraId="51C66D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27.8%</w:t>
            </w:r>
          </w:p>
        </w:tc>
        <w:tc>
          <w:tcPr>
            <w:tcW w:w="895" w:type="dxa"/>
            <w:vAlign w:val="bottom"/>
          </w:tcPr>
          <w:p w14:paraId="44528B5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35.2%</w:t>
            </w:r>
          </w:p>
        </w:tc>
        <w:tc>
          <w:tcPr>
            <w:tcW w:w="895" w:type="dxa"/>
            <w:shd w:val="clear" w:color="auto" w:fill="auto"/>
            <w:noWrap/>
            <w:vAlign w:val="bottom"/>
            <w:hideMark/>
          </w:tcPr>
          <w:p w14:paraId="2DB7D5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35.2%</w:t>
            </w:r>
          </w:p>
        </w:tc>
      </w:tr>
      <w:tr w:rsidR="0045159B" w:rsidRPr="0045159B" w14:paraId="3E661771" w14:textId="77777777" w:rsidTr="0045159B">
        <w:trPr>
          <w:trHeight w:val="253"/>
        </w:trPr>
        <w:tc>
          <w:tcPr>
            <w:tcW w:w="962" w:type="dxa"/>
            <w:shd w:val="clear" w:color="auto" w:fill="auto"/>
            <w:noWrap/>
            <w:vAlign w:val="bottom"/>
            <w:hideMark/>
          </w:tcPr>
          <w:p w14:paraId="7F0F9D9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8</w:t>
            </w:r>
          </w:p>
        </w:tc>
        <w:tc>
          <w:tcPr>
            <w:tcW w:w="895" w:type="dxa"/>
            <w:shd w:val="clear" w:color="auto" w:fill="auto"/>
            <w:noWrap/>
            <w:vAlign w:val="bottom"/>
            <w:hideMark/>
          </w:tcPr>
          <w:p w14:paraId="151E2B3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16D7F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20CBCD1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588808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20B71D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w:t>
            </w:r>
          </w:p>
        </w:tc>
        <w:tc>
          <w:tcPr>
            <w:tcW w:w="895" w:type="dxa"/>
            <w:shd w:val="clear" w:color="auto" w:fill="auto"/>
            <w:noWrap/>
            <w:vAlign w:val="bottom"/>
            <w:hideMark/>
          </w:tcPr>
          <w:p w14:paraId="2BF461C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6.1%</w:t>
            </w:r>
          </w:p>
        </w:tc>
        <w:tc>
          <w:tcPr>
            <w:tcW w:w="895" w:type="dxa"/>
            <w:shd w:val="clear" w:color="auto" w:fill="auto"/>
            <w:noWrap/>
            <w:vAlign w:val="bottom"/>
            <w:hideMark/>
          </w:tcPr>
          <w:p w14:paraId="5958607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11.2%</w:t>
            </w:r>
          </w:p>
        </w:tc>
        <w:tc>
          <w:tcPr>
            <w:tcW w:w="895" w:type="dxa"/>
            <w:shd w:val="clear" w:color="auto" w:fill="auto"/>
            <w:noWrap/>
            <w:vAlign w:val="bottom"/>
            <w:hideMark/>
          </w:tcPr>
          <w:p w14:paraId="2E7AA10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317F9E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28.9%</w:t>
            </w:r>
          </w:p>
        </w:tc>
        <w:tc>
          <w:tcPr>
            <w:tcW w:w="895" w:type="dxa"/>
            <w:vAlign w:val="bottom"/>
          </w:tcPr>
          <w:p w14:paraId="07EC6C4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36.5%</w:t>
            </w:r>
          </w:p>
        </w:tc>
        <w:tc>
          <w:tcPr>
            <w:tcW w:w="895" w:type="dxa"/>
            <w:shd w:val="clear" w:color="auto" w:fill="auto"/>
            <w:noWrap/>
            <w:vAlign w:val="bottom"/>
            <w:hideMark/>
          </w:tcPr>
          <w:p w14:paraId="14027C4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36.5%</w:t>
            </w:r>
          </w:p>
        </w:tc>
      </w:tr>
      <w:tr w:rsidR="0045159B" w:rsidRPr="0045159B" w14:paraId="3A634939" w14:textId="77777777" w:rsidTr="0045159B">
        <w:trPr>
          <w:trHeight w:val="253"/>
        </w:trPr>
        <w:tc>
          <w:tcPr>
            <w:tcW w:w="962" w:type="dxa"/>
            <w:shd w:val="clear" w:color="auto" w:fill="auto"/>
            <w:noWrap/>
            <w:vAlign w:val="bottom"/>
            <w:hideMark/>
          </w:tcPr>
          <w:p w14:paraId="6D9E229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9</w:t>
            </w:r>
          </w:p>
        </w:tc>
        <w:tc>
          <w:tcPr>
            <w:tcW w:w="895" w:type="dxa"/>
            <w:shd w:val="clear" w:color="auto" w:fill="auto"/>
            <w:noWrap/>
            <w:vAlign w:val="bottom"/>
            <w:hideMark/>
          </w:tcPr>
          <w:p w14:paraId="66A2D5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FED06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32B9B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AF874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w:t>
            </w:r>
          </w:p>
        </w:tc>
        <w:tc>
          <w:tcPr>
            <w:tcW w:w="895" w:type="dxa"/>
            <w:shd w:val="clear" w:color="auto" w:fill="auto"/>
            <w:noWrap/>
            <w:vAlign w:val="bottom"/>
            <w:hideMark/>
          </w:tcPr>
          <w:p w14:paraId="78987DD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0D21DE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6.5%</w:t>
            </w:r>
          </w:p>
        </w:tc>
        <w:tc>
          <w:tcPr>
            <w:tcW w:w="895" w:type="dxa"/>
            <w:shd w:val="clear" w:color="auto" w:fill="auto"/>
            <w:noWrap/>
            <w:vAlign w:val="bottom"/>
            <w:hideMark/>
          </w:tcPr>
          <w:p w14:paraId="6758426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11.8%</w:t>
            </w:r>
          </w:p>
        </w:tc>
        <w:tc>
          <w:tcPr>
            <w:tcW w:w="895" w:type="dxa"/>
            <w:shd w:val="clear" w:color="auto" w:fill="auto"/>
            <w:noWrap/>
            <w:vAlign w:val="bottom"/>
            <w:hideMark/>
          </w:tcPr>
          <w:p w14:paraId="3FF8144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19.6%</w:t>
            </w:r>
          </w:p>
        </w:tc>
        <w:tc>
          <w:tcPr>
            <w:tcW w:w="895" w:type="dxa"/>
            <w:shd w:val="clear" w:color="auto" w:fill="auto"/>
            <w:noWrap/>
            <w:vAlign w:val="bottom"/>
            <w:hideMark/>
          </w:tcPr>
          <w:p w14:paraId="2B2EBDB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30.1%</w:t>
            </w:r>
          </w:p>
        </w:tc>
        <w:tc>
          <w:tcPr>
            <w:tcW w:w="895" w:type="dxa"/>
            <w:vAlign w:val="bottom"/>
          </w:tcPr>
          <w:p w14:paraId="3B31BC4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37.9%</w:t>
            </w:r>
          </w:p>
        </w:tc>
        <w:tc>
          <w:tcPr>
            <w:tcW w:w="895" w:type="dxa"/>
            <w:shd w:val="clear" w:color="auto" w:fill="auto"/>
            <w:noWrap/>
            <w:vAlign w:val="bottom"/>
            <w:hideMark/>
          </w:tcPr>
          <w:p w14:paraId="7E0FAC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37.9%</w:t>
            </w:r>
          </w:p>
        </w:tc>
      </w:tr>
      <w:tr w:rsidR="0045159B" w:rsidRPr="0045159B" w14:paraId="1441F424" w14:textId="77777777" w:rsidTr="0045159B">
        <w:trPr>
          <w:trHeight w:val="253"/>
        </w:trPr>
        <w:tc>
          <w:tcPr>
            <w:tcW w:w="962" w:type="dxa"/>
            <w:shd w:val="clear" w:color="auto" w:fill="auto"/>
            <w:noWrap/>
            <w:vAlign w:val="bottom"/>
            <w:hideMark/>
          </w:tcPr>
          <w:p w14:paraId="0DFCD2C5"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10</w:t>
            </w:r>
          </w:p>
        </w:tc>
        <w:tc>
          <w:tcPr>
            <w:tcW w:w="895" w:type="dxa"/>
            <w:shd w:val="clear" w:color="auto" w:fill="auto"/>
            <w:noWrap/>
            <w:vAlign w:val="bottom"/>
            <w:hideMark/>
          </w:tcPr>
          <w:p w14:paraId="372E98D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1AA890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657EDB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6468DD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5BBB88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445F67F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6.9%</w:t>
            </w:r>
          </w:p>
        </w:tc>
        <w:tc>
          <w:tcPr>
            <w:tcW w:w="895" w:type="dxa"/>
            <w:shd w:val="clear" w:color="auto" w:fill="auto"/>
            <w:noWrap/>
            <w:vAlign w:val="bottom"/>
            <w:hideMark/>
          </w:tcPr>
          <w:p w14:paraId="1B24314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12.5%</w:t>
            </w:r>
          </w:p>
        </w:tc>
        <w:tc>
          <w:tcPr>
            <w:tcW w:w="895" w:type="dxa"/>
            <w:shd w:val="clear" w:color="auto" w:fill="auto"/>
            <w:noWrap/>
            <w:vAlign w:val="bottom"/>
            <w:hideMark/>
          </w:tcPr>
          <w:p w14:paraId="5682E2E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20.5%</w:t>
            </w:r>
          </w:p>
        </w:tc>
        <w:tc>
          <w:tcPr>
            <w:tcW w:w="895" w:type="dxa"/>
            <w:shd w:val="clear" w:color="auto" w:fill="auto"/>
            <w:noWrap/>
            <w:vAlign w:val="bottom"/>
            <w:hideMark/>
          </w:tcPr>
          <w:p w14:paraId="7648AD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31.3%</w:t>
            </w:r>
          </w:p>
        </w:tc>
        <w:tc>
          <w:tcPr>
            <w:tcW w:w="895" w:type="dxa"/>
            <w:vAlign w:val="bottom"/>
          </w:tcPr>
          <w:p w14:paraId="5D35476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39.3%</w:t>
            </w:r>
          </w:p>
        </w:tc>
        <w:tc>
          <w:tcPr>
            <w:tcW w:w="895" w:type="dxa"/>
            <w:shd w:val="clear" w:color="auto" w:fill="auto"/>
            <w:noWrap/>
            <w:vAlign w:val="bottom"/>
            <w:hideMark/>
          </w:tcPr>
          <w:p w14:paraId="6000A83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39.3%</w:t>
            </w:r>
          </w:p>
        </w:tc>
      </w:tr>
      <w:tr w:rsidR="0045159B" w:rsidRPr="0045159B" w14:paraId="5249DC70" w14:textId="77777777" w:rsidTr="0045159B">
        <w:trPr>
          <w:trHeight w:val="253"/>
        </w:trPr>
        <w:tc>
          <w:tcPr>
            <w:tcW w:w="962" w:type="dxa"/>
            <w:shd w:val="clear" w:color="auto" w:fill="auto"/>
            <w:noWrap/>
            <w:vAlign w:val="bottom"/>
            <w:hideMark/>
          </w:tcPr>
          <w:p w14:paraId="413FB85C"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11</w:t>
            </w:r>
          </w:p>
        </w:tc>
        <w:tc>
          <w:tcPr>
            <w:tcW w:w="895" w:type="dxa"/>
            <w:shd w:val="clear" w:color="auto" w:fill="auto"/>
            <w:noWrap/>
            <w:vAlign w:val="bottom"/>
            <w:hideMark/>
          </w:tcPr>
          <w:p w14:paraId="44906C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39F447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0134F0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FCB43F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w:t>
            </w:r>
          </w:p>
        </w:tc>
        <w:tc>
          <w:tcPr>
            <w:tcW w:w="895" w:type="dxa"/>
            <w:shd w:val="clear" w:color="auto" w:fill="auto"/>
            <w:noWrap/>
            <w:vAlign w:val="bottom"/>
            <w:hideMark/>
          </w:tcPr>
          <w:p w14:paraId="73FB29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w:t>
            </w:r>
          </w:p>
        </w:tc>
        <w:tc>
          <w:tcPr>
            <w:tcW w:w="895" w:type="dxa"/>
            <w:shd w:val="clear" w:color="auto" w:fill="auto"/>
            <w:noWrap/>
            <w:vAlign w:val="bottom"/>
            <w:hideMark/>
          </w:tcPr>
          <w:p w14:paraId="057BC97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7.4%</w:t>
            </w:r>
          </w:p>
        </w:tc>
        <w:tc>
          <w:tcPr>
            <w:tcW w:w="895" w:type="dxa"/>
            <w:shd w:val="clear" w:color="auto" w:fill="auto"/>
            <w:noWrap/>
            <w:vAlign w:val="bottom"/>
            <w:hideMark/>
          </w:tcPr>
          <w:p w14:paraId="78ECA36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2946C4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21.4%</w:t>
            </w:r>
          </w:p>
        </w:tc>
        <w:tc>
          <w:tcPr>
            <w:tcW w:w="895" w:type="dxa"/>
            <w:shd w:val="clear" w:color="auto" w:fill="auto"/>
            <w:noWrap/>
            <w:vAlign w:val="bottom"/>
            <w:hideMark/>
          </w:tcPr>
          <w:p w14:paraId="1AFD65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32.6%</w:t>
            </w:r>
          </w:p>
        </w:tc>
        <w:tc>
          <w:tcPr>
            <w:tcW w:w="895" w:type="dxa"/>
            <w:vAlign w:val="bottom"/>
          </w:tcPr>
          <w:p w14:paraId="062342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11CBCB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7DBEC87A" w14:textId="77777777" w:rsidTr="0045159B">
        <w:trPr>
          <w:trHeight w:val="253"/>
        </w:trPr>
        <w:tc>
          <w:tcPr>
            <w:tcW w:w="962" w:type="dxa"/>
            <w:shd w:val="clear" w:color="auto" w:fill="auto"/>
            <w:noWrap/>
            <w:vAlign w:val="bottom"/>
            <w:hideMark/>
          </w:tcPr>
          <w:p w14:paraId="769A9BB6"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12</w:t>
            </w:r>
          </w:p>
        </w:tc>
        <w:tc>
          <w:tcPr>
            <w:tcW w:w="895" w:type="dxa"/>
            <w:shd w:val="clear" w:color="auto" w:fill="auto"/>
            <w:noWrap/>
            <w:vAlign w:val="bottom"/>
            <w:hideMark/>
          </w:tcPr>
          <w:p w14:paraId="24548BF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A89ECC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84D5F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4B5BE0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w:t>
            </w:r>
          </w:p>
        </w:tc>
        <w:tc>
          <w:tcPr>
            <w:tcW w:w="895" w:type="dxa"/>
            <w:shd w:val="clear" w:color="auto" w:fill="auto"/>
            <w:noWrap/>
            <w:vAlign w:val="bottom"/>
            <w:hideMark/>
          </w:tcPr>
          <w:p w14:paraId="1EC5AC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w:t>
            </w:r>
          </w:p>
        </w:tc>
        <w:tc>
          <w:tcPr>
            <w:tcW w:w="895" w:type="dxa"/>
            <w:shd w:val="clear" w:color="auto" w:fill="auto"/>
            <w:noWrap/>
            <w:vAlign w:val="bottom"/>
            <w:hideMark/>
          </w:tcPr>
          <w:p w14:paraId="20644D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7.9%</w:t>
            </w:r>
          </w:p>
        </w:tc>
        <w:tc>
          <w:tcPr>
            <w:tcW w:w="895" w:type="dxa"/>
            <w:shd w:val="clear" w:color="auto" w:fill="auto"/>
            <w:noWrap/>
            <w:vAlign w:val="bottom"/>
            <w:hideMark/>
          </w:tcPr>
          <w:p w14:paraId="42F359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13.9%</w:t>
            </w:r>
          </w:p>
        </w:tc>
        <w:tc>
          <w:tcPr>
            <w:tcW w:w="895" w:type="dxa"/>
            <w:shd w:val="clear" w:color="auto" w:fill="auto"/>
            <w:noWrap/>
            <w:vAlign w:val="bottom"/>
            <w:hideMark/>
          </w:tcPr>
          <w:p w14:paraId="0CC31C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22.4%</w:t>
            </w:r>
          </w:p>
        </w:tc>
        <w:tc>
          <w:tcPr>
            <w:tcW w:w="895" w:type="dxa"/>
            <w:shd w:val="clear" w:color="auto" w:fill="auto"/>
            <w:noWrap/>
            <w:vAlign w:val="bottom"/>
            <w:hideMark/>
          </w:tcPr>
          <w:p w14:paraId="341FD9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33.9%</w:t>
            </w:r>
          </w:p>
        </w:tc>
        <w:tc>
          <w:tcPr>
            <w:tcW w:w="895" w:type="dxa"/>
            <w:vAlign w:val="bottom"/>
          </w:tcPr>
          <w:p w14:paraId="44E724C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727B42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35FBFCA1" w14:textId="77777777" w:rsidTr="0045159B">
        <w:trPr>
          <w:trHeight w:val="253"/>
        </w:trPr>
        <w:tc>
          <w:tcPr>
            <w:tcW w:w="962" w:type="dxa"/>
            <w:shd w:val="clear" w:color="auto" w:fill="auto"/>
            <w:noWrap/>
            <w:vAlign w:val="bottom"/>
            <w:hideMark/>
          </w:tcPr>
          <w:p w14:paraId="1B1DE30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13</w:t>
            </w:r>
          </w:p>
        </w:tc>
        <w:tc>
          <w:tcPr>
            <w:tcW w:w="895" w:type="dxa"/>
            <w:shd w:val="clear" w:color="auto" w:fill="auto"/>
            <w:noWrap/>
            <w:vAlign w:val="bottom"/>
            <w:hideMark/>
          </w:tcPr>
          <w:p w14:paraId="649BAD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363BF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4BBA39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0D8077E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w:t>
            </w:r>
          </w:p>
        </w:tc>
        <w:tc>
          <w:tcPr>
            <w:tcW w:w="895" w:type="dxa"/>
            <w:shd w:val="clear" w:color="auto" w:fill="auto"/>
            <w:noWrap/>
            <w:vAlign w:val="bottom"/>
            <w:hideMark/>
          </w:tcPr>
          <w:p w14:paraId="1483D54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4.2%</w:t>
            </w:r>
          </w:p>
        </w:tc>
        <w:tc>
          <w:tcPr>
            <w:tcW w:w="895" w:type="dxa"/>
            <w:shd w:val="clear" w:color="auto" w:fill="auto"/>
            <w:noWrap/>
            <w:vAlign w:val="bottom"/>
            <w:hideMark/>
          </w:tcPr>
          <w:p w14:paraId="20998C7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8.4%</w:t>
            </w:r>
          </w:p>
        </w:tc>
        <w:tc>
          <w:tcPr>
            <w:tcW w:w="895" w:type="dxa"/>
            <w:shd w:val="clear" w:color="auto" w:fill="auto"/>
            <w:noWrap/>
            <w:vAlign w:val="bottom"/>
            <w:hideMark/>
          </w:tcPr>
          <w:p w14:paraId="3DAD6C6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14.6%</w:t>
            </w:r>
          </w:p>
        </w:tc>
        <w:tc>
          <w:tcPr>
            <w:tcW w:w="895" w:type="dxa"/>
            <w:shd w:val="clear" w:color="auto" w:fill="auto"/>
            <w:noWrap/>
            <w:vAlign w:val="bottom"/>
            <w:hideMark/>
          </w:tcPr>
          <w:p w14:paraId="4124320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23.4%</w:t>
            </w:r>
          </w:p>
        </w:tc>
        <w:tc>
          <w:tcPr>
            <w:tcW w:w="895" w:type="dxa"/>
            <w:shd w:val="clear" w:color="auto" w:fill="auto"/>
            <w:noWrap/>
            <w:vAlign w:val="bottom"/>
            <w:hideMark/>
          </w:tcPr>
          <w:p w14:paraId="249F765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35.2%</w:t>
            </w:r>
          </w:p>
        </w:tc>
        <w:tc>
          <w:tcPr>
            <w:tcW w:w="895" w:type="dxa"/>
            <w:vAlign w:val="bottom"/>
          </w:tcPr>
          <w:p w14:paraId="148B5B2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135549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9EE299A" w14:textId="77777777" w:rsidTr="0045159B">
        <w:trPr>
          <w:trHeight w:val="253"/>
        </w:trPr>
        <w:tc>
          <w:tcPr>
            <w:tcW w:w="962" w:type="dxa"/>
            <w:shd w:val="clear" w:color="auto" w:fill="auto"/>
            <w:noWrap/>
            <w:vAlign w:val="bottom"/>
            <w:hideMark/>
          </w:tcPr>
          <w:p w14:paraId="1F176E0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14</w:t>
            </w:r>
          </w:p>
        </w:tc>
        <w:tc>
          <w:tcPr>
            <w:tcW w:w="895" w:type="dxa"/>
            <w:shd w:val="clear" w:color="auto" w:fill="auto"/>
            <w:noWrap/>
            <w:vAlign w:val="bottom"/>
            <w:hideMark/>
          </w:tcPr>
          <w:p w14:paraId="60E5C0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90704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D3AF9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6A8431B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w:t>
            </w:r>
          </w:p>
        </w:tc>
        <w:tc>
          <w:tcPr>
            <w:tcW w:w="895" w:type="dxa"/>
            <w:shd w:val="clear" w:color="auto" w:fill="auto"/>
            <w:noWrap/>
            <w:vAlign w:val="bottom"/>
            <w:hideMark/>
          </w:tcPr>
          <w:p w14:paraId="6C7453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4.6%</w:t>
            </w:r>
          </w:p>
        </w:tc>
        <w:tc>
          <w:tcPr>
            <w:tcW w:w="895" w:type="dxa"/>
            <w:shd w:val="clear" w:color="auto" w:fill="auto"/>
            <w:noWrap/>
            <w:vAlign w:val="bottom"/>
            <w:hideMark/>
          </w:tcPr>
          <w:p w14:paraId="45A4346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8.9%</w:t>
            </w:r>
          </w:p>
        </w:tc>
        <w:tc>
          <w:tcPr>
            <w:tcW w:w="895" w:type="dxa"/>
            <w:shd w:val="clear" w:color="auto" w:fill="auto"/>
            <w:noWrap/>
            <w:vAlign w:val="bottom"/>
            <w:hideMark/>
          </w:tcPr>
          <w:p w14:paraId="477B43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15.4%</w:t>
            </w:r>
          </w:p>
        </w:tc>
        <w:tc>
          <w:tcPr>
            <w:tcW w:w="895" w:type="dxa"/>
            <w:shd w:val="clear" w:color="auto" w:fill="auto"/>
            <w:noWrap/>
            <w:vAlign w:val="bottom"/>
            <w:hideMark/>
          </w:tcPr>
          <w:p w14:paraId="5ED128A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24.5%</w:t>
            </w:r>
          </w:p>
        </w:tc>
        <w:tc>
          <w:tcPr>
            <w:tcW w:w="895" w:type="dxa"/>
            <w:shd w:val="clear" w:color="auto" w:fill="auto"/>
            <w:noWrap/>
            <w:vAlign w:val="bottom"/>
            <w:hideMark/>
          </w:tcPr>
          <w:p w14:paraId="19106B8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36.5%</w:t>
            </w:r>
          </w:p>
        </w:tc>
        <w:tc>
          <w:tcPr>
            <w:tcW w:w="895" w:type="dxa"/>
            <w:vAlign w:val="bottom"/>
          </w:tcPr>
          <w:p w14:paraId="25FAC98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2111261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79CEEBE3" w14:textId="77777777" w:rsidTr="0045159B">
        <w:trPr>
          <w:trHeight w:val="253"/>
        </w:trPr>
        <w:tc>
          <w:tcPr>
            <w:tcW w:w="962" w:type="dxa"/>
            <w:shd w:val="clear" w:color="auto" w:fill="auto"/>
            <w:noWrap/>
            <w:vAlign w:val="bottom"/>
            <w:hideMark/>
          </w:tcPr>
          <w:p w14:paraId="30BEC11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15</w:t>
            </w:r>
          </w:p>
        </w:tc>
        <w:tc>
          <w:tcPr>
            <w:tcW w:w="895" w:type="dxa"/>
            <w:shd w:val="clear" w:color="auto" w:fill="auto"/>
            <w:noWrap/>
            <w:vAlign w:val="bottom"/>
            <w:hideMark/>
          </w:tcPr>
          <w:p w14:paraId="2102D93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553D37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BE571A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2C46B8B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w:t>
            </w:r>
          </w:p>
        </w:tc>
        <w:tc>
          <w:tcPr>
            <w:tcW w:w="895" w:type="dxa"/>
            <w:shd w:val="clear" w:color="auto" w:fill="auto"/>
            <w:noWrap/>
            <w:vAlign w:val="bottom"/>
            <w:hideMark/>
          </w:tcPr>
          <w:p w14:paraId="302907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4.9%</w:t>
            </w:r>
          </w:p>
        </w:tc>
        <w:tc>
          <w:tcPr>
            <w:tcW w:w="895" w:type="dxa"/>
            <w:shd w:val="clear" w:color="auto" w:fill="auto"/>
            <w:noWrap/>
            <w:vAlign w:val="bottom"/>
            <w:hideMark/>
          </w:tcPr>
          <w:p w14:paraId="3107A94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9.4%</w:t>
            </w:r>
          </w:p>
        </w:tc>
        <w:tc>
          <w:tcPr>
            <w:tcW w:w="895" w:type="dxa"/>
            <w:shd w:val="clear" w:color="auto" w:fill="auto"/>
            <w:noWrap/>
            <w:vAlign w:val="bottom"/>
            <w:hideMark/>
          </w:tcPr>
          <w:p w14:paraId="0DF67EF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16.2%</w:t>
            </w:r>
          </w:p>
        </w:tc>
        <w:tc>
          <w:tcPr>
            <w:tcW w:w="895" w:type="dxa"/>
            <w:shd w:val="clear" w:color="auto" w:fill="auto"/>
            <w:noWrap/>
            <w:vAlign w:val="bottom"/>
            <w:hideMark/>
          </w:tcPr>
          <w:p w14:paraId="447064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25.5%</w:t>
            </w:r>
          </w:p>
        </w:tc>
        <w:tc>
          <w:tcPr>
            <w:tcW w:w="895" w:type="dxa"/>
            <w:shd w:val="clear" w:color="auto" w:fill="auto"/>
            <w:noWrap/>
            <w:vAlign w:val="bottom"/>
            <w:hideMark/>
          </w:tcPr>
          <w:p w14:paraId="26D5EFF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37.9%</w:t>
            </w:r>
          </w:p>
        </w:tc>
        <w:tc>
          <w:tcPr>
            <w:tcW w:w="895" w:type="dxa"/>
            <w:vAlign w:val="bottom"/>
          </w:tcPr>
          <w:p w14:paraId="7864BFB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C1C6EA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4C05017" w14:textId="77777777" w:rsidTr="0045159B">
        <w:trPr>
          <w:trHeight w:val="253"/>
        </w:trPr>
        <w:tc>
          <w:tcPr>
            <w:tcW w:w="962" w:type="dxa"/>
            <w:shd w:val="clear" w:color="auto" w:fill="auto"/>
            <w:noWrap/>
            <w:vAlign w:val="bottom"/>
            <w:hideMark/>
          </w:tcPr>
          <w:p w14:paraId="123C6C23"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16</w:t>
            </w:r>
          </w:p>
        </w:tc>
        <w:tc>
          <w:tcPr>
            <w:tcW w:w="895" w:type="dxa"/>
            <w:shd w:val="clear" w:color="auto" w:fill="auto"/>
            <w:noWrap/>
            <w:vAlign w:val="bottom"/>
            <w:hideMark/>
          </w:tcPr>
          <w:p w14:paraId="330D3A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D7DCAC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DD92CD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0F9A8B0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w:t>
            </w:r>
          </w:p>
        </w:tc>
        <w:tc>
          <w:tcPr>
            <w:tcW w:w="895" w:type="dxa"/>
            <w:shd w:val="clear" w:color="auto" w:fill="auto"/>
            <w:noWrap/>
            <w:vAlign w:val="bottom"/>
            <w:hideMark/>
          </w:tcPr>
          <w:p w14:paraId="36D356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64B385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895" w:type="dxa"/>
            <w:shd w:val="clear" w:color="auto" w:fill="auto"/>
            <w:noWrap/>
            <w:vAlign w:val="bottom"/>
            <w:hideMark/>
          </w:tcPr>
          <w:p w14:paraId="561173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17.0%</w:t>
            </w:r>
          </w:p>
        </w:tc>
        <w:tc>
          <w:tcPr>
            <w:tcW w:w="895" w:type="dxa"/>
            <w:shd w:val="clear" w:color="auto" w:fill="auto"/>
            <w:noWrap/>
            <w:vAlign w:val="bottom"/>
            <w:hideMark/>
          </w:tcPr>
          <w:p w14:paraId="76922A1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26.6%</w:t>
            </w:r>
          </w:p>
        </w:tc>
        <w:tc>
          <w:tcPr>
            <w:tcW w:w="895" w:type="dxa"/>
            <w:shd w:val="clear" w:color="auto" w:fill="auto"/>
            <w:noWrap/>
            <w:vAlign w:val="bottom"/>
            <w:hideMark/>
          </w:tcPr>
          <w:p w14:paraId="6066C8E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39.3%</w:t>
            </w:r>
          </w:p>
        </w:tc>
        <w:tc>
          <w:tcPr>
            <w:tcW w:w="895" w:type="dxa"/>
            <w:vAlign w:val="bottom"/>
          </w:tcPr>
          <w:p w14:paraId="6235C6B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41640C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B631A37" w14:textId="77777777" w:rsidTr="0045159B">
        <w:trPr>
          <w:trHeight w:val="253"/>
        </w:trPr>
        <w:tc>
          <w:tcPr>
            <w:tcW w:w="962" w:type="dxa"/>
            <w:shd w:val="clear" w:color="auto" w:fill="auto"/>
            <w:noWrap/>
            <w:vAlign w:val="bottom"/>
            <w:hideMark/>
          </w:tcPr>
          <w:p w14:paraId="00CD3982"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17</w:t>
            </w:r>
          </w:p>
        </w:tc>
        <w:tc>
          <w:tcPr>
            <w:tcW w:w="895" w:type="dxa"/>
            <w:shd w:val="clear" w:color="auto" w:fill="auto"/>
            <w:noWrap/>
            <w:vAlign w:val="bottom"/>
            <w:hideMark/>
          </w:tcPr>
          <w:p w14:paraId="5C23D7B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61756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2868162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3C26F9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3E4D4EE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36D810A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w:t>
            </w:r>
          </w:p>
        </w:tc>
        <w:tc>
          <w:tcPr>
            <w:tcW w:w="895" w:type="dxa"/>
            <w:shd w:val="clear" w:color="auto" w:fill="auto"/>
            <w:noWrap/>
            <w:vAlign w:val="bottom"/>
            <w:hideMark/>
          </w:tcPr>
          <w:p w14:paraId="1A03239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17.8%</w:t>
            </w:r>
          </w:p>
        </w:tc>
        <w:tc>
          <w:tcPr>
            <w:tcW w:w="895" w:type="dxa"/>
            <w:shd w:val="clear" w:color="auto" w:fill="auto"/>
            <w:noWrap/>
            <w:vAlign w:val="bottom"/>
            <w:hideMark/>
          </w:tcPr>
          <w:p w14:paraId="05785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27.8%</w:t>
            </w:r>
          </w:p>
        </w:tc>
        <w:tc>
          <w:tcPr>
            <w:tcW w:w="895" w:type="dxa"/>
            <w:shd w:val="clear" w:color="auto" w:fill="auto"/>
            <w:noWrap/>
            <w:vAlign w:val="bottom"/>
            <w:hideMark/>
          </w:tcPr>
          <w:p w14:paraId="73A8109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1191F0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26CD41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85FDEFA" w14:textId="77777777" w:rsidTr="0045159B">
        <w:trPr>
          <w:trHeight w:val="253"/>
        </w:trPr>
        <w:tc>
          <w:tcPr>
            <w:tcW w:w="962" w:type="dxa"/>
            <w:shd w:val="clear" w:color="auto" w:fill="auto"/>
            <w:noWrap/>
            <w:vAlign w:val="bottom"/>
            <w:hideMark/>
          </w:tcPr>
          <w:p w14:paraId="13F16C4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18</w:t>
            </w:r>
          </w:p>
        </w:tc>
        <w:tc>
          <w:tcPr>
            <w:tcW w:w="895" w:type="dxa"/>
            <w:shd w:val="clear" w:color="auto" w:fill="auto"/>
            <w:noWrap/>
            <w:vAlign w:val="bottom"/>
            <w:hideMark/>
          </w:tcPr>
          <w:p w14:paraId="2FD481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688D3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A338C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36ADD9C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w:t>
            </w:r>
          </w:p>
        </w:tc>
        <w:tc>
          <w:tcPr>
            <w:tcW w:w="895" w:type="dxa"/>
            <w:shd w:val="clear" w:color="auto" w:fill="auto"/>
            <w:noWrap/>
            <w:vAlign w:val="bottom"/>
            <w:hideMark/>
          </w:tcPr>
          <w:p w14:paraId="4687CB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6.1%</w:t>
            </w:r>
          </w:p>
        </w:tc>
        <w:tc>
          <w:tcPr>
            <w:tcW w:w="895" w:type="dxa"/>
            <w:shd w:val="clear" w:color="auto" w:fill="auto"/>
            <w:noWrap/>
            <w:vAlign w:val="bottom"/>
            <w:hideMark/>
          </w:tcPr>
          <w:p w14:paraId="628E60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11.2%</w:t>
            </w:r>
          </w:p>
        </w:tc>
        <w:tc>
          <w:tcPr>
            <w:tcW w:w="895" w:type="dxa"/>
            <w:shd w:val="clear" w:color="auto" w:fill="auto"/>
            <w:noWrap/>
            <w:vAlign w:val="bottom"/>
            <w:hideMark/>
          </w:tcPr>
          <w:p w14:paraId="0B2825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1E43F5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28.9%</w:t>
            </w:r>
          </w:p>
        </w:tc>
        <w:tc>
          <w:tcPr>
            <w:tcW w:w="895" w:type="dxa"/>
            <w:shd w:val="clear" w:color="auto" w:fill="auto"/>
            <w:noWrap/>
            <w:vAlign w:val="bottom"/>
            <w:hideMark/>
          </w:tcPr>
          <w:p w14:paraId="30209C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6E302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9038DB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458F7362" w14:textId="77777777" w:rsidTr="0045159B">
        <w:trPr>
          <w:trHeight w:val="253"/>
        </w:trPr>
        <w:tc>
          <w:tcPr>
            <w:tcW w:w="962" w:type="dxa"/>
            <w:shd w:val="clear" w:color="auto" w:fill="auto"/>
            <w:noWrap/>
            <w:vAlign w:val="bottom"/>
            <w:hideMark/>
          </w:tcPr>
          <w:p w14:paraId="00F9D33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19</w:t>
            </w:r>
          </w:p>
        </w:tc>
        <w:tc>
          <w:tcPr>
            <w:tcW w:w="895" w:type="dxa"/>
            <w:shd w:val="clear" w:color="auto" w:fill="auto"/>
            <w:noWrap/>
            <w:vAlign w:val="bottom"/>
            <w:hideMark/>
          </w:tcPr>
          <w:p w14:paraId="0B28E0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A2F56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50DF07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w:t>
            </w:r>
          </w:p>
        </w:tc>
        <w:tc>
          <w:tcPr>
            <w:tcW w:w="895" w:type="dxa"/>
            <w:shd w:val="clear" w:color="auto" w:fill="auto"/>
            <w:noWrap/>
            <w:vAlign w:val="bottom"/>
            <w:hideMark/>
          </w:tcPr>
          <w:p w14:paraId="42CFFC5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400FBA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6.5%</w:t>
            </w:r>
          </w:p>
        </w:tc>
        <w:tc>
          <w:tcPr>
            <w:tcW w:w="895" w:type="dxa"/>
            <w:shd w:val="clear" w:color="auto" w:fill="auto"/>
            <w:noWrap/>
            <w:vAlign w:val="bottom"/>
            <w:hideMark/>
          </w:tcPr>
          <w:p w14:paraId="3680B1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11.8%</w:t>
            </w:r>
          </w:p>
        </w:tc>
        <w:tc>
          <w:tcPr>
            <w:tcW w:w="895" w:type="dxa"/>
            <w:shd w:val="clear" w:color="auto" w:fill="auto"/>
            <w:noWrap/>
            <w:vAlign w:val="bottom"/>
            <w:hideMark/>
          </w:tcPr>
          <w:p w14:paraId="02305A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19.6%</w:t>
            </w:r>
          </w:p>
        </w:tc>
        <w:tc>
          <w:tcPr>
            <w:tcW w:w="895" w:type="dxa"/>
            <w:shd w:val="clear" w:color="auto" w:fill="auto"/>
            <w:noWrap/>
            <w:vAlign w:val="bottom"/>
            <w:hideMark/>
          </w:tcPr>
          <w:p w14:paraId="141B7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30.1%</w:t>
            </w:r>
          </w:p>
        </w:tc>
        <w:tc>
          <w:tcPr>
            <w:tcW w:w="895" w:type="dxa"/>
            <w:shd w:val="clear" w:color="auto" w:fill="auto"/>
            <w:noWrap/>
            <w:vAlign w:val="bottom"/>
            <w:hideMark/>
          </w:tcPr>
          <w:p w14:paraId="7BAAA97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5D35140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584E0E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0E1B7908" w14:textId="77777777" w:rsidTr="0045159B">
        <w:trPr>
          <w:trHeight w:val="253"/>
        </w:trPr>
        <w:tc>
          <w:tcPr>
            <w:tcW w:w="962" w:type="dxa"/>
            <w:shd w:val="clear" w:color="auto" w:fill="auto"/>
            <w:noWrap/>
            <w:vAlign w:val="bottom"/>
            <w:hideMark/>
          </w:tcPr>
          <w:p w14:paraId="2B4A4E7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20</w:t>
            </w:r>
          </w:p>
        </w:tc>
        <w:tc>
          <w:tcPr>
            <w:tcW w:w="895" w:type="dxa"/>
            <w:shd w:val="clear" w:color="auto" w:fill="auto"/>
            <w:noWrap/>
            <w:vAlign w:val="bottom"/>
            <w:hideMark/>
          </w:tcPr>
          <w:p w14:paraId="5CB214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6B9617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0DBF08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10A792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07A69E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6.9%</w:t>
            </w:r>
          </w:p>
        </w:tc>
        <w:tc>
          <w:tcPr>
            <w:tcW w:w="895" w:type="dxa"/>
            <w:shd w:val="clear" w:color="auto" w:fill="auto"/>
            <w:noWrap/>
            <w:vAlign w:val="bottom"/>
            <w:hideMark/>
          </w:tcPr>
          <w:p w14:paraId="1E0A3AC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12.5%</w:t>
            </w:r>
          </w:p>
        </w:tc>
        <w:tc>
          <w:tcPr>
            <w:tcW w:w="895" w:type="dxa"/>
            <w:shd w:val="clear" w:color="auto" w:fill="auto"/>
            <w:noWrap/>
            <w:vAlign w:val="bottom"/>
            <w:hideMark/>
          </w:tcPr>
          <w:p w14:paraId="097D51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20.5%</w:t>
            </w:r>
          </w:p>
        </w:tc>
        <w:tc>
          <w:tcPr>
            <w:tcW w:w="895" w:type="dxa"/>
            <w:shd w:val="clear" w:color="auto" w:fill="auto"/>
            <w:noWrap/>
            <w:vAlign w:val="bottom"/>
            <w:hideMark/>
          </w:tcPr>
          <w:p w14:paraId="27B8DAF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31.3%</w:t>
            </w:r>
          </w:p>
        </w:tc>
        <w:tc>
          <w:tcPr>
            <w:tcW w:w="895" w:type="dxa"/>
            <w:shd w:val="clear" w:color="auto" w:fill="auto"/>
            <w:noWrap/>
            <w:vAlign w:val="bottom"/>
            <w:hideMark/>
          </w:tcPr>
          <w:p w14:paraId="79B5069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30CBA52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0F8C22B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bl>
    <w:p w14:paraId="4EFED922"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21DCD428" w14:textId="77777777" w:rsidR="0045159B" w:rsidRPr="0045159B" w:rsidRDefault="0045159B" w:rsidP="0045159B">
      <w:pPr>
        <w:numPr>
          <w:ilvl w:val="0"/>
          <w:numId w:val="26"/>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נשים:</w:t>
      </w:r>
    </w:p>
    <w:tbl>
      <w:tblPr>
        <w:tblpPr w:leftFromText="180" w:rightFromText="180" w:vertAnchor="text" w:horzAnchor="margin" w:tblpXSpec="center" w:tblpY="177"/>
        <w:bidiVisual/>
        <w:tblW w:w="108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
        <w:gridCol w:w="895"/>
        <w:gridCol w:w="895"/>
        <w:gridCol w:w="895"/>
        <w:gridCol w:w="895"/>
        <w:gridCol w:w="895"/>
        <w:gridCol w:w="895"/>
        <w:gridCol w:w="895"/>
        <w:gridCol w:w="895"/>
        <w:gridCol w:w="895"/>
        <w:gridCol w:w="895"/>
        <w:gridCol w:w="895"/>
      </w:tblGrid>
      <w:tr w:rsidR="0045159B" w:rsidRPr="0045159B" w14:paraId="3D8F1023" w14:textId="77777777" w:rsidTr="0045159B">
        <w:trPr>
          <w:trHeight w:val="506"/>
        </w:trPr>
        <w:tc>
          <w:tcPr>
            <w:tcW w:w="962" w:type="dxa"/>
            <w:shd w:val="clear" w:color="auto" w:fill="auto"/>
            <w:vAlign w:val="bottom"/>
            <w:hideMark/>
          </w:tcPr>
          <w:p w14:paraId="2FC3BE1A" w14:textId="77777777" w:rsidR="0045159B" w:rsidRPr="0045159B" w:rsidRDefault="0045159B" w:rsidP="0045159B">
            <w:pPr>
              <w:overflowPunct w:val="0"/>
              <w:autoSpaceDE w:val="0"/>
              <w:autoSpaceDN w:val="0"/>
              <w:adjustRightInd w:val="0"/>
              <w:jc w:val="right"/>
              <w:textAlignment w:val="baseline"/>
              <w:rPr>
                <w:rFonts w:ascii="Arial" w:hAnsi="Arial" w:cs="Arial"/>
                <w:b/>
                <w:bCs/>
                <w:color w:val="000000"/>
                <w:sz w:val="20"/>
                <w:szCs w:val="20"/>
              </w:rPr>
            </w:pPr>
            <w:r w:rsidRPr="0045159B">
              <w:rPr>
                <w:rFonts w:ascii="Arial" w:hAnsi="Arial" w:cs="Arial"/>
                <w:b/>
                <w:bCs/>
                <w:color w:val="000000"/>
                <w:sz w:val="20"/>
                <w:szCs w:val="20"/>
                <w:rtl/>
              </w:rPr>
              <w:lastRenderedPageBreak/>
              <w:t>קבוצת גיל/ שנה</w:t>
            </w:r>
          </w:p>
        </w:tc>
        <w:tc>
          <w:tcPr>
            <w:tcW w:w="895" w:type="dxa"/>
            <w:shd w:val="clear" w:color="auto" w:fill="auto"/>
            <w:noWrap/>
            <w:vAlign w:val="center"/>
            <w:hideMark/>
          </w:tcPr>
          <w:p w14:paraId="0360AE6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tl/>
              </w:rPr>
            </w:pPr>
            <w:r w:rsidRPr="0045159B">
              <w:rPr>
                <w:rFonts w:ascii="Arial" w:hAnsi="Arial" w:cs="Arial"/>
                <w:b/>
                <w:bCs/>
                <w:color w:val="000000"/>
                <w:sz w:val="20"/>
                <w:szCs w:val="20"/>
              </w:rPr>
              <w:t>5-9</w:t>
            </w:r>
          </w:p>
        </w:tc>
        <w:tc>
          <w:tcPr>
            <w:tcW w:w="895" w:type="dxa"/>
            <w:shd w:val="clear" w:color="auto" w:fill="auto"/>
            <w:noWrap/>
            <w:vAlign w:val="center"/>
            <w:hideMark/>
          </w:tcPr>
          <w:p w14:paraId="2F109AA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c>
          <w:tcPr>
            <w:tcW w:w="895" w:type="dxa"/>
            <w:shd w:val="clear" w:color="auto" w:fill="auto"/>
            <w:noWrap/>
            <w:vAlign w:val="center"/>
            <w:hideMark/>
          </w:tcPr>
          <w:p w14:paraId="2B092F8A"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c>
          <w:tcPr>
            <w:tcW w:w="895" w:type="dxa"/>
            <w:shd w:val="clear" w:color="auto" w:fill="auto"/>
            <w:noWrap/>
            <w:vAlign w:val="center"/>
            <w:hideMark/>
          </w:tcPr>
          <w:p w14:paraId="1A71902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c>
          <w:tcPr>
            <w:tcW w:w="895" w:type="dxa"/>
            <w:shd w:val="clear" w:color="auto" w:fill="auto"/>
            <w:noWrap/>
            <w:vAlign w:val="center"/>
            <w:hideMark/>
          </w:tcPr>
          <w:p w14:paraId="11B526C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c>
          <w:tcPr>
            <w:tcW w:w="895" w:type="dxa"/>
            <w:shd w:val="clear" w:color="auto" w:fill="auto"/>
            <w:noWrap/>
            <w:vAlign w:val="center"/>
            <w:hideMark/>
          </w:tcPr>
          <w:p w14:paraId="6D9C7F1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c>
          <w:tcPr>
            <w:tcW w:w="895" w:type="dxa"/>
            <w:shd w:val="clear" w:color="auto" w:fill="auto"/>
            <w:noWrap/>
            <w:vAlign w:val="center"/>
            <w:hideMark/>
          </w:tcPr>
          <w:p w14:paraId="27C5AD4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c>
          <w:tcPr>
            <w:tcW w:w="895" w:type="dxa"/>
            <w:shd w:val="clear" w:color="auto" w:fill="auto"/>
            <w:noWrap/>
            <w:vAlign w:val="center"/>
            <w:hideMark/>
          </w:tcPr>
          <w:p w14:paraId="6594DDD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c>
          <w:tcPr>
            <w:tcW w:w="895" w:type="dxa"/>
            <w:shd w:val="clear" w:color="auto" w:fill="auto"/>
            <w:noWrap/>
            <w:vAlign w:val="center"/>
            <w:hideMark/>
          </w:tcPr>
          <w:p w14:paraId="1B0FA700"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c>
          <w:tcPr>
            <w:tcW w:w="895" w:type="dxa"/>
            <w:shd w:val="clear" w:color="auto" w:fill="auto"/>
            <w:noWrap/>
            <w:vAlign w:val="center"/>
            <w:hideMark/>
          </w:tcPr>
          <w:p w14:paraId="42866452"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90-94</w:t>
            </w:r>
          </w:p>
        </w:tc>
        <w:tc>
          <w:tcPr>
            <w:tcW w:w="895" w:type="dxa"/>
            <w:vAlign w:val="center"/>
          </w:tcPr>
          <w:p w14:paraId="38C375E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95+</w:t>
            </w:r>
          </w:p>
        </w:tc>
      </w:tr>
      <w:tr w:rsidR="0045159B" w:rsidRPr="0045159B" w14:paraId="61CA9FA0" w14:textId="77777777" w:rsidTr="0045159B">
        <w:trPr>
          <w:trHeight w:val="253"/>
        </w:trPr>
        <w:tc>
          <w:tcPr>
            <w:tcW w:w="962" w:type="dxa"/>
            <w:shd w:val="clear" w:color="auto" w:fill="auto"/>
            <w:noWrap/>
            <w:vAlign w:val="bottom"/>
            <w:hideMark/>
          </w:tcPr>
          <w:p w14:paraId="346AD3C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w:t>
            </w:r>
          </w:p>
        </w:tc>
        <w:tc>
          <w:tcPr>
            <w:tcW w:w="895" w:type="dxa"/>
            <w:shd w:val="clear" w:color="000000" w:fill="E2EFDA"/>
            <w:noWrap/>
            <w:vAlign w:val="bottom"/>
            <w:hideMark/>
          </w:tcPr>
          <w:p w14:paraId="014C251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31.0%</w:t>
            </w:r>
          </w:p>
        </w:tc>
        <w:tc>
          <w:tcPr>
            <w:tcW w:w="895" w:type="dxa"/>
            <w:shd w:val="clear" w:color="000000" w:fill="E2EFDA"/>
            <w:noWrap/>
            <w:vAlign w:val="bottom"/>
            <w:hideMark/>
          </w:tcPr>
          <w:p w14:paraId="613766A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41.6%</w:t>
            </w:r>
          </w:p>
        </w:tc>
        <w:tc>
          <w:tcPr>
            <w:tcW w:w="895" w:type="dxa"/>
            <w:shd w:val="clear" w:color="000000" w:fill="E2EFDA"/>
            <w:noWrap/>
            <w:vAlign w:val="bottom"/>
            <w:hideMark/>
          </w:tcPr>
          <w:p w14:paraId="2569EE3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41.6%</w:t>
            </w:r>
          </w:p>
        </w:tc>
        <w:tc>
          <w:tcPr>
            <w:tcW w:w="895" w:type="dxa"/>
            <w:shd w:val="clear" w:color="000000" w:fill="E2EFDA"/>
            <w:noWrap/>
            <w:vAlign w:val="bottom"/>
            <w:hideMark/>
          </w:tcPr>
          <w:p w14:paraId="6BE44EE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49.1%</w:t>
            </w:r>
          </w:p>
        </w:tc>
        <w:tc>
          <w:tcPr>
            <w:tcW w:w="895" w:type="dxa"/>
            <w:shd w:val="clear" w:color="000000" w:fill="E2EFDA"/>
            <w:noWrap/>
            <w:vAlign w:val="bottom"/>
            <w:hideMark/>
          </w:tcPr>
          <w:p w14:paraId="30B2EF9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49.1%</w:t>
            </w:r>
          </w:p>
        </w:tc>
        <w:tc>
          <w:tcPr>
            <w:tcW w:w="895" w:type="dxa"/>
            <w:shd w:val="clear" w:color="000000" w:fill="E2EFDA"/>
            <w:noWrap/>
            <w:vAlign w:val="bottom"/>
            <w:hideMark/>
          </w:tcPr>
          <w:p w14:paraId="5B9E7CC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45.3%</w:t>
            </w:r>
          </w:p>
        </w:tc>
        <w:tc>
          <w:tcPr>
            <w:tcW w:w="895" w:type="dxa"/>
            <w:shd w:val="clear" w:color="000000" w:fill="E2EFDA"/>
            <w:noWrap/>
            <w:vAlign w:val="bottom"/>
            <w:hideMark/>
          </w:tcPr>
          <w:p w14:paraId="6A24A61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37.6%</w:t>
            </w:r>
          </w:p>
        </w:tc>
        <w:tc>
          <w:tcPr>
            <w:tcW w:w="895" w:type="dxa"/>
            <w:shd w:val="clear" w:color="000000" w:fill="E2EFDA"/>
            <w:noWrap/>
            <w:vAlign w:val="bottom"/>
            <w:hideMark/>
          </w:tcPr>
          <w:p w14:paraId="1B05BAF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23.0%</w:t>
            </w:r>
          </w:p>
        </w:tc>
        <w:tc>
          <w:tcPr>
            <w:tcW w:w="895" w:type="dxa"/>
            <w:shd w:val="clear" w:color="000000" w:fill="E2EFDA"/>
            <w:noWrap/>
            <w:vAlign w:val="bottom"/>
            <w:hideMark/>
          </w:tcPr>
          <w:p w14:paraId="45E28F6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1FA4AEC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18.4%</w:t>
            </w:r>
          </w:p>
        </w:tc>
        <w:tc>
          <w:tcPr>
            <w:tcW w:w="895" w:type="dxa"/>
            <w:shd w:val="clear" w:color="000000" w:fill="E2EFDA"/>
            <w:vAlign w:val="bottom"/>
          </w:tcPr>
          <w:p w14:paraId="0BD0BC0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22.5%</w:t>
            </w:r>
          </w:p>
        </w:tc>
      </w:tr>
      <w:tr w:rsidR="0045159B" w:rsidRPr="0045159B" w14:paraId="7BB511CC" w14:textId="77777777" w:rsidTr="0045159B">
        <w:trPr>
          <w:trHeight w:val="253"/>
        </w:trPr>
        <w:tc>
          <w:tcPr>
            <w:tcW w:w="962" w:type="dxa"/>
            <w:shd w:val="clear" w:color="auto" w:fill="auto"/>
            <w:noWrap/>
            <w:vAlign w:val="bottom"/>
            <w:hideMark/>
          </w:tcPr>
          <w:p w14:paraId="355AAEB8"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w:t>
            </w:r>
          </w:p>
        </w:tc>
        <w:tc>
          <w:tcPr>
            <w:tcW w:w="895" w:type="dxa"/>
            <w:shd w:val="clear" w:color="000000" w:fill="E2EFDA"/>
            <w:noWrap/>
            <w:vAlign w:val="bottom"/>
            <w:hideMark/>
          </w:tcPr>
          <w:p w14:paraId="72ED8A6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9.6%</w:t>
            </w:r>
          </w:p>
        </w:tc>
        <w:tc>
          <w:tcPr>
            <w:tcW w:w="895" w:type="dxa"/>
            <w:shd w:val="clear" w:color="000000" w:fill="E2EFDA"/>
            <w:noWrap/>
            <w:vAlign w:val="bottom"/>
            <w:hideMark/>
          </w:tcPr>
          <w:p w14:paraId="1DE38F2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3DF776D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59975F1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17.2%</w:t>
            </w:r>
          </w:p>
        </w:tc>
        <w:tc>
          <w:tcPr>
            <w:tcW w:w="895" w:type="dxa"/>
            <w:shd w:val="clear" w:color="000000" w:fill="E2EFDA"/>
            <w:noWrap/>
            <w:vAlign w:val="bottom"/>
            <w:hideMark/>
          </w:tcPr>
          <w:p w14:paraId="1F26C8C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17.2%</w:t>
            </w:r>
          </w:p>
        </w:tc>
        <w:tc>
          <w:tcPr>
            <w:tcW w:w="895" w:type="dxa"/>
            <w:shd w:val="clear" w:color="000000" w:fill="E2EFDA"/>
            <w:noWrap/>
            <w:vAlign w:val="bottom"/>
            <w:hideMark/>
          </w:tcPr>
          <w:p w14:paraId="2DF207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16.7%</w:t>
            </w:r>
          </w:p>
        </w:tc>
        <w:tc>
          <w:tcPr>
            <w:tcW w:w="895" w:type="dxa"/>
            <w:shd w:val="clear" w:color="000000" w:fill="E2EFDA"/>
            <w:noWrap/>
            <w:vAlign w:val="bottom"/>
            <w:hideMark/>
          </w:tcPr>
          <w:p w14:paraId="391F980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17.6%</w:t>
            </w:r>
          </w:p>
        </w:tc>
        <w:tc>
          <w:tcPr>
            <w:tcW w:w="895" w:type="dxa"/>
            <w:shd w:val="clear" w:color="000000" w:fill="E2EFDA"/>
            <w:noWrap/>
            <w:vAlign w:val="bottom"/>
            <w:hideMark/>
          </w:tcPr>
          <w:p w14:paraId="0C18317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13.5%</w:t>
            </w:r>
          </w:p>
        </w:tc>
        <w:tc>
          <w:tcPr>
            <w:tcW w:w="895" w:type="dxa"/>
            <w:shd w:val="clear" w:color="000000" w:fill="E2EFDA"/>
            <w:noWrap/>
            <w:vAlign w:val="bottom"/>
            <w:hideMark/>
          </w:tcPr>
          <w:p w14:paraId="172F664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13.8%</w:t>
            </w:r>
          </w:p>
        </w:tc>
        <w:tc>
          <w:tcPr>
            <w:tcW w:w="895" w:type="dxa"/>
            <w:shd w:val="clear" w:color="000000" w:fill="E2EFDA"/>
            <w:noWrap/>
            <w:vAlign w:val="bottom"/>
            <w:hideMark/>
          </w:tcPr>
          <w:p w14:paraId="10743B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18.7%</w:t>
            </w:r>
          </w:p>
        </w:tc>
        <w:tc>
          <w:tcPr>
            <w:tcW w:w="895" w:type="dxa"/>
            <w:shd w:val="clear" w:color="000000" w:fill="E2EFDA"/>
            <w:vAlign w:val="bottom"/>
          </w:tcPr>
          <w:p w14:paraId="562C473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21.4%</w:t>
            </w:r>
          </w:p>
        </w:tc>
      </w:tr>
      <w:tr w:rsidR="0045159B" w:rsidRPr="0045159B" w14:paraId="4FBF269A" w14:textId="77777777" w:rsidTr="0045159B">
        <w:trPr>
          <w:trHeight w:val="253"/>
        </w:trPr>
        <w:tc>
          <w:tcPr>
            <w:tcW w:w="962" w:type="dxa"/>
            <w:shd w:val="clear" w:color="auto" w:fill="auto"/>
            <w:noWrap/>
            <w:vAlign w:val="bottom"/>
            <w:hideMark/>
          </w:tcPr>
          <w:p w14:paraId="6C78B2D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3</w:t>
            </w:r>
          </w:p>
        </w:tc>
        <w:tc>
          <w:tcPr>
            <w:tcW w:w="895" w:type="dxa"/>
            <w:shd w:val="clear" w:color="000000" w:fill="E2EFDA"/>
            <w:noWrap/>
            <w:vAlign w:val="bottom"/>
            <w:hideMark/>
          </w:tcPr>
          <w:p w14:paraId="6D73074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70EB08C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7.3%</w:t>
            </w:r>
          </w:p>
        </w:tc>
        <w:tc>
          <w:tcPr>
            <w:tcW w:w="895" w:type="dxa"/>
            <w:shd w:val="clear" w:color="000000" w:fill="E2EFDA"/>
            <w:noWrap/>
            <w:vAlign w:val="bottom"/>
            <w:hideMark/>
          </w:tcPr>
          <w:p w14:paraId="03BCC05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7.3%</w:t>
            </w:r>
          </w:p>
        </w:tc>
        <w:tc>
          <w:tcPr>
            <w:tcW w:w="895" w:type="dxa"/>
            <w:shd w:val="clear" w:color="000000" w:fill="E2EFDA"/>
            <w:noWrap/>
            <w:vAlign w:val="bottom"/>
            <w:hideMark/>
          </w:tcPr>
          <w:p w14:paraId="7B2BA1C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53EAE0E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74C3F1C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10.7%</w:t>
            </w:r>
          </w:p>
        </w:tc>
        <w:tc>
          <w:tcPr>
            <w:tcW w:w="895" w:type="dxa"/>
            <w:shd w:val="clear" w:color="000000" w:fill="E2EFDA"/>
            <w:noWrap/>
            <w:vAlign w:val="bottom"/>
            <w:hideMark/>
          </w:tcPr>
          <w:p w14:paraId="1C1F985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13.2%</w:t>
            </w:r>
          </w:p>
        </w:tc>
        <w:tc>
          <w:tcPr>
            <w:tcW w:w="895" w:type="dxa"/>
            <w:shd w:val="clear" w:color="000000" w:fill="E2EFDA"/>
            <w:noWrap/>
            <w:vAlign w:val="bottom"/>
            <w:hideMark/>
          </w:tcPr>
          <w:p w14:paraId="03251AC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13.0%</w:t>
            </w:r>
          </w:p>
        </w:tc>
        <w:tc>
          <w:tcPr>
            <w:tcW w:w="895" w:type="dxa"/>
            <w:shd w:val="clear" w:color="000000" w:fill="E2EFDA"/>
            <w:noWrap/>
            <w:vAlign w:val="bottom"/>
            <w:hideMark/>
          </w:tcPr>
          <w:p w14:paraId="4181FD5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32E0EEC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19.4%</w:t>
            </w:r>
          </w:p>
        </w:tc>
        <w:tc>
          <w:tcPr>
            <w:tcW w:w="895" w:type="dxa"/>
            <w:shd w:val="clear" w:color="000000" w:fill="E2EFDA"/>
            <w:vAlign w:val="bottom"/>
          </w:tcPr>
          <w:p w14:paraId="7A349ED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25.6%</w:t>
            </w:r>
          </w:p>
        </w:tc>
      </w:tr>
      <w:tr w:rsidR="0045159B" w:rsidRPr="0045159B" w14:paraId="013475D9" w14:textId="77777777" w:rsidTr="0045159B">
        <w:trPr>
          <w:trHeight w:val="253"/>
        </w:trPr>
        <w:tc>
          <w:tcPr>
            <w:tcW w:w="962" w:type="dxa"/>
            <w:shd w:val="clear" w:color="auto" w:fill="auto"/>
            <w:noWrap/>
            <w:vAlign w:val="bottom"/>
            <w:hideMark/>
          </w:tcPr>
          <w:p w14:paraId="7338C346"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4</w:t>
            </w:r>
          </w:p>
        </w:tc>
        <w:tc>
          <w:tcPr>
            <w:tcW w:w="895" w:type="dxa"/>
            <w:shd w:val="clear" w:color="000000" w:fill="E2EFDA"/>
            <w:noWrap/>
            <w:vAlign w:val="bottom"/>
            <w:hideMark/>
          </w:tcPr>
          <w:p w14:paraId="63A852C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4B7BBFE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657E02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2E34717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6.2%</w:t>
            </w:r>
          </w:p>
        </w:tc>
        <w:tc>
          <w:tcPr>
            <w:tcW w:w="895" w:type="dxa"/>
            <w:shd w:val="clear" w:color="000000" w:fill="E2EFDA"/>
            <w:noWrap/>
            <w:vAlign w:val="bottom"/>
            <w:hideMark/>
          </w:tcPr>
          <w:p w14:paraId="2CF22D2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6.2%</w:t>
            </w:r>
          </w:p>
        </w:tc>
        <w:tc>
          <w:tcPr>
            <w:tcW w:w="895" w:type="dxa"/>
            <w:shd w:val="clear" w:color="000000" w:fill="E2EFDA"/>
            <w:noWrap/>
            <w:vAlign w:val="bottom"/>
            <w:hideMark/>
          </w:tcPr>
          <w:p w14:paraId="61BA6D0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47F6AE0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11.4%</w:t>
            </w:r>
          </w:p>
        </w:tc>
        <w:tc>
          <w:tcPr>
            <w:tcW w:w="895" w:type="dxa"/>
            <w:shd w:val="clear" w:color="000000" w:fill="E2EFDA"/>
            <w:noWrap/>
            <w:vAlign w:val="bottom"/>
            <w:hideMark/>
          </w:tcPr>
          <w:p w14:paraId="5D7EB9E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12.5%</w:t>
            </w:r>
          </w:p>
        </w:tc>
        <w:tc>
          <w:tcPr>
            <w:tcW w:w="895" w:type="dxa"/>
            <w:shd w:val="clear" w:color="000000" w:fill="E2EFDA"/>
            <w:noWrap/>
            <w:vAlign w:val="bottom"/>
            <w:hideMark/>
          </w:tcPr>
          <w:p w14:paraId="61AF973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16.7%</w:t>
            </w:r>
          </w:p>
        </w:tc>
        <w:tc>
          <w:tcPr>
            <w:tcW w:w="895" w:type="dxa"/>
            <w:shd w:val="clear" w:color="000000" w:fill="E2EFDA"/>
            <w:noWrap/>
            <w:vAlign w:val="bottom"/>
            <w:hideMark/>
          </w:tcPr>
          <w:p w14:paraId="2848AB7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23.1%</w:t>
            </w:r>
          </w:p>
        </w:tc>
        <w:tc>
          <w:tcPr>
            <w:tcW w:w="895" w:type="dxa"/>
            <w:shd w:val="clear" w:color="000000" w:fill="E2EFDA"/>
            <w:vAlign w:val="bottom"/>
          </w:tcPr>
          <w:p w14:paraId="06E7AF1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36.1%</w:t>
            </w:r>
          </w:p>
        </w:tc>
      </w:tr>
      <w:tr w:rsidR="0045159B" w:rsidRPr="0045159B" w14:paraId="31089FCE" w14:textId="77777777" w:rsidTr="0045159B">
        <w:trPr>
          <w:trHeight w:val="253"/>
        </w:trPr>
        <w:tc>
          <w:tcPr>
            <w:tcW w:w="962" w:type="dxa"/>
            <w:shd w:val="clear" w:color="auto" w:fill="auto"/>
            <w:noWrap/>
            <w:vAlign w:val="bottom"/>
            <w:hideMark/>
          </w:tcPr>
          <w:p w14:paraId="5499C8AB"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5</w:t>
            </w:r>
          </w:p>
        </w:tc>
        <w:tc>
          <w:tcPr>
            <w:tcW w:w="895" w:type="dxa"/>
            <w:shd w:val="clear" w:color="000000" w:fill="E2EFDA"/>
            <w:noWrap/>
            <w:vAlign w:val="bottom"/>
            <w:hideMark/>
          </w:tcPr>
          <w:p w14:paraId="2AB422D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w:t>
            </w:r>
          </w:p>
        </w:tc>
        <w:tc>
          <w:tcPr>
            <w:tcW w:w="895" w:type="dxa"/>
            <w:shd w:val="clear" w:color="000000" w:fill="E2EFDA"/>
            <w:noWrap/>
            <w:vAlign w:val="bottom"/>
            <w:hideMark/>
          </w:tcPr>
          <w:p w14:paraId="5BAA35F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2BE497E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7BA5211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0.7%</w:t>
            </w:r>
          </w:p>
        </w:tc>
        <w:tc>
          <w:tcPr>
            <w:tcW w:w="895" w:type="dxa"/>
            <w:shd w:val="clear" w:color="000000" w:fill="E2EFDA"/>
            <w:noWrap/>
            <w:vAlign w:val="bottom"/>
            <w:hideMark/>
          </w:tcPr>
          <w:p w14:paraId="08F409F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152FE81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5.0%</w:t>
            </w:r>
          </w:p>
        </w:tc>
        <w:tc>
          <w:tcPr>
            <w:tcW w:w="895" w:type="dxa"/>
            <w:shd w:val="clear" w:color="000000" w:fill="E2EFDA"/>
            <w:noWrap/>
            <w:vAlign w:val="bottom"/>
            <w:hideMark/>
          </w:tcPr>
          <w:p w14:paraId="69E737C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6654D34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12.0%</w:t>
            </w:r>
          </w:p>
        </w:tc>
        <w:tc>
          <w:tcPr>
            <w:tcW w:w="895" w:type="dxa"/>
            <w:shd w:val="clear" w:color="000000" w:fill="E2EFDA"/>
            <w:noWrap/>
            <w:vAlign w:val="bottom"/>
            <w:hideMark/>
          </w:tcPr>
          <w:p w14:paraId="5F3ACE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17.1%</w:t>
            </w:r>
          </w:p>
        </w:tc>
        <w:tc>
          <w:tcPr>
            <w:tcW w:w="895" w:type="dxa"/>
            <w:shd w:val="clear" w:color="000000" w:fill="E2EFDA"/>
            <w:noWrap/>
            <w:vAlign w:val="bottom"/>
            <w:hideMark/>
          </w:tcPr>
          <w:p w14:paraId="6E21E69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23.7%</w:t>
            </w:r>
          </w:p>
        </w:tc>
        <w:tc>
          <w:tcPr>
            <w:tcW w:w="895" w:type="dxa"/>
            <w:shd w:val="clear" w:color="000000" w:fill="E2EFDA"/>
            <w:vAlign w:val="bottom"/>
          </w:tcPr>
          <w:p w14:paraId="25971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39.6%</w:t>
            </w:r>
          </w:p>
        </w:tc>
      </w:tr>
      <w:tr w:rsidR="0045159B" w:rsidRPr="0045159B" w14:paraId="31998173" w14:textId="77777777" w:rsidTr="0045159B">
        <w:trPr>
          <w:trHeight w:val="253"/>
        </w:trPr>
        <w:tc>
          <w:tcPr>
            <w:tcW w:w="962" w:type="dxa"/>
            <w:shd w:val="clear" w:color="auto" w:fill="auto"/>
            <w:noWrap/>
            <w:vAlign w:val="bottom"/>
            <w:hideMark/>
          </w:tcPr>
          <w:p w14:paraId="32E7626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6</w:t>
            </w:r>
          </w:p>
        </w:tc>
        <w:tc>
          <w:tcPr>
            <w:tcW w:w="895" w:type="dxa"/>
            <w:shd w:val="clear" w:color="auto" w:fill="auto"/>
            <w:noWrap/>
            <w:vAlign w:val="bottom"/>
            <w:hideMark/>
          </w:tcPr>
          <w:p w14:paraId="71B7B91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044FB8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17339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C775E9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A746C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4F7AB8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w:t>
            </w:r>
          </w:p>
        </w:tc>
        <w:tc>
          <w:tcPr>
            <w:tcW w:w="895" w:type="dxa"/>
            <w:shd w:val="clear" w:color="auto" w:fill="auto"/>
            <w:noWrap/>
            <w:vAlign w:val="bottom"/>
            <w:hideMark/>
          </w:tcPr>
          <w:p w14:paraId="31F5128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21D402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11.7%</w:t>
            </w:r>
          </w:p>
        </w:tc>
        <w:tc>
          <w:tcPr>
            <w:tcW w:w="895" w:type="dxa"/>
            <w:shd w:val="clear" w:color="auto" w:fill="auto"/>
            <w:noWrap/>
            <w:vAlign w:val="bottom"/>
            <w:hideMark/>
          </w:tcPr>
          <w:p w14:paraId="5D6B43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20.9%</w:t>
            </w:r>
          </w:p>
        </w:tc>
        <w:tc>
          <w:tcPr>
            <w:tcW w:w="895" w:type="dxa"/>
            <w:shd w:val="clear" w:color="auto" w:fill="auto"/>
            <w:noWrap/>
            <w:vAlign w:val="bottom"/>
            <w:hideMark/>
          </w:tcPr>
          <w:p w14:paraId="771A10B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28.3%</w:t>
            </w:r>
          </w:p>
        </w:tc>
        <w:tc>
          <w:tcPr>
            <w:tcW w:w="895" w:type="dxa"/>
            <w:vAlign w:val="bottom"/>
          </w:tcPr>
          <w:p w14:paraId="3E006E7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9446227" w14:textId="77777777" w:rsidTr="0045159B">
        <w:trPr>
          <w:trHeight w:val="253"/>
        </w:trPr>
        <w:tc>
          <w:tcPr>
            <w:tcW w:w="962" w:type="dxa"/>
            <w:shd w:val="clear" w:color="auto" w:fill="auto"/>
            <w:noWrap/>
            <w:vAlign w:val="bottom"/>
            <w:hideMark/>
          </w:tcPr>
          <w:p w14:paraId="6907EC8C"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7</w:t>
            </w:r>
          </w:p>
        </w:tc>
        <w:tc>
          <w:tcPr>
            <w:tcW w:w="895" w:type="dxa"/>
            <w:shd w:val="clear" w:color="auto" w:fill="auto"/>
            <w:noWrap/>
            <w:vAlign w:val="bottom"/>
            <w:hideMark/>
          </w:tcPr>
          <w:p w14:paraId="700A93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0CB2FC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DF508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C4ACEC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CEC6E0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65450C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250FD3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6.2%</w:t>
            </w:r>
          </w:p>
        </w:tc>
        <w:tc>
          <w:tcPr>
            <w:tcW w:w="895" w:type="dxa"/>
            <w:shd w:val="clear" w:color="auto" w:fill="auto"/>
            <w:noWrap/>
            <w:vAlign w:val="bottom"/>
            <w:hideMark/>
          </w:tcPr>
          <w:p w14:paraId="6B27FE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12.4%</w:t>
            </w:r>
          </w:p>
        </w:tc>
        <w:tc>
          <w:tcPr>
            <w:tcW w:w="895" w:type="dxa"/>
            <w:shd w:val="clear" w:color="auto" w:fill="auto"/>
            <w:noWrap/>
            <w:vAlign w:val="bottom"/>
            <w:hideMark/>
          </w:tcPr>
          <w:p w14:paraId="7859E84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22.0%</w:t>
            </w:r>
          </w:p>
        </w:tc>
        <w:tc>
          <w:tcPr>
            <w:tcW w:w="895" w:type="dxa"/>
            <w:shd w:val="clear" w:color="auto" w:fill="auto"/>
            <w:noWrap/>
            <w:vAlign w:val="bottom"/>
            <w:hideMark/>
          </w:tcPr>
          <w:p w14:paraId="2C2FFB5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29.1%</w:t>
            </w:r>
          </w:p>
        </w:tc>
        <w:tc>
          <w:tcPr>
            <w:tcW w:w="895" w:type="dxa"/>
            <w:vAlign w:val="bottom"/>
          </w:tcPr>
          <w:p w14:paraId="47C986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BB65E0A" w14:textId="77777777" w:rsidTr="0045159B">
        <w:trPr>
          <w:trHeight w:val="253"/>
        </w:trPr>
        <w:tc>
          <w:tcPr>
            <w:tcW w:w="962" w:type="dxa"/>
            <w:shd w:val="clear" w:color="auto" w:fill="auto"/>
            <w:noWrap/>
            <w:vAlign w:val="bottom"/>
            <w:hideMark/>
          </w:tcPr>
          <w:p w14:paraId="6F762E2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8</w:t>
            </w:r>
          </w:p>
        </w:tc>
        <w:tc>
          <w:tcPr>
            <w:tcW w:w="895" w:type="dxa"/>
            <w:shd w:val="clear" w:color="auto" w:fill="auto"/>
            <w:noWrap/>
            <w:vAlign w:val="bottom"/>
            <w:hideMark/>
          </w:tcPr>
          <w:p w14:paraId="23D6ADD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DD913F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BDF96F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AE55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A1785D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43762A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w:t>
            </w:r>
          </w:p>
        </w:tc>
        <w:tc>
          <w:tcPr>
            <w:tcW w:w="895" w:type="dxa"/>
            <w:shd w:val="clear" w:color="auto" w:fill="auto"/>
            <w:noWrap/>
            <w:vAlign w:val="bottom"/>
            <w:hideMark/>
          </w:tcPr>
          <w:p w14:paraId="2752D09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6.7%</w:t>
            </w:r>
          </w:p>
        </w:tc>
        <w:tc>
          <w:tcPr>
            <w:tcW w:w="895" w:type="dxa"/>
            <w:shd w:val="clear" w:color="auto" w:fill="auto"/>
            <w:noWrap/>
            <w:vAlign w:val="bottom"/>
            <w:hideMark/>
          </w:tcPr>
          <w:p w14:paraId="2F18AC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60AD42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23.2%</w:t>
            </w:r>
          </w:p>
        </w:tc>
        <w:tc>
          <w:tcPr>
            <w:tcW w:w="895" w:type="dxa"/>
            <w:shd w:val="clear" w:color="auto" w:fill="auto"/>
            <w:noWrap/>
            <w:vAlign w:val="bottom"/>
            <w:hideMark/>
          </w:tcPr>
          <w:p w14:paraId="71D37D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30.5%</w:t>
            </w:r>
          </w:p>
        </w:tc>
        <w:tc>
          <w:tcPr>
            <w:tcW w:w="895" w:type="dxa"/>
            <w:vAlign w:val="bottom"/>
          </w:tcPr>
          <w:p w14:paraId="5983433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130D822" w14:textId="77777777" w:rsidTr="0045159B">
        <w:trPr>
          <w:trHeight w:val="253"/>
        </w:trPr>
        <w:tc>
          <w:tcPr>
            <w:tcW w:w="962" w:type="dxa"/>
            <w:shd w:val="clear" w:color="auto" w:fill="auto"/>
            <w:noWrap/>
            <w:vAlign w:val="bottom"/>
            <w:hideMark/>
          </w:tcPr>
          <w:p w14:paraId="3E425CE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9</w:t>
            </w:r>
          </w:p>
        </w:tc>
        <w:tc>
          <w:tcPr>
            <w:tcW w:w="895" w:type="dxa"/>
            <w:shd w:val="clear" w:color="auto" w:fill="auto"/>
            <w:noWrap/>
            <w:vAlign w:val="bottom"/>
            <w:hideMark/>
          </w:tcPr>
          <w:p w14:paraId="12F3F2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3A148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D5ED37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9E43A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3A058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962C3D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6D0093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7.2%</w:t>
            </w:r>
          </w:p>
        </w:tc>
        <w:tc>
          <w:tcPr>
            <w:tcW w:w="895" w:type="dxa"/>
            <w:shd w:val="clear" w:color="auto" w:fill="auto"/>
            <w:noWrap/>
            <w:vAlign w:val="bottom"/>
            <w:hideMark/>
          </w:tcPr>
          <w:p w14:paraId="4A3236B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14.0%</w:t>
            </w:r>
          </w:p>
        </w:tc>
        <w:tc>
          <w:tcPr>
            <w:tcW w:w="895" w:type="dxa"/>
            <w:shd w:val="clear" w:color="auto" w:fill="auto"/>
            <w:noWrap/>
            <w:vAlign w:val="bottom"/>
            <w:hideMark/>
          </w:tcPr>
          <w:p w14:paraId="036A33B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24.4%</w:t>
            </w:r>
          </w:p>
        </w:tc>
        <w:tc>
          <w:tcPr>
            <w:tcW w:w="895" w:type="dxa"/>
            <w:shd w:val="clear" w:color="auto" w:fill="auto"/>
            <w:noWrap/>
            <w:vAlign w:val="bottom"/>
            <w:hideMark/>
          </w:tcPr>
          <w:p w14:paraId="1C4FE66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31.9%</w:t>
            </w:r>
          </w:p>
        </w:tc>
        <w:tc>
          <w:tcPr>
            <w:tcW w:w="895" w:type="dxa"/>
            <w:vAlign w:val="bottom"/>
          </w:tcPr>
          <w:p w14:paraId="4045CF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3B5BA3B7" w14:textId="77777777" w:rsidTr="0045159B">
        <w:trPr>
          <w:trHeight w:val="253"/>
        </w:trPr>
        <w:tc>
          <w:tcPr>
            <w:tcW w:w="962" w:type="dxa"/>
            <w:shd w:val="clear" w:color="auto" w:fill="auto"/>
            <w:noWrap/>
            <w:vAlign w:val="bottom"/>
            <w:hideMark/>
          </w:tcPr>
          <w:p w14:paraId="59E076C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10</w:t>
            </w:r>
          </w:p>
        </w:tc>
        <w:tc>
          <w:tcPr>
            <w:tcW w:w="895" w:type="dxa"/>
            <w:shd w:val="clear" w:color="auto" w:fill="auto"/>
            <w:noWrap/>
            <w:vAlign w:val="bottom"/>
            <w:hideMark/>
          </w:tcPr>
          <w:p w14:paraId="133995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33297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6FD38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720D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18428A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461850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2DE77D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7.7%</w:t>
            </w:r>
          </w:p>
        </w:tc>
        <w:tc>
          <w:tcPr>
            <w:tcW w:w="895" w:type="dxa"/>
            <w:shd w:val="clear" w:color="auto" w:fill="auto"/>
            <w:noWrap/>
            <w:vAlign w:val="bottom"/>
            <w:hideMark/>
          </w:tcPr>
          <w:p w14:paraId="24C6BE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14.9%</w:t>
            </w:r>
          </w:p>
        </w:tc>
        <w:tc>
          <w:tcPr>
            <w:tcW w:w="895" w:type="dxa"/>
            <w:shd w:val="clear" w:color="auto" w:fill="auto"/>
            <w:noWrap/>
            <w:vAlign w:val="bottom"/>
            <w:hideMark/>
          </w:tcPr>
          <w:p w14:paraId="779042A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25.6%</w:t>
            </w:r>
          </w:p>
        </w:tc>
        <w:tc>
          <w:tcPr>
            <w:tcW w:w="895" w:type="dxa"/>
            <w:shd w:val="clear" w:color="auto" w:fill="auto"/>
            <w:noWrap/>
            <w:vAlign w:val="bottom"/>
            <w:hideMark/>
          </w:tcPr>
          <w:p w14:paraId="745B0E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33.3%</w:t>
            </w:r>
          </w:p>
        </w:tc>
        <w:tc>
          <w:tcPr>
            <w:tcW w:w="895" w:type="dxa"/>
            <w:vAlign w:val="bottom"/>
          </w:tcPr>
          <w:p w14:paraId="643E0B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E9A0998" w14:textId="77777777" w:rsidTr="0045159B">
        <w:trPr>
          <w:trHeight w:val="253"/>
        </w:trPr>
        <w:tc>
          <w:tcPr>
            <w:tcW w:w="962" w:type="dxa"/>
            <w:shd w:val="clear" w:color="auto" w:fill="auto"/>
            <w:noWrap/>
            <w:vAlign w:val="bottom"/>
            <w:hideMark/>
          </w:tcPr>
          <w:p w14:paraId="45A4748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11</w:t>
            </w:r>
          </w:p>
        </w:tc>
        <w:tc>
          <w:tcPr>
            <w:tcW w:w="895" w:type="dxa"/>
            <w:shd w:val="clear" w:color="auto" w:fill="auto"/>
            <w:noWrap/>
            <w:vAlign w:val="bottom"/>
            <w:hideMark/>
          </w:tcPr>
          <w:p w14:paraId="5118339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880170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50116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5C82E7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0BAB9D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51D413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w:t>
            </w:r>
          </w:p>
        </w:tc>
        <w:tc>
          <w:tcPr>
            <w:tcW w:w="895" w:type="dxa"/>
            <w:shd w:val="clear" w:color="auto" w:fill="auto"/>
            <w:noWrap/>
            <w:vAlign w:val="bottom"/>
            <w:hideMark/>
          </w:tcPr>
          <w:p w14:paraId="4FF0BB2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8.3%</w:t>
            </w:r>
          </w:p>
        </w:tc>
        <w:tc>
          <w:tcPr>
            <w:tcW w:w="895" w:type="dxa"/>
            <w:shd w:val="clear" w:color="auto" w:fill="auto"/>
            <w:noWrap/>
            <w:vAlign w:val="bottom"/>
            <w:hideMark/>
          </w:tcPr>
          <w:p w14:paraId="6147BE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15.8%</w:t>
            </w:r>
          </w:p>
        </w:tc>
        <w:tc>
          <w:tcPr>
            <w:tcW w:w="895" w:type="dxa"/>
            <w:shd w:val="clear" w:color="auto" w:fill="auto"/>
            <w:noWrap/>
            <w:vAlign w:val="bottom"/>
            <w:hideMark/>
          </w:tcPr>
          <w:p w14:paraId="1869C21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26.9%</w:t>
            </w:r>
          </w:p>
        </w:tc>
        <w:tc>
          <w:tcPr>
            <w:tcW w:w="895" w:type="dxa"/>
            <w:shd w:val="clear" w:color="auto" w:fill="auto"/>
            <w:noWrap/>
            <w:vAlign w:val="bottom"/>
            <w:hideMark/>
          </w:tcPr>
          <w:p w14:paraId="2C47D9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5B797C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780F64E" w14:textId="77777777" w:rsidTr="0045159B">
        <w:trPr>
          <w:trHeight w:val="253"/>
        </w:trPr>
        <w:tc>
          <w:tcPr>
            <w:tcW w:w="962" w:type="dxa"/>
            <w:shd w:val="clear" w:color="auto" w:fill="auto"/>
            <w:noWrap/>
            <w:vAlign w:val="bottom"/>
            <w:hideMark/>
          </w:tcPr>
          <w:p w14:paraId="566EEF7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12</w:t>
            </w:r>
          </w:p>
        </w:tc>
        <w:tc>
          <w:tcPr>
            <w:tcW w:w="895" w:type="dxa"/>
            <w:shd w:val="clear" w:color="auto" w:fill="auto"/>
            <w:noWrap/>
            <w:vAlign w:val="bottom"/>
            <w:hideMark/>
          </w:tcPr>
          <w:p w14:paraId="78E6CED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9995FE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FFEB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3FB0A4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10C74CF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w:t>
            </w:r>
          </w:p>
        </w:tc>
        <w:tc>
          <w:tcPr>
            <w:tcW w:w="895" w:type="dxa"/>
            <w:shd w:val="clear" w:color="auto" w:fill="auto"/>
            <w:noWrap/>
            <w:vAlign w:val="bottom"/>
            <w:hideMark/>
          </w:tcPr>
          <w:p w14:paraId="48E193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4.1%</w:t>
            </w:r>
          </w:p>
        </w:tc>
        <w:tc>
          <w:tcPr>
            <w:tcW w:w="895" w:type="dxa"/>
            <w:shd w:val="clear" w:color="auto" w:fill="auto"/>
            <w:noWrap/>
            <w:vAlign w:val="bottom"/>
            <w:hideMark/>
          </w:tcPr>
          <w:p w14:paraId="10DFA15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8.9%</w:t>
            </w:r>
          </w:p>
        </w:tc>
        <w:tc>
          <w:tcPr>
            <w:tcW w:w="895" w:type="dxa"/>
            <w:shd w:val="clear" w:color="auto" w:fill="auto"/>
            <w:noWrap/>
            <w:vAlign w:val="bottom"/>
            <w:hideMark/>
          </w:tcPr>
          <w:p w14:paraId="6E3C794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16.8%</w:t>
            </w:r>
          </w:p>
        </w:tc>
        <w:tc>
          <w:tcPr>
            <w:tcW w:w="895" w:type="dxa"/>
            <w:shd w:val="clear" w:color="auto" w:fill="auto"/>
            <w:noWrap/>
            <w:vAlign w:val="bottom"/>
            <w:hideMark/>
          </w:tcPr>
          <w:p w14:paraId="2105F60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28.3%</w:t>
            </w:r>
          </w:p>
        </w:tc>
        <w:tc>
          <w:tcPr>
            <w:tcW w:w="895" w:type="dxa"/>
            <w:shd w:val="clear" w:color="auto" w:fill="auto"/>
            <w:noWrap/>
            <w:vAlign w:val="bottom"/>
            <w:hideMark/>
          </w:tcPr>
          <w:p w14:paraId="7CBD5FC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080F8C2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4105333" w14:textId="77777777" w:rsidTr="0045159B">
        <w:trPr>
          <w:trHeight w:val="253"/>
        </w:trPr>
        <w:tc>
          <w:tcPr>
            <w:tcW w:w="962" w:type="dxa"/>
            <w:shd w:val="clear" w:color="auto" w:fill="auto"/>
            <w:noWrap/>
            <w:vAlign w:val="bottom"/>
            <w:hideMark/>
          </w:tcPr>
          <w:p w14:paraId="09760061"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13</w:t>
            </w:r>
          </w:p>
        </w:tc>
        <w:tc>
          <w:tcPr>
            <w:tcW w:w="895" w:type="dxa"/>
            <w:shd w:val="clear" w:color="auto" w:fill="auto"/>
            <w:noWrap/>
            <w:vAlign w:val="bottom"/>
            <w:hideMark/>
          </w:tcPr>
          <w:p w14:paraId="0EF94E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D3BAB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53E1DF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B10B29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4AA15D7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w:t>
            </w:r>
          </w:p>
        </w:tc>
        <w:tc>
          <w:tcPr>
            <w:tcW w:w="895" w:type="dxa"/>
            <w:shd w:val="clear" w:color="auto" w:fill="auto"/>
            <w:noWrap/>
            <w:vAlign w:val="bottom"/>
            <w:hideMark/>
          </w:tcPr>
          <w:p w14:paraId="2B8AB69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4.4%</w:t>
            </w:r>
          </w:p>
        </w:tc>
        <w:tc>
          <w:tcPr>
            <w:tcW w:w="895" w:type="dxa"/>
            <w:shd w:val="clear" w:color="auto" w:fill="auto"/>
            <w:noWrap/>
            <w:vAlign w:val="bottom"/>
            <w:hideMark/>
          </w:tcPr>
          <w:p w14:paraId="038C2A2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9.6%</w:t>
            </w:r>
          </w:p>
        </w:tc>
        <w:tc>
          <w:tcPr>
            <w:tcW w:w="895" w:type="dxa"/>
            <w:shd w:val="clear" w:color="auto" w:fill="auto"/>
            <w:noWrap/>
            <w:vAlign w:val="bottom"/>
            <w:hideMark/>
          </w:tcPr>
          <w:p w14:paraId="33391B5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17.7%</w:t>
            </w:r>
          </w:p>
        </w:tc>
        <w:tc>
          <w:tcPr>
            <w:tcW w:w="895" w:type="dxa"/>
            <w:shd w:val="clear" w:color="auto" w:fill="auto"/>
            <w:noWrap/>
            <w:vAlign w:val="bottom"/>
            <w:hideMark/>
          </w:tcPr>
          <w:p w14:paraId="30D9B8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29.1%</w:t>
            </w:r>
          </w:p>
        </w:tc>
        <w:tc>
          <w:tcPr>
            <w:tcW w:w="895" w:type="dxa"/>
            <w:shd w:val="clear" w:color="auto" w:fill="auto"/>
            <w:noWrap/>
            <w:vAlign w:val="bottom"/>
            <w:hideMark/>
          </w:tcPr>
          <w:p w14:paraId="2B8460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07C85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779F9BB0" w14:textId="77777777" w:rsidTr="0045159B">
        <w:trPr>
          <w:trHeight w:val="253"/>
        </w:trPr>
        <w:tc>
          <w:tcPr>
            <w:tcW w:w="962" w:type="dxa"/>
            <w:shd w:val="clear" w:color="auto" w:fill="auto"/>
            <w:noWrap/>
            <w:vAlign w:val="bottom"/>
            <w:hideMark/>
          </w:tcPr>
          <w:p w14:paraId="51547D6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14</w:t>
            </w:r>
          </w:p>
        </w:tc>
        <w:tc>
          <w:tcPr>
            <w:tcW w:w="895" w:type="dxa"/>
            <w:shd w:val="clear" w:color="auto" w:fill="auto"/>
            <w:noWrap/>
            <w:vAlign w:val="bottom"/>
            <w:hideMark/>
          </w:tcPr>
          <w:p w14:paraId="315CBD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DE851F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49CEA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2D7BA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924C7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w:t>
            </w:r>
          </w:p>
        </w:tc>
        <w:tc>
          <w:tcPr>
            <w:tcW w:w="895" w:type="dxa"/>
            <w:shd w:val="clear" w:color="auto" w:fill="auto"/>
            <w:noWrap/>
            <w:vAlign w:val="bottom"/>
            <w:hideMark/>
          </w:tcPr>
          <w:p w14:paraId="73157C2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4.8%</w:t>
            </w:r>
          </w:p>
        </w:tc>
        <w:tc>
          <w:tcPr>
            <w:tcW w:w="895" w:type="dxa"/>
            <w:shd w:val="clear" w:color="auto" w:fill="auto"/>
            <w:noWrap/>
            <w:vAlign w:val="bottom"/>
            <w:hideMark/>
          </w:tcPr>
          <w:p w14:paraId="1A4997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10.2%</w:t>
            </w:r>
          </w:p>
        </w:tc>
        <w:tc>
          <w:tcPr>
            <w:tcW w:w="895" w:type="dxa"/>
            <w:shd w:val="clear" w:color="auto" w:fill="auto"/>
            <w:noWrap/>
            <w:vAlign w:val="bottom"/>
            <w:hideMark/>
          </w:tcPr>
          <w:p w14:paraId="14580C3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10D87A6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30.5%</w:t>
            </w:r>
          </w:p>
        </w:tc>
        <w:tc>
          <w:tcPr>
            <w:tcW w:w="895" w:type="dxa"/>
            <w:shd w:val="clear" w:color="auto" w:fill="auto"/>
            <w:noWrap/>
            <w:vAlign w:val="bottom"/>
            <w:hideMark/>
          </w:tcPr>
          <w:p w14:paraId="5BDBDF7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D1988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660F82F9" w14:textId="77777777" w:rsidTr="0045159B">
        <w:trPr>
          <w:trHeight w:val="253"/>
        </w:trPr>
        <w:tc>
          <w:tcPr>
            <w:tcW w:w="962" w:type="dxa"/>
            <w:shd w:val="clear" w:color="auto" w:fill="auto"/>
            <w:noWrap/>
            <w:vAlign w:val="bottom"/>
            <w:hideMark/>
          </w:tcPr>
          <w:p w14:paraId="4124B7C2"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15</w:t>
            </w:r>
          </w:p>
        </w:tc>
        <w:tc>
          <w:tcPr>
            <w:tcW w:w="895" w:type="dxa"/>
            <w:shd w:val="clear" w:color="auto" w:fill="auto"/>
            <w:noWrap/>
            <w:vAlign w:val="bottom"/>
            <w:hideMark/>
          </w:tcPr>
          <w:p w14:paraId="38AA5B0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A72F54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739A26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91827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E9D26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2.1%</w:t>
            </w:r>
          </w:p>
        </w:tc>
        <w:tc>
          <w:tcPr>
            <w:tcW w:w="895" w:type="dxa"/>
            <w:shd w:val="clear" w:color="auto" w:fill="auto"/>
            <w:noWrap/>
            <w:vAlign w:val="bottom"/>
            <w:hideMark/>
          </w:tcPr>
          <w:p w14:paraId="4DCEA43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0B7F26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10.9%</w:t>
            </w:r>
          </w:p>
        </w:tc>
        <w:tc>
          <w:tcPr>
            <w:tcW w:w="895" w:type="dxa"/>
            <w:shd w:val="clear" w:color="auto" w:fill="auto"/>
            <w:noWrap/>
            <w:vAlign w:val="bottom"/>
            <w:hideMark/>
          </w:tcPr>
          <w:p w14:paraId="27E2B6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19.8%</w:t>
            </w:r>
          </w:p>
        </w:tc>
        <w:tc>
          <w:tcPr>
            <w:tcW w:w="895" w:type="dxa"/>
            <w:shd w:val="clear" w:color="auto" w:fill="auto"/>
            <w:noWrap/>
            <w:vAlign w:val="bottom"/>
            <w:hideMark/>
          </w:tcPr>
          <w:p w14:paraId="3F6E226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31.9%</w:t>
            </w:r>
          </w:p>
        </w:tc>
        <w:tc>
          <w:tcPr>
            <w:tcW w:w="895" w:type="dxa"/>
            <w:shd w:val="clear" w:color="auto" w:fill="auto"/>
            <w:noWrap/>
            <w:vAlign w:val="bottom"/>
            <w:hideMark/>
          </w:tcPr>
          <w:p w14:paraId="7F2BA1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47DC35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6B26E4D6" w14:textId="77777777" w:rsidTr="0045159B">
        <w:trPr>
          <w:trHeight w:val="253"/>
        </w:trPr>
        <w:tc>
          <w:tcPr>
            <w:tcW w:w="962" w:type="dxa"/>
            <w:shd w:val="clear" w:color="auto" w:fill="auto"/>
            <w:noWrap/>
            <w:vAlign w:val="bottom"/>
            <w:hideMark/>
          </w:tcPr>
          <w:p w14:paraId="7C206B6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16</w:t>
            </w:r>
          </w:p>
        </w:tc>
        <w:tc>
          <w:tcPr>
            <w:tcW w:w="895" w:type="dxa"/>
            <w:shd w:val="clear" w:color="auto" w:fill="auto"/>
            <w:noWrap/>
            <w:vAlign w:val="bottom"/>
            <w:hideMark/>
          </w:tcPr>
          <w:p w14:paraId="02C59D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224B43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52334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29731C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6D5D1BD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w:t>
            </w:r>
          </w:p>
        </w:tc>
        <w:tc>
          <w:tcPr>
            <w:tcW w:w="895" w:type="dxa"/>
            <w:shd w:val="clear" w:color="auto" w:fill="auto"/>
            <w:noWrap/>
            <w:vAlign w:val="bottom"/>
            <w:hideMark/>
          </w:tcPr>
          <w:p w14:paraId="2802200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7493C8C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11.7%</w:t>
            </w:r>
          </w:p>
        </w:tc>
        <w:tc>
          <w:tcPr>
            <w:tcW w:w="895" w:type="dxa"/>
            <w:shd w:val="clear" w:color="auto" w:fill="auto"/>
            <w:noWrap/>
            <w:vAlign w:val="bottom"/>
            <w:hideMark/>
          </w:tcPr>
          <w:p w14:paraId="6489FCB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20.9%</w:t>
            </w:r>
          </w:p>
        </w:tc>
        <w:tc>
          <w:tcPr>
            <w:tcW w:w="895" w:type="dxa"/>
            <w:shd w:val="clear" w:color="auto" w:fill="auto"/>
            <w:noWrap/>
            <w:vAlign w:val="bottom"/>
            <w:hideMark/>
          </w:tcPr>
          <w:p w14:paraId="1CAFE4F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33.3%</w:t>
            </w:r>
          </w:p>
        </w:tc>
        <w:tc>
          <w:tcPr>
            <w:tcW w:w="895" w:type="dxa"/>
            <w:shd w:val="clear" w:color="auto" w:fill="auto"/>
            <w:noWrap/>
            <w:vAlign w:val="bottom"/>
            <w:hideMark/>
          </w:tcPr>
          <w:p w14:paraId="22EEFF2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45BFD3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4C821246" w14:textId="77777777" w:rsidTr="0045159B">
        <w:trPr>
          <w:trHeight w:val="253"/>
        </w:trPr>
        <w:tc>
          <w:tcPr>
            <w:tcW w:w="962" w:type="dxa"/>
            <w:shd w:val="clear" w:color="auto" w:fill="auto"/>
            <w:noWrap/>
            <w:vAlign w:val="bottom"/>
            <w:hideMark/>
          </w:tcPr>
          <w:p w14:paraId="4E25D0A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17</w:t>
            </w:r>
          </w:p>
        </w:tc>
        <w:tc>
          <w:tcPr>
            <w:tcW w:w="895" w:type="dxa"/>
            <w:shd w:val="clear" w:color="auto" w:fill="auto"/>
            <w:noWrap/>
            <w:vAlign w:val="bottom"/>
            <w:hideMark/>
          </w:tcPr>
          <w:p w14:paraId="1BC2EB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FCD28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CA339A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CE6CAA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7CFA2B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247633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6.2%</w:t>
            </w:r>
          </w:p>
        </w:tc>
        <w:tc>
          <w:tcPr>
            <w:tcW w:w="895" w:type="dxa"/>
            <w:shd w:val="clear" w:color="auto" w:fill="auto"/>
            <w:noWrap/>
            <w:vAlign w:val="bottom"/>
            <w:hideMark/>
          </w:tcPr>
          <w:p w14:paraId="65B2A2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12.4%</w:t>
            </w:r>
          </w:p>
        </w:tc>
        <w:tc>
          <w:tcPr>
            <w:tcW w:w="895" w:type="dxa"/>
            <w:shd w:val="clear" w:color="auto" w:fill="auto"/>
            <w:noWrap/>
            <w:vAlign w:val="bottom"/>
            <w:hideMark/>
          </w:tcPr>
          <w:p w14:paraId="110D0F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22.0%</w:t>
            </w:r>
          </w:p>
        </w:tc>
        <w:tc>
          <w:tcPr>
            <w:tcW w:w="895" w:type="dxa"/>
            <w:shd w:val="clear" w:color="auto" w:fill="auto"/>
            <w:noWrap/>
            <w:vAlign w:val="bottom"/>
            <w:hideMark/>
          </w:tcPr>
          <w:p w14:paraId="3D202E6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16A100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3992B6F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26AC5404" w14:textId="77777777" w:rsidTr="0045159B">
        <w:trPr>
          <w:trHeight w:val="253"/>
        </w:trPr>
        <w:tc>
          <w:tcPr>
            <w:tcW w:w="962" w:type="dxa"/>
            <w:shd w:val="clear" w:color="auto" w:fill="auto"/>
            <w:noWrap/>
            <w:vAlign w:val="bottom"/>
            <w:hideMark/>
          </w:tcPr>
          <w:p w14:paraId="3503DA8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18</w:t>
            </w:r>
          </w:p>
        </w:tc>
        <w:tc>
          <w:tcPr>
            <w:tcW w:w="895" w:type="dxa"/>
            <w:shd w:val="clear" w:color="auto" w:fill="auto"/>
            <w:noWrap/>
            <w:vAlign w:val="bottom"/>
            <w:hideMark/>
          </w:tcPr>
          <w:p w14:paraId="6FE331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9EA22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64957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6B923C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679DF21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w:t>
            </w:r>
          </w:p>
        </w:tc>
        <w:tc>
          <w:tcPr>
            <w:tcW w:w="895" w:type="dxa"/>
            <w:shd w:val="clear" w:color="auto" w:fill="auto"/>
            <w:noWrap/>
            <w:vAlign w:val="bottom"/>
            <w:hideMark/>
          </w:tcPr>
          <w:p w14:paraId="315C442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6.7%</w:t>
            </w:r>
          </w:p>
        </w:tc>
        <w:tc>
          <w:tcPr>
            <w:tcW w:w="895" w:type="dxa"/>
            <w:shd w:val="clear" w:color="auto" w:fill="auto"/>
            <w:noWrap/>
            <w:vAlign w:val="bottom"/>
            <w:hideMark/>
          </w:tcPr>
          <w:p w14:paraId="3BB04F8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75E8F9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23.2%</w:t>
            </w:r>
          </w:p>
        </w:tc>
        <w:tc>
          <w:tcPr>
            <w:tcW w:w="895" w:type="dxa"/>
            <w:shd w:val="clear" w:color="auto" w:fill="auto"/>
            <w:noWrap/>
            <w:vAlign w:val="bottom"/>
            <w:hideMark/>
          </w:tcPr>
          <w:p w14:paraId="05B06B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5C1E51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2356D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89978E6" w14:textId="77777777" w:rsidTr="0045159B">
        <w:trPr>
          <w:trHeight w:val="253"/>
        </w:trPr>
        <w:tc>
          <w:tcPr>
            <w:tcW w:w="962" w:type="dxa"/>
            <w:shd w:val="clear" w:color="auto" w:fill="auto"/>
            <w:noWrap/>
            <w:vAlign w:val="bottom"/>
            <w:hideMark/>
          </w:tcPr>
          <w:p w14:paraId="3C1FE04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19</w:t>
            </w:r>
          </w:p>
        </w:tc>
        <w:tc>
          <w:tcPr>
            <w:tcW w:w="895" w:type="dxa"/>
            <w:shd w:val="clear" w:color="auto" w:fill="auto"/>
            <w:noWrap/>
            <w:vAlign w:val="bottom"/>
            <w:hideMark/>
          </w:tcPr>
          <w:p w14:paraId="2DEC51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E04195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E4C79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6EA19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DE6BD2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27F3AF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7.2%</w:t>
            </w:r>
          </w:p>
        </w:tc>
        <w:tc>
          <w:tcPr>
            <w:tcW w:w="895" w:type="dxa"/>
            <w:shd w:val="clear" w:color="auto" w:fill="auto"/>
            <w:noWrap/>
            <w:vAlign w:val="bottom"/>
            <w:hideMark/>
          </w:tcPr>
          <w:p w14:paraId="4A933C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14.0%</w:t>
            </w:r>
          </w:p>
        </w:tc>
        <w:tc>
          <w:tcPr>
            <w:tcW w:w="895" w:type="dxa"/>
            <w:shd w:val="clear" w:color="auto" w:fill="auto"/>
            <w:noWrap/>
            <w:vAlign w:val="bottom"/>
            <w:hideMark/>
          </w:tcPr>
          <w:p w14:paraId="0D77FEA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24.4%</w:t>
            </w:r>
          </w:p>
        </w:tc>
        <w:tc>
          <w:tcPr>
            <w:tcW w:w="895" w:type="dxa"/>
            <w:shd w:val="clear" w:color="auto" w:fill="auto"/>
            <w:noWrap/>
            <w:vAlign w:val="bottom"/>
            <w:hideMark/>
          </w:tcPr>
          <w:p w14:paraId="4F71665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4C702CB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06702DC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AF05F2D" w14:textId="77777777" w:rsidTr="0045159B">
        <w:trPr>
          <w:trHeight w:val="253"/>
        </w:trPr>
        <w:tc>
          <w:tcPr>
            <w:tcW w:w="962" w:type="dxa"/>
            <w:shd w:val="clear" w:color="auto" w:fill="auto"/>
            <w:noWrap/>
            <w:vAlign w:val="bottom"/>
            <w:hideMark/>
          </w:tcPr>
          <w:p w14:paraId="52BFD33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20</w:t>
            </w:r>
          </w:p>
        </w:tc>
        <w:tc>
          <w:tcPr>
            <w:tcW w:w="895" w:type="dxa"/>
            <w:shd w:val="clear" w:color="auto" w:fill="auto"/>
            <w:noWrap/>
            <w:vAlign w:val="bottom"/>
            <w:hideMark/>
          </w:tcPr>
          <w:p w14:paraId="2416BF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7C2EE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C45F68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31077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79D5D73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1BADB5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7.7%</w:t>
            </w:r>
          </w:p>
        </w:tc>
        <w:tc>
          <w:tcPr>
            <w:tcW w:w="895" w:type="dxa"/>
            <w:shd w:val="clear" w:color="auto" w:fill="auto"/>
            <w:noWrap/>
            <w:vAlign w:val="bottom"/>
            <w:hideMark/>
          </w:tcPr>
          <w:p w14:paraId="72148C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14.9%</w:t>
            </w:r>
          </w:p>
        </w:tc>
        <w:tc>
          <w:tcPr>
            <w:tcW w:w="895" w:type="dxa"/>
            <w:shd w:val="clear" w:color="auto" w:fill="auto"/>
            <w:noWrap/>
            <w:vAlign w:val="bottom"/>
            <w:hideMark/>
          </w:tcPr>
          <w:p w14:paraId="195FF0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25.6%</w:t>
            </w:r>
          </w:p>
        </w:tc>
        <w:tc>
          <w:tcPr>
            <w:tcW w:w="895" w:type="dxa"/>
            <w:shd w:val="clear" w:color="auto" w:fill="auto"/>
            <w:noWrap/>
            <w:vAlign w:val="bottom"/>
            <w:hideMark/>
          </w:tcPr>
          <w:p w14:paraId="10A04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6ECA4A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619E8F6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bl>
    <w:p w14:paraId="564148FB" w14:textId="73C0FC55" w:rsidR="005F26D0" w:rsidRDefault="005F26D0" w:rsidP="0045159B">
      <w:pPr>
        <w:spacing w:line="360" w:lineRule="auto"/>
        <w:ind w:left="368"/>
        <w:contextualSpacing/>
        <w:rPr>
          <w:rFonts w:ascii="David" w:eastAsiaTheme="minorHAnsi" w:hAnsi="David" w:cs="David"/>
          <w:b/>
          <w:bCs/>
          <w:sz w:val="28"/>
          <w:szCs w:val="28"/>
          <w:lang w:eastAsia="en-US"/>
        </w:rPr>
      </w:pPr>
    </w:p>
    <w:p w14:paraId="4D9D48EE" w14:textId="67D6A535" w:rsidR="005F26D0" w:rsidRDefault="005F26D0" w:rsidP="0045159B">
      <w:pPr>
        <w:spacing w:line="360" w:lineRule="auto"/>
        <w:ind w:left="368"/>
        <w:contextualSpacing/>
        <w:rPr>
          <w:rFonts w:ascii="David" w:eastAsiaTheme="minorHAnsi" w:hAnsi="David" w:cs="David"/>
          <w:b/>
          <w:bCs/>
          <w:sz w:val="28"/>
          <w:szCs w:val="28"/>
          <w:lang w:eastAsia="en-US"/>
        </w:rPr>
      </w:pPr>
    </w:p>
    <w:p w14:paraId="308CCF6D" w14:textId="77777777" w:rsidR="005F26D0" w:rsidRPr="0045159B" w:rsidRDefault="005F26D0" w:rsidP="0045159B">
      <w:pPr>
        <w:spacing w:line="360" w:lineRule="auto"/>
        <w:ind w:left="368"/>
        <w:contextualSpacing/>
        <w:rPr>
          <w:rFonts w:ascii="David" w:eastAsiaTheme="minorHAnsi" w:hAnsi="David" w:cs="David"/>
          <w:b/>
          <w:bCs/>
          <w:sz w:val="28"/>
          <w:szCs w:val="28"/>
          <w:lang w:eastAsia="en-US"/>
        </w:rPr>
      </w:pPr>
    </w:p>
    <w:p w14:paraId="2EEC747B" w14:textId="77777777" w:rsidR="005F26D0" w:rsidRPr="00B31DDD" w:rsidRDefault="005F26D0" w:rsidP="00B31DDD">
      <w:pPr>
        <w:overflowPunct w:val="0"/>
        <w:autoSpaceDE w:val="0"/>
        <w:autoSpaceDN w:val="0"/>
        <w:adjustRightInd w:val="0"/>
        <w:spacing w:line="360" w:lineRule="auto"/>
        <w:contextualSpacing/>
        <w:jc w:val="left"/>
        <w:textAlignment w:val="baseline"/>
        <w:rPr>
          <w:rFonts w:ascii="David" w:eastAsiaTheme="minorHAnsi" w:hAnsi="David" w:cs="David"/>
          <w:b/>
          <w:bCs/>
          <w:sz w:val="24"/>
          <w:szCs w:val="24"/>
          <w:rtl/>
          <w:lang w:eastAsia="en-US"/>
        </w:rPr>
      </w:pPr>
    </w:p>
    <w:p w14:paraId="4F41F761" w14:textId="54CF473B"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אחוז</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שוהים</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בבית</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במצב</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סיעודי</w:t>
      </w:r>
    </w:p>
    <w:p w14:paraId="30BC1889"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tbl>
      <w:tblPr>
        <w:tblW w:w="5115" w:type="dxa"/>
        <w:jc w:val="center"/>
        <w:tblLook w:val="04A0" w:firstRow="1" w:lastRow="0" w:firstColumn="1" w:lastColumn="0" w:noHBand="0" w:noVBand="1"/>
      </w:tblPr>
      <w:tblGrid>
        <w:gridCol w:w="1023"/>
        <w:gridCol w:w="1023"/>
        <w:gridCol w:w="1023"/>
        <w:gridCol w:w="1023"/>
        <w:gridCol w:w="1023"/>
      </w:tblGrid>
      <w:tr w:rsidR="0045159B" w:rsidRPr="0045159B" w14:paraId="5C04A7DE" w14:textId="77777777" w:rsidTr="0045159B">
        <w:trPr>
          <w:trHeight w:val="374"/>
          <w:jc w:val="center"/>
        </w:trPr>
        <w:tc>
          <w:tcPr>
            <w:tcW w:w="2046" w:type="dxa"/>
            <w:gridSpan w:val="2"/>
            <w:tcBorders>
              <w:top w:val="single" w:sz="12" w:space="0" w:color="auto"/>
              <w:left w:val="single" w:sz="12" w:space="0" w:color="auto"/>
              <w:bottom w:val="single" w:sz="4" w:space="0" w:color="auto"/>
              <w:right w:val="single" w:sz="12" w:space="0" w:color="auto"/>
            </w:tcBorders>
            <w:vAlign w:val="center"/>
          </w:tcPr>
          <w:p w14:paraId="3B060082"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4"/>
                <w:szCs w:val="24"/>
                <w:rtl/>
              </w:rPr>
            </w:pPr>
            <w:r w:rsidRPr="0045159B">
              <w:rPr>
                <w:rFonts w:ascii="Arial" w:hAnsi="Arial" w:cs="Arial"/>
                <w:b/>
                <w:bCs/>
                <w:color w:val="000000"/>
                <w:sz w:val="24"/>
                <w:szCs w:val="24"/>
                <w:rtl/>
              </w:rPr>
              <w:t>מצב סיעודי מעבר לחמש שנים</w:t>
            </w:r>
          </w:p>
        </w:tc>
        <w:tc>
          <w:tcPr>
            <w:tcW w:w="2046"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704E52AA"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4"/>
                <w:szCs w:val="24"/>
                <w:rtl/>
              </w:rPr>
            </w:pPr>
            <w:r w:rsidRPr="0045159B">
              <w:rPr>
                <w:rFonts w:ascii="Arial" w:hAnsi="Arial" w:cs="Arial"/>
                <w:b/>
                <w:bCs/>
                <w:color w:val="000000"/>
                <w:sz w:val="24"/>
                <w:szCs w:val="24"/>
                <w:rtl/>
              </w:rPr>
              <w:t>מצב סיעודי חמש שנים ראשונות</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07C642FD"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p>
        </w:tc>
      </w:tr>
      <w:tr w:rsidR="0045159B" w:rsidRPr="0045159B" w14:paraId="338D42C4" w14:textId="77777777" w:rsidTr="0045159B">
        <w:trPr>
          <w:trHeight w:val="374"/>
          <w:jc w:val="center"/>
        </w:trPr>
        <w:tc>
          <w:tcPr>
            <w:tcW w:w="1023" w:type="dxa"/>
            <w:tcBorders>
              <w:top w:val="single" w:sz="4" w:space="0" w:color="auto"/>
              <w:left w:val="single" w:sz="12" w:space="0" w:color="auto"/>
              <w:bottom w:val="single" w:sz="4" w:space="0" w:color="auto"/>
              <w:right w:val="single" w:sz="4" w:space="0" w:color="auto"/>
            </w:tcBorders>
            <w:vAlign w:val="center"/>
          </w:tcPr>
          <w:p w14:paraId="39A8E630"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נשים</w:t>
            </w:r>
          </w:p>
        </w:tc>
        <w:tc>
          <w:tcPr>
            <w:tcW w:w="1023" w:type="dxa"/>
            <w:tcBorders>
              <w:top w:val="single" w:sz="4" w:space="0" w:color="auto"/>
              <w:left w:val="single" w:sz="4" w:space="0" w:color="auto"/>
              <w:bottom w:val="single" w:sz="4" w:space="0" w:color="auto"/>
              <w:right w:val="single" w:sz="12" w:space="0" w:color="auto"/>
            </w:tcBorders>
            <w:vAlign w:val="center"/>
          </w:tcPr>
          <w:p w14:paraId="1F93808D"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גברים</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8B77524"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נשים</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115D0B4"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גברים</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CF44F26"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קבוצת גיל</w:t>
            </w:r>
          </w:p>
        </w:tc>
      </w:tr>
      <w:tr w:rsidR="0045159B" w:rsidRPr="0045159B" w14:paraId="70B27EDA"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4D472A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3E364D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44497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tl/>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16871B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83E7F9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0-9</w:t>
            </w:r>
          </w:p>
        </w:tc>
      </w:tr>
      <w:tr w:rsidR="0045159B" w:rsidRPr="0045159B" w14:paraId="0BFA7625"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0AB962B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050CC1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55AB1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134F24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E4158D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r>
      <w:tr w:rsidR="0045159B" w:rsidRPr="0045159B" w14:paraId="44D1BC07"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2931F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0139500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BEE22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4BF59C1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872527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r>
      <w:tr w:rsidR="0045159B" w:rsidRPr="0045159B" w14:paraId="1F97B54F"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3D271F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20F04B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D9B395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06F4D46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985DDB7"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r>
      <w:tr w:rsidR="0045159B" w:rsidRPr="0045159B" w14:paraId="74D82544"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1A136D0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764B149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960C2C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501D773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572EC1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r>
      <w:tr w:rsidR="0045159B" w:rsidRPr="0045159B" w14:paraId="4E463FAA"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31A85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vAlign w:val="bottom"/>
          </w:tcPr>
          <w:p w14:paraId="4B8663D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DB1C2F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27925C7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4F24B7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r>
      <w:tr w:rsidR="0045159B" w:rsidRPr="0045159B" w14:paraId="31945A81"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78054D5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7E7635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001E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57AED20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8BCE46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r>
      <w:tr w:rsidR="0045159B" w:rsidRPr="0045159B" w14:paraId="7B757188"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360DB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55C194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E74D8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39EBF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35150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r>
      <w:tr w:rsidR="0045159B" w:rsidRPr="0045159B" w14:paraId="510C5ADD"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6391582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59EECF3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9905A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93%</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71DAB1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DE04D8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r>
      <w:tr w:rsidR="0045159B" w:rsidRPr="0045159B" w14:paraId="4436F4A1" w14:textId="77777777" w:rsidTr="0045159B">
        <w:trPr>
          <w:trHeight w:val="356"/>
          <w:jc w:val="center"/>
        </w:trPr>
        <w:tc>
          <w:tcPr>
            <w:tcW w:w="1023" w:type="dxa"/>
            <w:tcBorders>
              <w:top w:val="single" w:sz="4" w:space="0" w:color="auto"/>
              <w:left w:val="single" w:sz="12" w:space="0" w:color="auto"/>
              <w:bottom w:val="single" w:sz="12" w:space="0" w:color="auto"/>
              <w:right w:val="single" w:sz="4" w:space="0" w:color="auto"/>
            </w:tcBorders>
            <w:vAlign w:val="bottom"/>
          </w:tcPr>
          <w:p w14:paraId="6206AA1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12" w:space="0" w:color="auto"/>
              <w:right w:val="single" w:sz="12" w:space="0" w:color="auto"/>
            </w:tcBorders>
            <w:vAlign w:val="bottom"/>
          </w:tcPr>
          <w:p w14:paraId="34B95F4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689C0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90%</w:t>
            </w:r>
          </w:p>
        </w:tc>
        <w:tc>
          <w:tcPr>
            <w:tcW w:w="1023" w:type="dxa"/>
            <w:tcBorders>
              <w:top w:val="single" w:sz="4" w:space="0" w:color="auto"/>
              <w:left w:val="single" w:sz="4" w:space="0" w:color="auto"/>
              <w:bottom w:val="single" w:sz="12" w:space="0" w:color="auto"/>
              <w:right w:val="single" w:sz="12" w:space="0" w:color="auto"/>
            </w:tcBorders>
            <w:shd w:val="clear" w:color="auto" w:fill="auto"/>
            <w:noWrap/>
            <w:vAlign w:val="bottom"/>
            <w:hideMark/>
          </w:tcPr>
          <w:p w14:paraId="2D978E3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93%</w:t>
            </w:r>
          </w:p>
        </w:tc>
        <w:tc>
          <w:tcPr>
            <w:tcW w:w="102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A3812D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w:t>
            </w:r>
          </w:p>
        </w:tc>
      </w:tr>
    </w:tbl>
    <w:p w14:paraId="0B53A560"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22FC0208" w14:textId="77777777" w:rsidR="0045159B" w:rsidRPr="0045159B" w:rsidRDefault="0045159B" w:rsidP="0045159B">
      <w:pPr>
        <w:overflowPunct w:val="0"/>
        <w:autoSpaceDE w:val="0"/>
        <w:autoSpaceDN w:val="0"/>
        <w:adjustRightInd w:val="0"/>
        <w:spacing w:line="25" w:lineRule="atLeast"/>
        <w:textAlignment w:val="baseline"/>
        <w:rPr>
          <w:rFonts w:cs="David"/>
          <w:sz w:val="20"/>
          <w:szCs w:val="20"/>
          <w:rtl/>
        </w:rPr>
      </w:pPr>
    </w:p>
    <w:p w14:paraId="0C7FBE9B" w14:textId="77777777" w:rsidR="0045159B" w:rsidRDefault="0045159B" w:rsidP="00777F75">
      <w:pPr>
        <w:jc w:val="center"/>
        <w:rPr>
          <w:rFonts w:ascii="David" w:hAnsi="David" w:cs="David"/>
          <w:b/>
          <w:bCs/>
          <w:sz w:val="24"/>
          <w:szCs w:val="24"/>
          <w:u w:val="single"/>
          <w:rtl/>
        </w:rPr>
      </w:pPr>
    </w:p>
    <w:p w14:paraId="6CE7998E" w14:textId="77777777" w:rsidR="0045159B" w:rsidRDefault="0045159B" w:rsidP="00777F75">
      <w:pPr>
        <w:jc w:val="center"/>
        <w:rPr>
          <w:rFonts w:ascii="David" w:hAnsi="David" w:cs="David"/>
          <w:b/>
          <w:bCs/>
          <w:sz w:val="24"/>
          <w:szCs w:val="24"/>
          <w:u w:val="single"/>
          <w:rtl/>
        </w:rPr>
      </w:pPr>
    </w:p>
    <w:p w14:paraId="77CF363A" w14:textId="77777777" w:rsidR="0045159B" w:rsidRDefault="0045159B" w:rsidP="00777F75">
      <w:pPr>
        <w:jc w:val="center"/>
        <w:rPr>
          <w:rFonts w:ascii="David" w:hAnsi="David" w:cs="David"/>
          <w:b/>
          <w:bCs/>
          <w:sz w:val="24"/>
          <w:szCs w:val="24"/>
          <w:u w:val="single"/>
          <w:rtl/>
        </w:rPr>
      </w:pPr>
    </w:p>
    <w:p w14:paraId="5043F336" w14:textId="77777777" w:rsidR="0045159B" w:rsidRDefault="0045159B" w:rsidP="00777F75">
      <w:pPr>
        <w:jc w:val="center"/>
        <w:rPr>
          <w:rFonts w:ascii="David" w:hAnsi="David" w:cs="David"/>
          <w:b/>
          <w:bCs/>
          <w:sz w:val="24"/>
          <w:szCs w:val="24"/>
          <w:u w:val="single"/>
          <w:rtl/>
        </w:rPr>
      </w:pPr>
    </w:p>
    <w:p w14:paraId="613C7745" w14:textId="77777777" w:rsidR="0045159B" w:rsidRDefault="0045159B" w:rsidP="00777F75">
      <w:pPr>
        <w:jc w:val="center"/>
        <w:rPr>
          <w:rFonts w:ascii="David" w:hAnsi="David" w:cs="David"/>
          <w:b/>
          <w:bCs/>
          <w:sz w:val="24"/>
          <w:szCs w:val="24"/>
          <w:u w:val="single"/>
          <w:rtl/>
        </w:rPr>
      </w:pPr>
    </w:p>
    <w:p w14:paraId="0554AFD0" w14:textId="77777777" w:rsidR="0045159B" w:rsidRDefault="0045159B" w:rsidP="00777F75">
      <w:pPr>
        <w:jc w:val="center"/>
        <w:rPr>
          <w:rFonts w:ascii="David" w:hAnsi="David" w:cs="David"/>
          <w:b/>
          <w:bCs/>
          <w:sz w:val="24"/>
          <w:szCs w:val="24"/>
          <w:u w:val="single"/>
          <w:rtl/>
        </w:rPr>
      </w:pPr>
    </w:p>
    <w:p w14:paraId="75F5670C" w14:textId="77777777" w:rsidR="0045159B" w:rsidRDefault="0045159B" w:rsidP="00777F75">
      <w:pPr>
        <w:jc w:val="center"/>
        <w:rPr>
          <w:rFonts w:ascii="David" w:hAnsi="David" w:cs="David"/>
          <w:b/>
          <w:bCs/>
          <w:sz w:val="24"/>
          <w:szCs w:val="24"/>
          <w:u w:val="single"/>
          <w:rtl/>
        </w:rPr>
      </w:pPr>
    </w:p>
    <w:p w14:paraId="713A58B8" w14:textId="77777777" w:rsidR="0045159B" w:rsidRDefault="0045159B" w:rsidP="00777F75">
      <w:pPr>
        <w:jc w:val="center"/>
        <w:rPr>
          <w:rFonts w:ascii="David" w:hAnsi="David" w:cs="David"/>
          <w:b/>
          <w:bCs/>
          <w:sz w:val="24"/>
          <w:szCs w:val="24"/>
          <w:u w:val="single"/>
          <w:rtl/>
        </w:rPr>
      </w:pPr>
    </w:p>
    <w:p w14:paraId="5B3F5809" w14:textId="77777777" w:rsidR="0045159B" w:rsidRDefault="0045159B" w:rsidP="00777F75">
      <w:pPr>
        <w:jc w:val="center"/>
        <w:rPr>
          <w:rFonts w:ascii="David" w:hAnsi="David" w:cs="David"/>
          <w:b/>
          <w:bCs/>
          <w:sz w:val="24"/>
          <w:szCs w:val="24"/>
          <w:u w:val="single"/>
          <w:rtl/>
        </w:rPr>
      </w:pPr>
    </w:p>
    <w:p w14:paraId="5C2B7525" w14:textId="77777777" w:rsidR="0045159B" w:rsidRDefault="0045159B" w:rsidP="00777F75">
      <w:pPr>
        <w:jc w:val="center"/>
        <w:rPr>
          <w:rFonts w:ascii="David" w:hAnsi="David" w:cs="David"/>
          <w:b/>
          <w:bCs/>
          <w:sz w:val="24"/>
          <w:szCs w:val="24"/>
          <w:u w:val="single"/>
          <w:rtl/>
        </w:rPr>
      </w:pPr>
    </w:p>
    <w:p w14:paraId="22B65197" w14:textId="77777777" w:rsidR="0045159B" w:rsidRDefault="0045159B" w:rsidP="00777F75">
      <w:pPr>
        <w:jc w:val="center"/>
        <w:rPr>
          <w:rFonts w:ascii="David" w:hAnsi="David" w:cs="David"/>
          <w:b/>
          <w:bCs/>
          <w:sz w:val="24"/>
          <w:szCs w:val="24"/>
          <w:u w:val="single"/>
          <w:rtl/>
        </w:rPr>
      </w:pPr>
    </w:p>
    <w:p w14:paraId="76DB85BB" w14:textId="77777777" w:rsidR="0045159B" w:rsidRDefault="0045159B" w:rsidP="00777F75">
      <w:pPr>
        <w:jc w:val="center"/>
        <w:rPr>
          <w:rFonts w:ascii="David" w:hAnsi="David" w:cs="David"/>
          <w:b/>
          <w:bCs/>
          <w:sz w:val="24"/>
          <w:szCs w:val="24"/>
          <w:u w:val="single"/>
          <w:rtl/>
        </w:rPr>
      </w:pPr>
    </w:p>
    <w:p w14:paraId="0522242F" w14:textId="77777777" w:rsidR="0045159B" w:rsidRDefault="0045159B" w:rsidP="00777F75">
      <w:pPr>
        <w:jc w:val="center"/>
        <w:rPr>
          <w:rFonts w:ascii="David" w:hAnsi="David" w:cs="David"/>
          <w:b/>
          <w:bCs/>
          <w:sz w:val="24"/>
          <w:szCs w:val="24"/>
          <w:u w:val="single"/>
          <w:rtl/>
        </w:rPr>
      </w:pPr>
    </w:p>
    <w:p w14:paraId="3176E8FD" w14:textId="77777777" w:rsidR="0045159B" w:rsidRDefault="0045159B" w:rsidP="00777F75">
      <w:pPr>
        <w:jc w:val="center"/>
        <w:rPr>
          <w:rFonts w:ascii="David" w:hAnsi="David" w:cs="David"/>
          <w:b/>
          <w:bCs/>
          <w:sz w:val="24"/>
          <w:szCs w:val="24"/>
          <w:u w:val="single"/>
          <w:rtl/>
        </w:rPr>
      </w:pPr>
    </w:p>
    <w:p w14:paraId="79F06B4E" w14:textId="77777777" w:rsidR="0045159B" w:rsidRDefault="0045159B" w:rsidP="00777F75">
      <w:pPr>
        <w:jc w:val="center"/>
        <w:rPr>
          <w:rFonts w:ascii="David" w:hAnsi="David" w:cs="David"/>
          <w:b/>
          <w:bCs/>
          <w:sz w:val="24"/>
          <w:szCs w:val="24"/>
          <w:u w:val="single"/>
          <w:rtl/>
        </w:rPr>
      </w:pPr>
    </w:p>
    <w:p w14:paraId="65EC0C20" w14:textId="77777777" w:rsidR="0045159B" w:rsidRDefault="0045159B" w:rsidP="00777F75">
      <w:pPr>
        <w:jc w:val="center"/>
        <w:rPr>
          <w:rFonts w:ascii="David" w:hAnsi="David" w:cs="David"/>
          <w:b/>
          <w:bCs/>
          <w:sz w:val="24"/>
          <w:szCs w:val="24"/>
          <w:u w:val="single"/>
          <w:rtl/>
        </w:rPr>
      </w:pPr>
    </w:p>
    <w:p w14:paraId="30F9ADC7" w14:textId="77777777" w:rsidR="0045159B" w:rsidRDefault="0045159B" w:rsidP="00777F75">
      <w:pPr>
        <w:jc w:val="center"/>
        <w:rPr>
          <w:rFonts w:ascii="David" w:hAnsi="David" w:cs="David"/>
          <w:b/>
          <w:bCs/>
          <w:sz w:val="24"/>
          <w:szCs w:val="24"/>
          <w:u w:val="single"/>
          <w:rtl/>
        </w:rPr>
      </w:pPr>
    </w:p>
    <w:p w14:paraId="7F1A0557" w14:textId="77777777" w:rsidR="0045159B" w:rsidRDefault="0045159B" w:rsidP="00777F75">
      <w:pPr>
        <w:jc w:val="center"/>
        <w:rPr>
          <w:rFonts w:ascii="David" w:hAnsi="David" w:cs="David"/>
          <w:b/>
          <w:bCs/>
          <w:sz w:val="24"/>
          <w:szCs w:val="24"/>
          <w:u w:val="single"/>
          <w:rtl/>
        </w:rPr>
      </w:pPr>
    </w:p>
    <w:p w14:paraId="68BCCA01" w14:textId="77777777" w:rsidR="0045159B" w:rsidRDefault="0045159B" w:rsidP="00777F75">
      <w:pPr>
        <w:jc w:val="center"/>
        <w:rPr>
          <w:rFonts w:ascii="David" w:hAnsi="David" w:cs="David"/>
          <w:b/>
          <w:bCs/>
          <w:sz w:val="24"/>
          <w:szCs w:val="24"/>
          <w:u w:val="single"/>
          <w:rtl/>
        </w:rPr>
      </w:pPr>
    </w:p>
    <w:p w14:paraId="666A2623" w14:textId="77777777" w:rsidR="0045159B" w:rsidRDefault="0045159B" w:rsidP="00777F75">
      <w:pPr>
        <w:jc w:val="center"/>
        <w:rPr>
          <w:rFonts w:ascii="David" w:hAnsi="David" w:cs="David"/>
          <w:b/>
          <w:bCs/>
          <w:sz w:val="24"/>
          <w:szCs w:val="24"/>
          <w:u w:val="single"/>
          <w:rtl/>
        </w:rPr>
      </w:pPr>
    </w:p>
    <w:p w14:paraId="1E8964B6" w14:textId="77777777" w:rsidR="0045159B" w:rsidRDefault="0045159B" w:rsidP="00777F75">
      <w:pPr>
        <w:jc w:val="center"/>
        <w:rPr>
          <w:rFonts w:ascii="David" w:hAnsi="David" w:cs="David"/>
          <w:b/>
          <w:bCs/>
          <w:sz w:val="24"/>
          <w:szCs w:val="24"/>
          <w:u w:val="single"/>
          <w:rtl/>
        </w:rPr>
      </w:pPr>
    </w:p>
    <w:p w14:paraId="67143E3E" w14:textId="77777777" w:rsidR="0045159B" w:rsidRDefault="0045159B" w:rsidP="00777F75">
      <w:pPr>
        <w:jc w:val="center"/>
        <w:rPr>
          <w:rFonts w:ascii="David" w:hAnsi="David" w:cs="David"/>
          <w:b/>
          <w:bCs/>
          <w:sz w:val="24"/>
          <w:szCs w:val="24"/>
          <w:u w:val="single"/>
          <w:rtl/>
        </w:rPr>
      </w:pPr>
    </w:p>
    <w:p w14:paraId="55086732" w14:textId="77777777" w:rsidR="0045159B" w:rsidRDefault="0045159B" w:rsidP="00777F75">
      <w:pPr>
        <w:jc w:val="center"/>
        <w:rPr>
          <w:rFonts w:ascii="David" w:hAnsi="David" w:cs="David"/>
          <w:b/>
          <w:bCs/>
          <w:sz w:val="24"/>
          <w:szCs w:val="24"/>
          <w:u w:val="single"/>
          <w:rtl/>
        </w:rPr>
      </w:pPr>
    </w:p>
    <w:p w14:paraId="3BBEC57C" w14:textId="77777777" w:rsidR="0045159B" w:rsidRDefault="0045159B" w:rsidP="00777F75">
      <w:pPr>
        <w:jc w:val="center"/>
        <w:rPr>
          <w:rFonts w:ascii="David" w:hAnsi="David" w:cs="David"/>
          <w:b/>
          <w:bCs/>
          <w:sz w:val="24"/>
          <w:szCs w:val="24"/>
          <w:u w:val="single"/>
          <w:rtl/>
        </w:rPr>
      </w:pPr>
    </w:p>
    <w:p w14:paraId="75199E37" w14:textId="77777777" w:rsidR="0045159B" w:rsidRDefault="0045159B" w:rsidP="00777F75">
      <w:pPr>
        <w:jc w:val="center"/>
        <w:rPr>
          <w:rFonts w:ascii="David" w:hAnsi="David" w:cs="David"/>
          <w:b/>
          <w:bCs/>
          <w:sz w:val="24"/>
          <w:szCs w:val="24"/>
          <w:u w:val="single"/>
          <w:rtl/>
        </w:rPr>
      </w:pPr>
    </w:p>
    <w:p w14:paraId="7933716C" w14:textId="77777777" w:rsidR="0045159B" w:rsidRDefault="0045159B" w:rsidP="00777F75">
      <w:pPr>
        <w:jc w:val="center"/>
        <w:rPr>
          <w:rFonts w:ascii="David" w:hAnsi="David" w:cs="David"/>
          <w:b/>
          <w:bCs/>
          <w:sz w:val="24"/>
          <w:szCs w:val="24"/>
          <w:u w:val="single"/>
          <w:rtl/>
        </w:rPr>
      </w:pPr>
    </w:p>
    <w:p w14:paraId="476C6466" w14:textId="77777777" w:rsidR="0045159B" w:rsidRDefault="0045159B" w:rsidP="00777F75">
      <w:pPr>
        <w:jc w:val="center"/>
        <w:rPr>
          <w:rFonts w:ascii="David" w:hAnsi="David" w:cs="David"/>
          <w:b/>
          <w:bCs/>
          <w:sz w:val="24"/>
          <w:szCs w:val="24"/>
          <w:u w:val="single"/>
          <w:rtl/>
        </w:rPr>
      </w:pPr>
    </w:p>
    <w:p w14:paraId="00966991" w14:textId="77777777" w:rsidR="0045159B" w:rsidRDefault="0045159B" w:rsidP="00777F75">
      <w:pPr>
        <w:jc w:val="center"/>
        <w:rPr>
          <w:rFonts w:ascii="David" w:hAnsi="David" w:cs="David"/>
          <w:b/>
          <w:bCs/>
          <w:sz w:val="24"/>
          <w:szCs w:val="24"/>
          <w:u w:val="single"/>
          <w:rtl/>
        </w:rPr>
      </w:pPr>
    </w:p>
    <w:p w14:paraId="19A3B99B" w14:textId="77777777" w:rsidR="0045159B" w:rsidRDefault="0045159B" w:rsidP="00777F75">
      <w:pPr>
        <w:jc w:val="center"/>
        <w:rPr>
          <w:rFonts w:ascii="David" w:hAnsi="David" w:cs="David"/>
          <w:b/>
          <w:bCs/>
          <w:sz w:val="24"/>
          <w:szCs w:val="24"/>
          <w:u w:val="single"/>
          <w:rtl/>
        </w:rPr>
      </w:pPr>
    </w:p>
    <w:p w14:paraId="1E251CEA" w14:textId="77777777" w:rsidR="0045159B" w:rsidRDefault="0045159B" w:rsidP="00777F75">
      <w:pPr>
        <w:jc w:val="center"/>
        <w:rPr>
          <w:rFonts w:ascii="David" w:hAnsi="David" w:cs="David"/>
          <w:b/>
          <w:bCs/>
          <w:sz w:val="24"/>
          <w:szCs w:val="24"/>
          <w:u w:val="single"/>
          <w:rtl/>
        </w:rPr>
      </w:pPr>
    </w:p>
    <w:p w14:paraId="4E61FBFB" w14:textId="77777777" w:rsidR="0045159B" w:rsidRDefault="0045159B" w:rsidP="00777F75">
      <w:pPr>
        <w:jc w:val="center"/>
        <w:rPr>
          <w:rFonts w:ascii="David" w:hAnsi="David" w:cs="David"/>
          <w:b/>
          <w:bCs/>
          <w:sz w:val="24"/>
          <w:szCs w:val="24"/>
          <w:u w:val="single"/>
          <w:rtl/>
        </w:rPr>
      </w:pPr>
    </w:p>
    <w:p w14:paraId="137D2DBE" w14:textId="77777777" w:rsidR="0045159B" w:rsidRDefault="0045159B" w:rsidP="00777F75">
      <w:pPr>
        <w:jc w:val="center"/>
        <w:rPr>
          <w:rFonts w:ascii="David" w:hAnsi="David" w:cs="David"/>
          <w:b/>
          <w:bCs/>
          <w:sz w:val="24"/>
          <w:szCs w:val="24"/>
          <w:u w:val="single"/>
          <w:rtl/>
        </w:rPr>
      </w:pPr>
    </w:p>
    <w:p w14:paraId="7EEBA89B" w14:textId="77777777" w:rsidR="0045159B" w:rsidRDefault="0045159B" w:rsidP="00777F75">
      <w:pPr>
        <w:jc w:val="center"/>
        <w:rPr>
          <w:rFonts w:ascii="David" w:hAnsi="David" w:cs="David"/>
          <w:b/>
          <w:bCs/>
          <w:sz w:val="24"/>
          <w:szCs w:val="24"/>
          <w:u w:val="single"/>
          <w:rtl/>
        </w:rPr>
      </w:pPr>
    </w:p>
    <w:p w14:paraId="6A2D41A0" w14:textId="77777777" w:rsidR="0045159B" w:rsidRDefault="0045159B" w:rsidP="00777F75">
      <w:pPr>
        <w:jc w:val="center"/>
        <w:rPr>
          <w:rFonts w:ascii="David" w:hAnsi="David" w:cs="David"/>
          <w:b/>
          <w:bCs/>
          <w:sz w:val="24"/>
          <w:szCs w:val="24"/>
          <w:u w:val="single"/>
          <w:rtl/>
        </w:rPr>
      </w:pPr>
    </w:p>
    <w:p w14:paraId="53BC20D1" w14:textId="77777777" w:rsidR="0045159B" w:rsidRDefault="0045159B" w:rsidP="00777F75">
      <w:pPr>
        <w:jc w:val="center"/>
        <w:rPr>
          <w:rFonts w:ascii="David" w:hAnsi="David" w:cs="David"/>
          <w:b/>
          <w:bCs/>
          <w:sz w:val="24"/>
          <w:szCs w:val="24"/>
          <w:u w:val="single"/>
          <w:rtl/>
        </w:rPr>
      </w:pPr>
    </w:p>
    <w:p w14:paraId="2E9C7B7A" w14:textId="77777777" w:rsidR="0045159B" w:rsidRDefault="0045159B" w:rsidP="00777F75">
      <w:pPr>
        <w:jc w:val="center"/>
        <w:rPr>
          <w:rFonts w:ascii="David" w:hAnsi="David" w:cs="David"/>
          <w:b/>
          <w:bCs/>
          <w:sz w:val="24"/>
          <w:szCs w:val="24"/>
          <w:u w:val="single"/>
          <w:rtl/>
        </w:rPr>
      </w:pPr>
    </w:p>
    <w:p w14:paraId="2C05665B" w14:textId="77777777" w:rsidR="0045159B" w:rsidRDefault="0045159B" w:rsidP="00777F75">
      <w:pPr>
        <w:jc w:val="center"/>
        <w:rPr>
          <w:rFonts w:ascii="David" w:hAnsi="David" w:cs="David"/>
          <w:b/>
          <w:bCs/>
          <w:sz w:val="24"/>
          <w:szCs w:val="24"/>
          <w:u w:val="single"/>
          <w:rtl/>
        </w:rPr>
      </w:pPr>
    </w:p>
    <w:p w14:paraId="33ED6889" w14:textId="77777777" w:rsidR="0045159B" w:rsidRDefault="0045159B" w:rsidP="00B31DDD">
      <w:pPr>
        <w:rPr>
          <w:rFonts w:ascii="David" w:hAnsi="David" w:cs="David"/>
          <w:b/>
          <w:bCs/>
          <w:sz w:val="24"/>
          <w:szCs w:val="24"/>
          <w:u w:val="single"/>
          <w:rtl/>
        </w:rPr>
      </w:pPr>
    </w:p>
    <w:p w14:paraId="5B4EB07F" w14:textId="0CB5C258" w:rsidR="00777F75" w:rsidRPr="00051EF5" w:rsidRDefault="00777F75" w:rsidP="00777F75">
      <w:pPr>
        <w:jc w:val="center"/>
        <w:rPr>
          <w:rFonts w:ascii="David" w:hAnsi="David" w:cs="David"/>
          <w:b/>
          <w:bCs/>
          <w:sz w:val="24"/>
          <w:szCs w:val="24"/>
          <w:u w:val="single"/>
          <w:rtl/>
        </w:rPr>
      </w:pPr>
      <w:r w:rsidRPr="00051EF5">
        <w:rPr>
          <w:rFonts w:ascii="David" w:hAnsi="David" w:cs="David" w:hint="eastAsia"/>
          <w:b/>
          <w:bCs/>
          <w:sz w:val="24"/>
          <w:szCs w:val="24"/>
          <w:u w:val="single"/>
          <w:rtl/>
        </w:rPr>
        <w:t>דברי</w:t>
      </w:r>
      <w:r w:rsidRPr="00051EF5">
        <w:rPr>
          <w:rFonts w:ascii="David" w:hAnsi="David" w:cs="David"/>
          <w:b/>
          <w:bCs/>
          <w:sz w:val="24"/>
          <w:szCs w:val="24"/>
          <w:u w:val="single"/>
          <w:rtl/>
        </w:rPr>
        <w:t xml:space="preserve"> </w:t>
      </w:r>
      <w:r w:rsidRPr="00051EF5">
        <w:rPr>
          <w:rFonts w:ascii="David" w:hAnsi="David" w:cs="David" w:hint="eastAsia"/>
          <w:b/>
          <w:bCs/>
          <w:sz w:val="24"/>
          <w:szCs w:val="24"/>
          <w:u w:val="single"/>
          <w:rtl/>
        </w:rPr>
        <w:t>הסבר</w:t>
      </w:r>
    </w:p>
    <w:p w14:paraId="74D5F198" w14:textId="77777777" w:rsidR="00777F75" w:rsidRPr="00316DCE" w:rsidRDefault="00777F75" w:rsidP="00777F75">
      <w:pPr>
        <w:jc w:val="center"/>
        <w:rPr>
          <w:rFonts w:ascii="David" w:hAnsi="David" w:cs="David"/>
          <w:sz w:val="24"/>
          <w:szCs w:val="24"/>
          <w:rtl/>
        </w:rPr>
      </w:pPr>
    </w:p>
    <w:p w14:paraId="00C7639D" w14:textId="36C4BD94" w:rsidR="00505D7C" w:rsidRDefault="00505D7C" w:rsidP="00C96111">
      <w:pPr>
        <w:spacing w:line="360" w:lineRule="auto"/>
        <w:rPr>
          <w:rFonts w:cs="David"/>
          <w:sz w:val="24"/>
          <w:szCs w:val="24"/>
          <w:rtl/>
        </w:rPr>
      </w:pPr>
    </w:p>
    <w:p w14:paraId="38149329" w14:textId="0390B210" w:rsidR="00C96111" w:rsidRDefault="00505D7C" w:rsidP="006A2C6F">
      <w:pPr>
        <w:spacing w:line="360" w:lineRule="auto"/>
        <w:rPr>
          <w:rFonts w:cs="David"/>
          <w:sz w:val="24"/>
          <w:szCs w:val="24"/>
          <w:rtl/>
        </w:rPr>
      </w:pPr>
      <w:r>
        <w:rPr>
          <w:rFonts w:cs="David" w:hint="cs"/>
          <w:sz w:val="24"/>
          <w:szCs w:val="24"/>
          <w:rtl/>
        </w:rPr>
        <w:t xml:space="preserve">הוראות הממונה קובעות כי </w:t>
      </w:r>
      <w:r w:rsidRPr="008F3619">
        <w:rPr>
          <w:rFonts w:cs="David"/>
          <w:sz w:val="20"/>
          <w:szCs w:val="24"/>
          <w:rtl/>
        </w:rPr>
        <w:t xml:space="preserve">הפרמיה עבור </w:t>
      </w:r>
      <w:r w:rsidR="006A2C6F">
        <w:rPr>
          <w:rFonts w:cs="David" w:hint="cs"/>
          <w:sz w:val="20"/>
          <w:szCs w:val="24"/>
          <w:rtl/>
        </w:rPr>
        <w:t>הרובד המורחב</w:t>
      </w:r>
      <w:r w:rsidRPr="008F3619">
        <w:rPr>
          <w:rFonts w:cs="David"/>
          <w:sz w:val="20"/>
          <w:szCs w:val="24"/>
          <w:rtl/>
        </w:rPr>
        <w:t xml:space="preserve"> תקבע על בסיס ההנחה שמדובר בקרנות נפרדות, ובהתאם להנחות שיפרסם הממונה</w:t>
      </w:r>
      <w:r w:rsidR="005C7117">
        <w:rPr>
          <w:rFonts w:cs="David" w:hint="cs"/>
          <w:sz w:val="20"/>
          <w:szCs w:val="24"/>
          <w:rtl/>
        </w:rPr>
        <w:t>.</w:t>
      </w:r>
      <w:r>
        <w:rPr>
          <w:rFonts w:cs="David" w:hint="cs"/>
          <w:sz w:val="24"/>
          <w:szCs w:val="24"/>
          <w:rtl/>
        </w:rPr>
        <w:t xml:space="preserve"> </w:t>
      </w:r>
      <w:r w:rsidR="00C96111">
        <w:rPr>
          <w:rFonts w:cs="David" w:hint="cs"/>
          <w:sz w:val="24"/>
          <w:szCs w:val="24"/>
          <w:rtl/>
        </w:rPr>
        <w:t>בנספח זה מצורפות ההנחות שעל פיהן תיקבע הפרמיה.</w:t>
      </w:r>
      <w:r w:rsidR="005C158D">
        <w:rPr>
          <w:rFonts w:cs="David" w:hint="cs"/>
          <w:sz w:val="24"/>
          <w:szCs w:val="24"/>
          <w:rtl/>
        </w:rPr>
        <w:t xml:space="preserve"> הנספח מכיל, בין היתר, </w:t>
      </w:r>
      <w:r w:rsidR="005D1FF6">
        <w:rPr>
          <w:rFonts w:cs="David" w:hint="cs"/>
          <w:sz w:val="24"/>
          <w:szCs w:val="24"/>
          <w:rtl/>
        </w:rPr>
        <w:t>דברי הסבר על הליך קביעת ההנחות.</w:t>
      </w:r>
      <w:r w:rsidR="00C96111">
        <w:rPr>
          <w:rFonts w:cs="David" w:hint="cs"/>
          <w:sz w:val="24"/>
          <w:szCs w:val="24"/>
          <w:rtl/>
        </w:rPr>
        <w:t xml:space="preserve"> </w:t>
      </w:r>
    </w:p>
    <w:p w14:paraId="05947E6E" w14:textId="1080CBBC" w:rsidR="00C96111" w:rsidRDefault="00C96111" w:rsidP="00C96111">
      <w:pPr>
        <w:spacing w:line="360" w:lineRule="auto"/>
        <w:rPr>
          <w:rFonts w:cs="David"/>
          <w:sz w:val="24"/>
          <w:szCs w:val="24"/>
          <w:rtl/>
        </w:rPr>
      </w:pPr>
      <w:r>
        <w:rPr>
          <w:rFonts w:cs="David" w:hint="cs"/>
          <w:sz w:val="24"/>
          <w:szCs w:val="24"/>
          <w:rtl/>
        </w:rPr>
        <w:t xml:space="preserve"> </w:t>
      </w:r>
    </w:p>
    <w:p w14:paraId="0FA138EA" w14:textId="77777777" w:rsidR="005C7117" w:rsidRDefault="005C7117" w:rsidP="00777F75">
      <w:pPr>
        <w:spacing w:line="360" w:lineRule="auto"/>
        <w:rPr>
          <w:rFonts w:cs="David"/>
          <w:b/>
          <w:bCs/>
          <w:sz w:val="24"/>
          <w:szCs w:val="24"/>
          <w:rtl/>
        </w:rPr>
      </w:pPr>
    </w:p>
    <w:p w14:paraId="40436177" w14:textId="77777777" w:rsidR="005C7117" w:rsidRDefault="005C7117" w:rsidP="00777F75">
      <w:pPr>
        <w:spacing w:line="360" w:lineRule="auto"/>
        <w:rPr>
          <w:rFonts w:cs="David"/>
          <w:b/>
          <w:bCs/>
          <w:sz w:val="24"/>
          <w:szCs w:val="24"/>
          <w:rtl/>
        </w:rPr>
      </w:pPr>
    </w:p>
    <w:p w14:paraId="412FF751" w14:textId="77777777" w:rsidR="005C7117" w:rsidRDefault="005C7117" w:rsidP="00777F75">
      <w:pPr>
        <w:spacing w:line="360" w:lineRule="auto"/>
        <w:rPr>
          <w:rFonts w:cs="David"/>
          <w:b/>
          <w:bCs/>
          <w:sz w:val="24"/>
          <w:szCs w:val="24"/>
          <w:rtl/>
        </w:rPr>
      </w:pPr>
    </w:p>
    <w:p w14:paraId="63F945D1" w14:textId="77777777" w:rsidR="005C7117" w:rsidRDefault="005C7117" w:rsidP="00777F75">
      <w:pPr>
        <w:spacing w:line="360" w:lineRule="auto"/>
        <w:rPr>
          <w:rFonts w:cs="David"/>
          <w:b/>
          <w:bCs/>
          <w:sz w:val="24"/>
          <w:szCs w:val="24"/>
          <w:rtl/>
        </w:rPr>
      </w:pPr>
    </w:p>
    <w:p w14:paraId="13C8FF99" w14:textId="77777777" w:rsidR="005C7117" w:rsidRDefault="005C7117" w:rsidP="00777F75">
      <w:pPr>
        <w:spacing w:line="360" w:lineRule="auto"/>
        <w:rPr>
          <w:rFonts w:cs="David"/>
          <w:b/>
          <w:bCs/>
          <w:sz w:val="24"/>
          <w:szCs w:val="24"/>
          <w:rtl/>
        </w:rPr>
      </w:pPr>
    </w:p>
    <w:p w14:paraId="7C20AFE8" w14:textId="77777777" w:rsidR="005C7117" w:rsidRDefault="005C7117" w:rsidP="00777F75">
      <w:pPr>
        <w:spacing w:line="360" w:lineRule="auto"/>
        <w:rPr>
          <w:rFonts w:cs="David"/>
          <w:b/>
          <w:bCs/>
          <w:sz w:val="24"/>
          <w:szCs w:val="24"/>
          <w:rtl/>
        </w:rPr>
      </w:pPr>
    </w:p>
    <w:p w14:paraId="29F98081" w14:textId="77777777" w:rsidR="005C7117" w:rsidRDefault="005C7117" w:rsidP="00777F75">
      <w:pPr>
        <w:spacing w:line="360" w:lineRule="auto"/>
        <w:rPr>
          <w:rFonts w:cs="David"/>
          <w:b/>
          <w:bCs/>
          <w:sz w:val="24"/>
          <w:szCs w:val="24"/>
          <w:rtl/>
        </w:rPr>
      </w:pPr>
    </w:p>
    <w:p w14:paraId="7E38B525" w14:textId="77777777" w:rsidR="005C7117" w:rsidRDefault="005C7117" w:rsidP="00777F75">
      <w:pPr>
        <w:spacing w:line="360" w:lineRule="auto"/>
        <w:rPr>
          <w:rFonts w:cs="David"/>
          <w:b/>
          <w:bCs/>
          <w:sz w:val="24"/>
          <w:szCs w:val="24"/>
          <w:rtl/>
        </w:rPr>
      </w:pPr>
    </w:p>
    <w:p w14:paraId="75BB2DE2" w14:textId="77777777" w:rsidR="005C7117" w:rsidRDefault="005C7117" w:rsidP="00777F75">
      <w:pPr>
        <w:spacing w:line="360" w:lineRule="auto"/>
        <w:rPr>
          <w:rFonts w:cs="David"/>
          <w:b/>
          <w:bCs/>
          <w:sz w:val="24"/>
          <w:szCs w:val="24"/>
          <w:rtl/>
        </w:rPr>
      </w:pPr>
    </w:p>
    <w:p w14:paraId="635A4D77" w14:textId="77777777" w:rsidR="005C7117" w:rsidRDefault="005C7117" w:rsidP="00777F75">
      <w:pPr>
        <w:spacing w:line="360" w:lineRule="auto"/>
        <w:rPr>
          <w:rFonts w:cs="David"/>
          <w:b/>
          <w:bCs/>
          <w:sz w:val="24"/>
          <w:szCs w:val="24"/>
          <w:rtl/>
        </w:rPr>
      </w:pPr>
    </w:p>
    <w:p w14:paraId="67AE2D7B" w14:textId="77777777" w:rsidR="005C7117" w:rsidRDefault="005C7117" w:rsidP="00777F75">
      <w:pPr>
        <w:spacing w:line="360" w:lineRule="auto"/>
        <w:rPr>
          <w:rFonts w:cs="David"/>
          <w:b/>
          <w:bCs/>
          <w:sz w:val="24"/>
          <w:szCs w:val="24"/>
          <w:rtl/>
        </w:rPr>
      </w:pPr>
    </w:p>
    <w:p w14:paraId="7C318E04" w14:textId="77777777" w:rsidR="005C7117" w:rsidRDefault="005C7117" w:rsidP="00777F75">
      <w:pPr>
        <w:spacing w:line="360" w:lineRule="auto"/>
        <w:rPr>
          <w:rFonts w:cs="David"/>
          <w:b/>
          <w:bCs/>
          <w:sz w:val="24"/>
          <w:szCs w:val="24"/>
          <w:rtl/>
        </w:rPr>
      </w:pPr>
    </w:p>
    <w:p w14:paraId="2C72455C" w14:textId="77777777" w:rsidR="005C7117" w:rsidRDefault="005C7117" w:rsidP="00777F75">
      <w:pPr>
        <w:spacing w:line="360" w:lineRule="auto"/>
        <w:rPr>
          <w:rFonts w:cs="David"/>
          <w:b/>
          <w:bCs/>
          <w:sz w:val="24"/>
          <w:szCs w:val="24"/>
          <w:rtl/>
        </w:rPr>
      </w:pPr>
    </w:p>
    <w:p w14:paraId="4F576B5A" w14:textId="77777777" w:rsidR="005C7117" w:rsidRDefault="005C7117" w:rsidP="00777F75">
      <w:pPr>
        <w:spacing w:line="360" w:lineRule="auto"/>
        <w:rPr>
          <w:rFonts w:cs="David"/>
          <w:b/>
          <w:bCs/>
          <w:sz w:val="24"/>
          <w:szCs w:val="24"/>
          <w:rtl/>
        </w:rPr>
      </w:pPr>
    </w:p>
    <w:p w14:paraId="2434FAA6" w14:textId="77777777" w:rsidR="005C7117" w:rsidRDefault="005C7117" w:rsidP="00777F75">
      <w:pPr>
        <w:spacing w:line="360" w:lineRule="auto"/>
        <w:rPr>
          <w:rFonts w:cs="David"/>
          <w:b/>
          <w:bCs/>
          <w:sz w:val="24"/>
          <w:szCs w:val="24"/>
          <w:rtl/>
        </w:rPr>
      </w:pPr>
    </w:p>
    <w:p w14:paraId="2DE4350A" w14:textId="77777777" w:rsidR="005C7117" w:rsidRDefault="005C7117" w:rsidP="00777F75">
      <w:pPr>
        <w:spacing w:line="360" w:lineRule="auto"/>
        <w:rPr>
          <w:rFonts w:cs="David"/>
          <w:b/>
          <w:bCs/>
          <w:sz w:val="24"/>
          <w:szCs w:val="24"/>
          <w:rtl/>
        </w:rPr>
      </w:pPr>
    </w:p>
    <w:p w14:paraId="2BBF3FD2" w14:textId="77777777" w:rsidR="005C7117" w:rsidRDefault="005C7117" w:rsidP="00777F75">
      <w:pPr>
        <w:spacing w:line="360" w:lineRule="auto"/>
        <w:rPr>
          <w:rFonts w:cs="David"/>
          <w:b/>
          <w:bCs/>
          <w:sz w:val="24"/>
          <w:szCs w:val="24"/>
          <w:rtl/>
        </w:rPr>
      </w:pPr>
    </w:p>
    <w:p w14:paraId="535AA2F4" w14:textId="37263A10" w:rsidR="00777F75" w:rsidRDefault="00777F75" w:rsidP="00777F75">
      <w:pPr>
        <w:spacing w:line="360" w:lineRule="auto"/>
        <w:rPr>
          <w:rFonts w:cs="David"/>
          <w:sz w:val="24"/>
          <w:szCs w:val="24"/>
          <w:rtl/>
        </w:rPr>
      </w:pPr>
    </w:p>
    <w:p w14:paraId="508E4D28" w14:textId="77777777" w:rsidR="00870C85" w:rsidRPr="00993FA9" w:rsidRDefault="00870C85" w:rsidP="00777F75">
      <w:pPr>
        <w:spacing w:line="360" w:lineRule="auto"/>
        <w:rPr>
          <w:rFonts w:cs="David"/>
          <w:sz w:val="24"/>
          <w:szCs w:val="24"/>
          <w:rtl/>
        </w:rPr>
      </w:pPr>
    </w:p>
    <w:p w14:paraId="3998A468" w14:textId="704A024D" w:rsidR="003D1A57" w:rsidRPr="00244FDC" w:rsidRDefault="003D1A57" w:rsidP="001B1951">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14:paraId="2FE802DF" w14:textId="77777777" w:rsidR="003D1A57" w:rsidRDefault="003D1A57" w:rsidP="003D1A57">
      <w:pPr>
        <w:tabs>
          <w:tab w:val="center" w:pos="2359"/>
          <w:tab w:val="center" w:pos="5619"/>
        </w:tabs>
        <w:spacing w:line="276" w:lineRule="auto"/>
        <w:jc w:val="left"/>
        <w:rPr>
          <w:rFonts w:cs="David"/>
          <w:sz w:val="24"/>
          <w:szCs w:val="24"/>
          <w:rtl/>
        </w:rPr>
      </w:pPr>
    </w:p>
    <w:p w14:paraId="72C2FDB9" w14:textId="77777777" w:rsidR="003D1A57" w:rsidRDefault="003D1A57" w:rsidP="003D1A57">
      <w:pPr>
        <w:tabs>
          <w:tab w:val="center" w:pos="2359"/>
          <w:tab w:val="center" w:pos="5619"/>
        </w:tabs>
        <w:spacing w:line="276" w:lineRule="auto"/>
        <w:jc w:val="left"/>
        <w:rPr>
          <w:rFonts w:cs="David"/>
          <w:sz w:val="24"/>
          <w:szCs w:val="24"/>
          <w:rtl/>
        </w:rPr>
      </w:pPr>
    </w:p>
    <w:p w14:paraId="3D8CA4CF" w14:textId="77777777" w:rsidR="003D1A57" w:rsidRPr="003D1A57" w:rsidRDefault="003D1A57" w:rsidP="002D7789">
      <w:pPr>
        <w:rPr>
          <w:rtl/>
        </w:rPr>
      </w:pPr>
    </w:p>
    <w:sectPr w:rsidR="003D1A57" w:rsidRPr="003D1A57" w:rsidSect="00B774C7">
      <w:footerReference w:type="default" r:id="rId8"/>
      <w:headerReference w:type="first" r:id="rId9"/>
      <w:footerReference w:type="first" r:id="rId10"/>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8E6D" w14:textId="77777777" w:rsidR="0045159B" w:rsidRDefault="0045159B" w:rsidP="003D1A57">
      <w:r>
        <w:separator/>
      </w:r>
    </w:p>
  </w:endnote>
  <w:endnote w:type="continuationSeparator" w:id="0">
    <w:p w14:paraId="61BC4854" w14:textId="77777777" w:rsidR="0045159B" w:rsidRDefault="0045159B"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695F" w14:textId="2ED6E23E" w:rsidR="0045159B" w:rsidRDefault="00402932" w:rsidP="00B774C7">
    <w:pPr>
      <w:jc w:val="center"/>
      <w:rPr>
        <w:rtl/>
      </w:rPr>
    </w:pPr>
    <w:fldSimple w:instr=" NUMPAGES  \* MERGEFORMAT ">
      <w:r w:rsidR="0093085A">
        <w:rPr>
          <w:noProof/>
          <w:rtl/>
        </w:rPr>
        <w:t>15</w:t>
      </w:r>
    </w:fldSimple>
    <w:r w:rsidR="0045159B">
      <w:rPr>
        <w:rFonts w:hint="cs"/>
        <w:rtl/>
      </w:rPr>
      <w:t xml:space="preserve"> / </w:t>
    </w:r>
    <w:r w:rsidR="0045159B">
      <w:rPr>
        <w:rtl/>
      </w:rPr>
      <w:fldChar w:fldCharType="begin"/>
    </w:r>
    <w:r w:rsidR="0045159B">
      <w:rPr>
        <w:rtl/>
      </w:rPr>
      <w:instrText xml:space="preserve"> </w:instrText>
    </w:r>
    <w:r w:rsidR="0045159B">
      <w:instrText>PAGE  \* MERGEFORMAT</w:instrText>
    </w:r>
    <w:r w:rsidR="0045159B">
      <w:rPr>
        <w:rtl/>
      </w:rPr>
      <w:instrText xml:space="preserve"> </w:instrText>
    </w:r>
    <w:r w:rsidR="0045159B">
      <w:rPr>
        <w:rtl/>
      </w:rPr>
      <w:fldChar w:fldCharType="separate"/>
    </w:r>
    <w:r w:rsidR="0093085A">
      <w:rPr>
        <w:noProof/>
        <w:rtl/>
      </w:rPr>
      <w:t>13</w:t>
    </w:r>
    <w:r w:rsidR="0045159B">
      <w:rPr>
        <w:rtl/>
      </w:rPr>
      <w:fldChar w:fldCharType="end"/>
    </w:r>
  </w:p>
  <w:p w14:paraId="0BBA1C7C" w14:textId="77777777" w:rsidR="0045159B" w:rsidRDefault="0045159B"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7DE372A5" w14:textId="77777777" w:rsidR="0045159B" w:rsidRPr="00C51B36" w:rsidRDefault="0093085A" w:rsidP="00B774C7">
    <w:pPr>
      <w:bidi w:val="0"/>
      <w:jc w:val="center"/>
      <w:rPr>
        <w:rFonts w:cstheme="minorBidi"/>
        <w:lang w:bidi="ar-SA"/>
      </w:rPr>
    </w:pPr>
    <w:hyperlink r:id="rId1" w:history="1">
      <w:r w:rsidR="0045159B" w:rsidRPr="00466737">
        <w:rPr>
          <w:rStyle w:val="Hyperlink"/>
          <w:szCs w:val="28"/>
        </w:rPr>
        <w:t>www.mof.gov.il/hon</w:t>
      </w:r>
    </w:hyperlink>
    <w:r w:rsidR="0045159B">
      <w:rPr>
        <w:szCs w:val="28"/>
      </w:rPr>
      <w:t xml:space="preserve"> </w:t>
    </w:r>
    <w:r w:rsidR="0045159B">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3CB6" w14:textId="7A8A1DFF" w:rsidR="0045159B" w:rsidRDefault="00402932" w:rsidP="00B774C7">
    <w:pPr>
      <w:jc w:val="center"/>
      <w:rPr>
        <w:rtl/>
      </w:rPr>
    </w:pPr>
    <w:fldSimple w:instr=" NUMPAGES  \* MERGEFORMAT ">
      <w:r w:rsidR="0093085A">
        <w:rPr>
          <w:noProof/>
          <w:rtl/>
        </w:rPr>
        <w:t>15</w:t>
      </w:r>
    </w:fldSimple>
    <w:r w:rsidR="0045159B">
      <w:rPr>
        <w:rFonts w:hint="cs"/>
        <w:rtl/>
      </w:rPr>
      <w:t xml:space="preserve"> / </w:t>
    </w:r>
    <w:r w:rsidR="0045159B">
      <w:rPr>
        <w:rtl/>
      </w:rPr>
      <w:fldChar w:fldCharType="begin"/>
    </w:r>
    <w:r w:rsidR="0045159B">
      <w:rPr>
        <w:rtl/>
      </w:rPr>
      <w:instrText xml:space="preserve"> </w:instrText>
    </w:r>
    <w:r w:rsidR="0045159B">
      <w:instrText>PAGE  \* MERGEFORMAT</w:instrText>
    </w:r>
    <w:r w:rsidR="0045159B">
      <w:rPr>
        <w:rtl/>
      </w:rPr>
      <w:instrText xml:space="preserve"> </w:instrText>
    </w:r>
    <w:r w:rsidR="0045159B">
      <w:rPr>
        <w:rtl/>
      </w:rPr>
      <w:fldChar w:fldCharType="separate"/>
    </w:r>
    <w:r w:rsidR="0093085A">
      <w:rPr>
        <w:noProof/>
        <w:rtl/>
      </w:rPr>
      <w:t>1</w:t>
    </w:r>
    <w:r w:rsidR="0045159B">
      <w:rPr>
        <w:rtl/>
      </w:rPr>
      <w:fldChar w:fldCharType="end"/>
    </w:r>
  </w:p>
  <w:p w14:paraId="79B2E01D" w14:textId="77777777" w:rsidR="0045159B" w:rsidRDefault="0045159B"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E4CBC1C" w14:textId="77777777" w:rsidR="0045159B" w:rsidRPr="00C51B36" w:rsidRDefault="0093085A" w:rsidP="00B774C7">
    <w:pPr>
      <w:bidi w:val="0"/>
      <w:jc w:val="center"/>
      <w:rPr>
        <w:rFonts w:cstheme="minorBidi"/>
        <w:lang w:bidi="ar-SA"/>
      </w:rPr>
    </w:pPr>
    <w:hyperlink r:id="rId1" w:history="1">
      <w:r w:rsidR="0045159B" w:rsidRPr="00466737">
        <w:rPr>
          <w:rStyle w:val="Hyperlink"/>
          <w:szCs w:val="28"/>
        </w:rPr>
        <w:t>www.mof.gov.il/hon</w:t>
      </w:r>
    </w:hyperlink>
    <w:r w:rsidR="0045159B">
      <w:rPr>
        <w:szCs w:val="28"/>
      </w:rPr>
      <w:t xml:space="preserve"> </w:t>
    </w:r>
    <w:r w:rsidR="0045159B">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4BEA" w14:textId="77777777" w:rsidR="0045159B" w:rsidRDefault="0045159B" w:rsidP="003D1A57">
      <w:r>
        <w:separator/>
      </w:r>
    </w:p>
  </w:footnote>
  <w:footnote w:type="continuationSeparator" w:id="0">
    <w:p w14:paraId="66B096C6" w14:textId="77777777" w:rsidR="0045159B" w:rsidRDefault="0045159B" w:rsidP="003D1A57">
      <w:r>
        <w:continuationSeparator/>
      </w:r>
    </w:p>
  </w:footnote>
  <w:footnote w:id="1">
    <w:p w14:paraId="49806AA3"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2015-416 "</w:t>
      </w:r>
      <w:r w:rsidRPr="006C52C3">
        <w:rPr>
          <w:rFonts w:ascii="David" w:hAnsi="David" w:cs="David"/>
          <w:rtl/>
        </w:rPr>
        <w:t>תיקון הוראות החוזר המאוחד - שער 6 חלק 3 ביטוח סיעודי</w:t>
      </w:r>
      <w:r>
        <w:rPr>
          <w:rFonts w:ascii="David" w:hAnsi="David" w:cs="David"/>
          <w:rtl/>
        </w:rPr>
        <w:t>" שתחילתו על ת</w:t>
      </w:r>
      <w:r w:rsidRPr="004A5074">
        <w:rPr>
          <w:rFonts w:ascii="David" w:hAnsi="David" w:cs="David"/>
          <w:rtl/>
        </w:rPr>
        <w:t>כניות שישוו</w:t>
      </w:r>
      <w:r>
        <w:rPr>
          <w:rFonts w:ascii="David" w:hAnsi="David" w:cs="David"/>
          <w:rtl/>
        </w:rPr>
        <w:t>קו החל ; מיום 1 ינואר 2019 על ת</w:t>
      </w:r>
      <w:r w:rsidRPr="004A5074">
        <w:rPr>
          <w:rFonts w:ascii="David" w:hAnsi="David" w:cs="David"/>
          <w:rtl/>
        </w:rPr>
        <w:t>כניות שישווקו החל ;</w:t>
      </w:r>
    </w:p>
  </w:footnote>
  <w:footnote w:id="2">
    <w:p w14:paraId="5E87D38B" w14:textId="77777777" w:rsidR="0045159B" w:rsidRPr="006C52C3"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מתוך חוזר 2017-1-8 "</w:t>
      </w:r>
      <w:r w:rsidRPr="006C52C3">
        <w:rPr>
          <w:rFonts w:ascii="David" w:hAnsi="David" w:cs="David"/>
          <w:rtl/>
        </w:rPr>
        <w:t>תיקון הוראות החוזר המאוחד - שער 6 חלק 3 פרקים 1 עד 6 - תיקונים לגבי ביטוח סיעודי" (מיום 21.5.2017)</w:t>
      </w:r>
      <w:r w:rsidRPr="006C52C3">
        <w:rPr>
          <w:rFonts w:ascii="David" w:hAnsi="David" w:cs="David"/>
          <w:szCs w:val="24"/>
          <w:rtl/>
        </w:rPr>
        <w:t xml:space="preserve"> </w:t>
      </w:r>
      <w:r w:rsidRPr="006C52C3">
        <w:rPr>
          <w:rFonts w:ascii="David" w:hAnsi="David" w:cs="David"/>
          <w:rtl/>
        </w:rPr>
        <w:t>שתחילתו ביום 1 בספטמבר 2017;</w:t>
      </w:r>
    </w:p>
  </w:footnote>
  <w:footnote w:id="3">
    <w:p w14:paraId="1BCB5DA8"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 "תיקון הוראות החוזר המאוחד - שער 6 חלק 3 פרקים 1, 3 ו-4 - ביטוח נסיעות לחו"ל (מיום 1.1.2017);</w:t>
      </w:r>
    </w:p>
  </w:footnote>
  <w:footnote w:id="4">
    <w:p w14:paraId="63D4A78F"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5">
    <w:p w14:paraId="702CF542"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w:t>
      </w:r>
      <w:r w:rsidRPr="006C52C3">
        <w:rPr>
          <w:rFonts w:ascii="David" w:hAnsi="David" w:cs="David"/>
          <w:rtl/>
        </w:rPr>
        <w:t>2017-1-8 "תיקון הוראות החוזר המאוחד - שער 6 חלק 3 פרקים 1 עד 6 - תיקונים לגבי ביטוח סיעודי" (מיום</w:t>
      </w:r>
      <w:r w:rsidRPr="004A5074">
        <w:rPr>
          <w:rFonts w:ascii="David" w:hAnsi="David" w:cs="David"/>
          <w:rtl/>
        </w:rPr>
        <w:t xml:space="preserve"> 21.5.2017)</w:t>
      </w:r>
      <w:r w:rsidRPr="004A5074">
        <w:rPr>
          <w:rFonts w:ascii="David" w:hAnsi="David" w:cs="David"/>
          <w:szCs w:val="24"/>
          <w:rtl/>
        </w:rPr>
        <w:t xml:space="preserve"> </w:t>
      </w:r>
      <w:r w:rsidRPr="004A5074">
        <w:rPr>
          <w:rFonts w:ascii="David" w:hAnsi="David" w:cs="David"/>
          <w:rtl/>
        </w:rPr>
        <w:t>שתחילתו ביום 1 בספטמבר 2017;</w:t>
      </w:r>
    </w:p>
  </w:footnote>
  <w:footnote w:id="6">
    <w:p w14:paraId="07C9DCCA"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7">
    <w:p w14:paraId="6627F5F1" w14:textId="77777777" w:rsidR="0045159B" w:rsidRPr="009867E6" w:rsidRDefault="0045159B" w:rsidP="00777F75">
      <w:pPr>
        <w:pStyle w:val="ae"/>
        <w:rPr>
          <w:rFonts w:ascii="David" w:hAnsi="David" w:cs="David"/>
        </w:rPr>
      </w:pPr>
      <w:r w:rsidRPr="009867E6">
        <w:rPr>
          <w:rStyle w:val="af0"/>
          <w:rFonts w:ascii="David" w:hAnsi="David" w:cs="David"/>
        </w:rPr>
        <w:footnoteRef/>
      </w:r>
      <w:r w:rsidRPr="009867E6">
        <w:rPr>
          <w:rFonts w:ascii="David" w:hAnsi="David" w:cs="David"/>
          <w:rtl/>
        </w:rPr>
        <w:t xml:space="preserve"> מקור: חוזר 2015-1-19 "עריכת תכנית לביטוח בריאות פרט";</w:t>
      </w:r>
    </w:p>
  </w:footnote>
  <w:footnote w:id="8">
    <w:p w14:paraId="2613001C" w14:textId="77777777" w:rsidR="0045159B" w:rsidRPr="009867E6" w:rsidRDefault="0045159B" w:rsidP="00777F75">
      <w:pPr>
        <w:pStyle w:val="ae"/>
        <w:rPr>
          <w:rFonts w:ascii="David" w:hAnsi="David" w:cs="David"/>
          <w:rtl/>
        </w:rPr>
      </w:pPr>
      <w:r w:rsidRPr="009867E6">
        <w:rPr>
          <w:rStyle w:val="af0"/>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9">
    <w:p w14:paraId="41F7F8AE" w14:textId="77777777" w:rsidR="0045159B" w:rsidRPr="009867E6" w:rsidRDefault="0045159B" w:rsidP="00777F75">
      <w:pPr>
        <w:pStyle w:val="ae"/>
        <w:rPr>
          <w:rFonts w:ascii="David" w:hAnsi="David" w:cs="David"/>
          <w:rtl/>
        </w:rPr>
      </w:pPr>
      <w:r w:rsidRPr="009867E6">
        <w:rPr>
          <w:rStyle w:val="af0"/>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10">
    <w:p w14:paraId="610C0220" w14:textId="77777777" w:rsidR="0045159B" w:rsidRDefault="0045159B" w:rsidP="00777F75">
      <w:pPr>
        <w:pStyle w:val="ae"/>
      </w:pPr>
      <w:r w:rsidRPr="009867E6">
        <w:rPr>
          <w:rStyle w:val="af0"/>
          <w:rFonts w:ascii="David" w:hAnsi="David" w:cs="David"/>
        </w:rPr>
        <w:footnoteRef/>
      </w:r>
      <w:r w:rsidRPr="009867E6">
        <w:rPr>
          <w:rFonts w:ascii="David" w:hAnsi="David" w:cs="David"/>
          <w:rtl/>
        </w:rPr>
        <w:t xml:space="preserve"> מקור: חוזר 2013-1-6 " עריכת תכנית לביטוח מחלות קשות"</w:t>
      </w:r>
      <w:r w:rsidRPr="009867E6">
        <w:rPr>
          <w:rFonts w:ascii="David" w:hAnsi="David" w:cs="David"/>
        </w:rPr>
        <w:t>`</w:t>
      </w:r>
    </w:p>
  </w:footnote>
  <w:footnote w:id="11">
    <w:p w14:paraId="24BA7A71"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w:t>
      </w:r>
      <w:r w:rsidRPr="00823E74">
        <w:rPr>
          <w:rFonts w:ascii="David" w:hAnsi="David" w:cs="David"/>
          <w:rtl/>
        </w:rPr>
        <w:t>מקור</w:t>
      </w:r>
      <w:r w:rsidRPr="004A5074">
        <w:rPr>
          <w:rFonts w:ascii="David" w:hAnsi="David" w:cs="David"/>
          <w:rtl/>
        </w:rPr>
        <w:t>: מתוך חוזר 2016-1-26"תיקון הוראות החוזר המאוחד - שער 6 חלק 3 פרקים 1, 3 ו-4 - ביטוח נסיעות לחו"ל (מיום 1.1.2017);</w:t>
      </w:r>
    </w:p>
  </w:footnote>
  <w:footnote w:id="12">
    <w:p w14:paraId="20F7FB59"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13">
    <w:p w14:paraId="647244F2"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r w:rsidRPr="004A5074">
        <w:rPr>
          <w:rFonts w:ascii="David" w:hAnsi="David" w:cs="David"/>
          <w:rtl/>
        </w:rPr>
        <w:tab/>
        <w:t xml:space="preserve"> </w:t>
      </w:r>
    </w:p>
  </w:footnote>
  <w:footnote w:id="14">
    <w:p w14:paraId="0ECBD9EC"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15">
    <w:p w14:paraId="3D73FCB0"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חוזר 2012-1-4 "ביטוח שיניים";</w:t>
      </w:r>
    </w:p>
  </w:footnote>
  <w:footnote w:id="16">
    <w:p w14:paraId="25B1D07E"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2015-1-19 "עריכת תכנית לביטוח בריאות פרט";</w:t>
      </w:r>
    </w:p>
  </w:footnote>
  <w:footnote w:id="17">
    <w:p w14:paraId="31984279"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חוזר 2013-1-5 "עריכת תכנית לביטוח סיעודי";</w:t>
      </w:r>
    </w:p>
  </w:footnote>
  <w:footnote w:id="18">
    <w:p w14:paraId="393AE77C"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חוזר 2013-1-5 "עריכת תכנית לביטוח סיעודי";</w:t>
      </w:r>
    </w:p>
  </w:footnote>
  <w:footnote w:id="19">
    <w:p w14:paraId="23CF5D7C"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2015-1-19 "עריכת תכנית לביטוח בריאות פרט";</w:t>
      </w:r>
    </w:p>
  </w:footnote>
  <w:footnote w:id="20">
    <w:p w14:paraId="654224ED"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1">
    <w:p w14:paraId="358F91DB"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2">
    <w:p w14:paraId="5FDB5EC4"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3">
    <w:p w14:paraId="7DCF67BB"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2013-1-6 " עריכת תכנית לביטוח מחלות קשות";</w:t>
      </w:r>
    </w:p>
  </w:footnote>
  <w:footnote w:id="24">
    <w:p w14:paraId="18CB6BAB"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25">
    <w:p w14:paraId="4EEE46FA"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2011-1-2 "פירוט תגמולי ביטוח בתכניות לביטוח בריאות";</w:t>
      </w:r>
    </w:p>
  </w:footnote>
  <w:footnote w:id="26">
    <w:p w14:paraId="2625C614"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2015-1-20 "אי תלות בין כיסויים בביטוח בריאות פרט";</w:t>
      </w:r>
    </w:p>
  </w:footnote>
  <w:footnote w:id="27">
    <w:p w14:paraId="122CBE44"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2015-1-19 "עריכת תכנית לביטוח תאונות פרט";</w:t>
      </w:r>
    </w:p>
  </w:footnote>
  <w:footnote w:id="28">
    <w:p w14:paraId="598BF7BD"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A0E4" w14:textId="77777777" w:rsidR="0045159B" w:rsidRDefault="0045159B" w:rsidP="00B774C7">
    <w:pPr>
      <w:pStyle w:val="a8"/>
      <w:jc w:val="center"/>
      <w:rPr>
        <w:b/>
        <w:bCs/>
        <w:szCs w:val="36"/>
        <w:rtl/>
      </w:rPr>
    </w:pPr>
    <w:r>
      <w:rPr>
        <w:noProof/>
        <w:rtl/>
        <w:lang w:eastAsia="en-US"/>
      </w:rPr>
      <w:drawing>
        <wp:inline distT="0" distB="0" distL="0" distR="0" wp14:anchorId="5231986A" wp14:editId="53B107AD">
          <wp:extent cx="482498" cy="343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7EA83D04" w14:textId="77777777" w:rsidR="0045159B" w:rsidRDefault="0045159B" w:rsidP="00B774C7">
    <w:pPr>
      <w:pStyle w:val="a8"/>
      <w:jc w:val="center"/>
      <w:rPr>
        <w:b/>
        <w:bCs/>
        <w:szCs w:val="36"/>
        <w:rtl/>
      </w:rPr>
    </w:pPr>
    <w:r>
      <w:rPr>
        <w:b/>
        <w:bCs/>
        <w:szCs w:val="36"/>
        <w:rtl/>
      </w:rPr>
      <w:t>מדינת ישראל</w:t>
    </w:r>
  </w:p>
  <w:p w14:paraId="1739BBC4" w14:textId="77777777" w:rsidR="0045159B" w:rsidRDefault="0045159B"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3E7"/>
    <w:multiLevelType w:val="multilevel"/>
    <w:tmpl w:val="5BB471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2574E"/>
    <w:multiLevelType w:val="hybridMultilevel"/>
    <w:tmpl w:val="34FAE030"/>
    <w:lvl w:ilvl="0" w:tplc="AEAC8166">
      <w:start w:val="1"/>
      <w:numFmt w:val="hebrew1"/>
      <w:lvlText w:val="%1."/>
      <w:lvlJc w:val="left"/>
      <w:pPr>
        <w:ind w:left="1800" w:hanging="360"/>
      </w:pPr>
      <w:rPr>
        <w:rFonts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C310F"/>
    <w:multiLevelType w:val="multilevel"/>
    <w:tmpl w:val="AA448D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C93C0B"/>
    <w:multiLevelType w:val="hybridMultilevel"/>
    <w:tmpl w:val="EBC0CCE2"/>
    <w:lvl w:ilvl="0" w:tplc="45727B9E">
      <w:start w:val="1"/>
      <w:numFmt w:val="decimal"/>
      <w:lvlText w:val="%1."/>
      <w:lvlJc w:val="left"/>
      <w:pPr>
        <w:ind w:left="748" w:hanging="360"/>
      </w:pPr>
      <w:rPr>
        <w:b/>
        <w:bCs/>
      </w:rPr>
    </w:lvl>
    <w:lvl w:ilvl="1" w:tplc="55761D00">
      <w:start w:val="1"/>
      <w:numFmt w:val="hebrew1"/>
      <w:lvlText w:val="%2."/>
      <w:lvlJc w:val="center"/>
      <w:pPr>
        <w:ind w:left="1468" w:hanging="360"/>
      </w:pPr>
      <w:rPr>
        <w:b w:val="0"/>
        <w:bCs w:val="0"/>
      </w:rPr>
    </w:lvl>
    <w:lvl w:ilvl="2" w:tplc="E030528E">
      <w:start w:val="1"/>
      <w:numFmt w:val="hebrew1"/>
      <w:lvlText w:val="(%3)"/>
      <w:lvlJc w:val="left"/>
      <w:pPr>
        <w:ind w:left="2188" w:hanging="180"/>
      </w:pPr>
      <w:rPr>
        <w:rFonts w:hint="default"/>
      </w:r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 w15:restartNumberingAfterBreak="0">
    <w:nsid w:val="10AF2ED0"/>
    <w:multiLevelType w:val="multilevel"/>
    <w:tmpl w:val="475E70D8"/>
    <w:lvl w:ilvl="0">
      <w:start w:val="1"/>
      <w:numFmt w:val="hebrew1"/>
      <w:lvlText w:val="%1."/>
      <w:lvlJc w:val="center"/>
      <w:pPr>
        <w:tabs>
          <w:tab w:val="num" w:pos="1080"/>
        </w:tabs>
        <w:ind w:left="1080" w:right="1080" w:hanging="360"/>
      </w:pPr>
      <w:rPr>
        <w:rFonts w:ascii="David" w:hAnsi="David" w:cs="David" w:hint="default"/>
        <w:sz w:val="24"/>
        <w:szCs w:val="24"/>
      </w:r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5" w15:restartNumberingAfterBreak="0">
    <w:nsid w:val="10B82797"/>
    <w:multiLevelType w:val="multilevel"/>
    <w:tmpl w:val="CB2CFB36"/>
    <w:numStyleLink w:val="-"/>
  </w:abstractNum>
  <w:abstractNum w:abstractNumId="6"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7" w15:restartNumberingAfterBreak="0">
    <w:nsid w:val="14FA761C"/>
    <w:multiLevelType w:val="hybridMultilevel"/>
    <w:tmpl w:val="BBCC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F14E2"/>
    <w:multiLevelType w:val="hybridMultilevel"/>
    <w:tmpl w:val="9A7061E8"/>
    <w:lvl w:ilvl="0" w:tplc="AEAC816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C1B96"/>
    <w:multiLevelType w:val="hybridMultilevel"/>
    <w:tmpl w:val="FA6A379A"/>
    <w:lvl w:ilvl="0" w:tplc="04090001">
      <w:start w:val="1"/>
      <w:numFmt w:val="bullet"/>
      <w:lvlText w:val=""/>
      <w:lvlJc w:val="left"/>
      <w:pPr>
        <w:ind w:left="1800" w:hanging="360"/>
      </w:pPr>
      <w:rPr>
        <w:rFonts w:ascii="Symbol" w:hAnsi="Symbol"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AD6015"/>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CD7FBF"/>
    <w:multiLevelType w:val="multilevel"/>
    <w:tmpl w:val="85349A4A"/>
    <w:lvl w:ilvl="0">
      <w:start w:val="4"/>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245E6C94"/>
    <w:multiLevelType w:val="hybridMultilevel"/>
    <w:tmpl w:val="4E3E3194"/>
    <w:lvl w:ilvl="0" w:tplc="04090001">
      <w:start w:val="1"/>
      <w:numFmt w:val="bullet"/>
      <w:lvlText w:val=""/>
      <w:lvlJc w:val="left"/>
      <w:pPr>
        <w:ind w:left="1800" w:hanging="360"/>
      </w:pPr>
      <w:rPr>
        <w:rFonts w:ascii="Symbol" w:hAnsi="Symbol" w:hint="default"/>
        <w:sz w:val="24"/>
      </w:rPr>
    </w:lvl>
    <w:lvl w:ilvl="1" w:tplc="EED4DFB6">
      <w:start w:val="1"/>
      <w:numFmt w:val="decimal"/>
      <w:lvlText w:val="%2."/>
      <w:lvlJc w:val="left"/>
      <w:pPr>
        <w:ind w:left="2520" w:hanging="360"/>
      </w:pPr>
      <w:rPr>
        <w:rFonts w:cs="David"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690D37"/>
    <w:multiLevelType w:val="multilevel"/>
    <w:tmpl w:val="2C7611E6"/>
    <w:numStyleLink w:val="-0"/>
  </w:abstractNum>
  <w:abstractNum w:abstractNumId="15" w15:restartNumberingAfterBreak="0">
    <w:nsid w:val="26F96570"/>
    <w:multiLevelType w:val="hybridMultilevel"/>
    <w:tmpl w:val="DE6E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A6E6D"/>
    <w:multiLevelType w:val="multilevel"/>
    <w:tmpl w:val="44480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5361FE"/>
    <w:multiLevelType w:val="hybridMultilevel"/>
    <w:tmpl w:val="5138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60AC8"/>
    <w:multiLevelType w:val="multilevel"/>
    <w:tmpl w:val="24F63BD4"/>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9" w15:restartNumberingAfterBreak="0">
    <w:nsid w:val="32910EEB"/>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46088B"/>
    <w:multiLevelType w:val="hybridMultilevel"/>
    <w:tmpl w:val="0D945D94"/>
    <w:lvl w:ilvl="0" w:tplc="5A46973C">
      <w:start w:val="1"/>
      <w:numFmt w:val="hebrew1"/>
      <w:lvlText w:val="%1."/>
      <w:lvlJc w:val="left"/>
      <w:pPr>
        <w:ind w:left="1800" w:hanging="360"/>
      </w:pPr>
      <w:rPr>
        <w:rFonts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706202"/>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22" w15:restartNumberingAfterBreak="0">
    <w:nsid w:val="3CBF2EBD"/>
    <w:multiLevelType w:val="hybridMultilevel"/>
    <w:tmpl w:val="339AFB82"/>
    <w:lvl w:ilvl="0" w:tplc="0E68E6F8">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2916B3"/>
    <w:multiLevelType w:val="hybridMultilevel"/>
    <w:tmpl w:val="A7F01212"/>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7C52F048">
      <w:start w:val="1"/>
      <w:numFmt w:val="hebrew1"/>
      <w:lvlText w:val="(%3)"/>
      <w:lvlJc w:val="left"/>
      <w:pPr>
        <w:ind w:left="3240" w:hanging="180"/>
      </w:pPr>
      <w:rPr>
        <w:rFonts w:hint="default"/>
        <w:strike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2F38F2"/>
    <w:multiLevelType w:val="hybridMultilevel"/>
    <w:tmpl w:val="54AE07F4"/>
    <w:lvl w:ilvl="0" w:tplc="257C8186">
      <w:start w:val="2"/>
      <w:numFmt w:val="bullet"/>
      <w:lvlText w:val=""/>
      <w:lvlJc w:val="left"/>
      <w:pPr>
        <w:ind w:left="1800" w:hanging="360"/>
      </w:pPr>
      <w:rPr>
        <w:rFonts w:ascii="Symbol" w:eastAsiaTheme="minorHAnsi" w:hAnsi="Symbol" w:cs="David"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7D4CEE"/>
    <w:multiLevelType w:val="multilevel"/>
    <w:tmpl w:val="2C7611E6"/>
    <w:numStyleLink w:val="-0"/>
  </w:abstractNum>
  <w:abstractNum w:abstractNumId="26" w15:restartNumberingAfterBreak="0">
    <w:nsid w:val="4AA429B4"/>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27" w15:restartNumberingAfterBreak="0">
    <w:nsid w:val="52C63965"/>
    <w:multiLevelType w:val="multilevel"/>
    <w:tmpl w:val="CB2CFB36"/>
    <w:numStyleLink w:val="-"/>
  </w:abstractNum>
  <w:abstractNum w:abstractNumId="28"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15:restartNumberingAfterBreak="0">
    <w:nsid w:val="6B932FB8"/>
    <w:multiLevelType w:val="multilevel"/>
    <w:tmpl w:val="7DD610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8B6A8C"/>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31" w15:restartNumberingAfterBreak="0">
    <w:nsid w:val="6EC665F1"/>
    <w:multiLevelType w:val="multilevel"/>
    <w:tmpl w:val="BA2E2A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9F2E1C"/>
    <w:multiLevelType w:val="hybridMultilevel"/>
    <w:tmpl w:val="866666AE"/>
    <w:lvl w:ilvl="0" w:tplc="9CEA22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B081E"/>
    <w:multiLevelType w:val="hybridMultilevel"/>
    <w:tmpl w:val="E5C2DAEC"/>
    <w:lvl w:ilvl="0" w:tplc="4582E5FA">
      <w:start w:val="1"/>
      <w:numFmt w:val="hebrew1"/>
      <w:lvlText w:val="%1."/>
      <w:lvlJc w:val="left"/>
      <w:pPr>
        <w:ind w:left="1720" w:hanging="360"/>
      </w:pPr>
      <w:rPr>
        <w:rFonts w:ascii="David" w:eastAsia="Times New Roman" w:hAnsi="David" w:cs="David"/>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num w:numId="1">
    <w:abstractNumId w:val="14"/>
  </w:num>
  <w:num w:numId="2">
    <w:abstractNumId w:val="28"/>
  </w:num>
  <w:num w:numId="3">
    <w:abstractNumId w:val="6"/>
  </w:num>
  <w:num w:numId="4">
    <w:abstractNumId w:val="8"/>
  </w:num>
  <w:num w:numId="5">
    <w:abstractNumId w:val="5"/>
  </w:num>
  <w:num w:numId="6">
    <w:abstractNumId w:val="25"/>
  </w:num>
  <w:num w:numId="7">
    <w:abstractNumId w:val="27"/>
  </w:num>
  <w:num w:numId="8">
    <w:abstractNumId w:val="3"/>
  </w:num>
  <w:num w:numId="9">
    <w:abstractNumId w:val="23"/>
  </w:num>
  <w:num w:numId="10">
    <w:abstractNumId w:val="11"/>
  </w:num>
  <w:num w:numId="11">
    <w:abstractNumId w:val="19"/>
  </w:num>
  <w:num w:numId="12">
    <w:abstractNumId w:val="0"/>
  </w:num>
  <w:num w:numId="13">
    <w:abstractNumId w:val="2"/>
  </w:num>
  <w:num w:numId="14">
    <w:abstractNumId w:val="16"/>
  </w:num>
  <w:num w:numId="15">
    <w:abstractNumId w:val="24"/>
  </w:num>
  <w:num w:numId="16">
    <w:abstractNumId w:val="7"/>
  </w:num>
  <w:num w:numId="17">
    <w:abstractNumId w:val="17"/>
  </w:num>
  <w:num w:numId="18">
    <w:abstractNumId w:val="33"/>
  </w:num>
  <w:num w:numId="19">
    <w:abstractNumId w:val="31"/>
  </w:num>
  <w:num w:numId="20">
    <w:abstractNumId w:val="12"/>
  </w:num>
  <w:num w:numId="21">
    <w:abstractNumId w:val="18"/>
  </w:num>
  <w:num w:numId="22">
    <w:abstractNumId w:val="29"/>
  </w:num>
  <w:num w:numId="23">
    <w:abstractNumId w:val="15"/>
  </w:num>
  <w:num w:numId="24">
    <w:abstractNumId w:val="20"/>
  </w:num>
  <w:num w:numId="25">
    <w:abstractNumId w:val="22"/>
  </w:num>
  <w:num w:numId="26">
    <w:abstractNumId w:val="32"/>
  </w:num>
  <w:num w:numId="27">
    <w:abstractNumId w:val="10"/>
  </w:num>
  <w:num w:numId="28">
    <w:abstractNumId w:val="13"/>
  </w:num>
  <w:num w:numId="29">
    <w:abstractNumId w:val="1"/>
  </w:num>
  <w:num w:numId="30">
    <w:abstractNumId w:val="9"/>
  </w:num>
  <w:num w:numId="31">
    <w:abstractNumId w:val="21"/>
  </w:num>
  <w:num w:numId="32">
    <w:abstractNumId w:val="30"/>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14182"/>
    <w:rsid w:val="00047C97"/>
    <w:rsid w:val="000520B7"/>
    <w:rsid w:val="0005682F"/>
    <w:rsid w:val="000568CE"/>
    <w:rsid w:val="00066383"/>
    <w:rsid w:val="00093B9D"/>
    <w:rsid w:val="000C04AE"/>
    <w:rsid w:val="000E6098"/>
    <w:rsid w:val="000E632C"/>
    <w:rsid w:val="0010326C"/>
    <w:rsid w:val="00111FD4"/>
    <w:rsid w:val="001611C6"/>
    <w:rsid w:val="00164B30"/>
    <w:rsid w:val="0018292D"/>
    <w:rsid w:val="001A7C42"/>
    <w:rsid w:val="001B1951"/>
    <w:rsid w:val="001C4F6D"/>
    <w:rsid w:val="001D55DD"/>
    <w:rsid w:val="001E548A"/>
    <w:rsid w:val="00216E32"/>
    <w:rsid w:val="00246C30"/>
    <w:rsid w:val="002520DD"/>
    <w:rsid w:val="00275887"/>
    <w:rsid w:val="002A54A3"/>
    <w:rsid w:val="002A7FEA"/>
    <w:rsid w:val="002B5904"/>
    <w:rsid w:val="002D7789"/>
    <w:rsid w:val="002E38F4"/>
    <w:rsid w:val="002F197C"/>
    <w:rsid w:val="00325E01"/>
    <w:rsid w:val="00361114"/>
    <w:rsid w:val="00367DDA"/>
    <w:rsid w:val="003840FE"/>
    <w:rsid w:val="00393C6A"/>
    <w:rsid w:val="003A1D7A"/>
    <w:rsid w:val="003C3A5C"/>
    <w:rsid w:val="003D1A57"/>
    <w:rsid w:val="003E5A64"/>
    <w:rsid w:val="003F1396"/>
    <w:rsid w:val="0040055E"/>
    <w:rsid w:val="00402932"/>
    <w:rsid w:val="00416747"/>
    <w:rsid w:val="004169B7"/>
    <w:rsid w:val="00423D6A"/>
    <w:rsid w:val="00426E0E"/>
    <w:rsid w:val="004323EF"/>
    <w:rsid w:val="004410DE"/>
    <w:rsid w:val="00444DA5"/>
    <w:rsid w:val="0044663B"/>
    <w:rsid w:val="0045159B"/>
    <w:rsid w:val="00451F2E"/>
    <w:rsid w:val="004523EB"/>
    <w:rsid w:val="00452D7A"/>
    <w:rsid w:val="004C127D"/>
    <w:rsid w:val="004C5538"/>
    <w:rsid w:val="004D65A1"/>
    <w:rsid w:val="004D770D"/>
    <w:rsid w:val="004E479D"/>
    <w:rsid w:val="004F3773"/>
    <w:rsid w:val="005028F9"/>
    <w:rsid w:val="00505D36"/>
    <w:rsid w:val="00505D7C"/>
    <w:rsid w:val="00515321"/>
    <w:rsid w:val="00515E5C"/>
    <w:rsid w:val="00534452"/>
    <w:rsid w:val="005371D8"/>
    <w:rsid w:val="00556BE2"/>
    <w:rsid w:val="00570F64"/>
    <w:rsid w:val="0057486A"/>
    <w:rsid w:val="005A4629"/>
    <w:rsid w:val="005C158D"/>
    <w:rsid w:val="005C7117"/>
    <w:rsid w:val="005D1FF6"/>
    <w:rsid w:val="005D42E4"/>
    <w:rsid w:val="005D5BCF"/>
    <w:rsid w:val="005F26D0"/>
    <w:rsid w:val="00600BFA"/>
    <w:rsid w:val="00600F1F"/>
    <w:rsid w:val="00602DAD"/>
    <w:rsid w:val="00607022"/>
    <w:rsid w:val="006309B0"/>
    <w:rsid w:val="0066664E"/>
    <w:rsid w:val="00692C69"/>
    <w:rsid w:val="006952CA"/>
    <w:rsid w:val="006A13C9"/>
    <w:rsid w:val="006A2503"/>
    <w:rsid w:val="006A2C6F"/>
    <w:rsid w:val="006A5446"/>
    <w:rsid w:val="006B352E"/>
    <w:rsid w:val="006C0D4A"/>
    <w:rsid w:val="006C55AF"/>
    <w:rsid w:val="006D0744"/>
    <w:rsid w:val="006D686D"/>
    <w:rsid w:val="006E5942"/>
    <w:rsid w:val="00706164"/>
    <w:rsid w:val="00735D55"/>
    <w:rsid w:val="00743847"/>
    <w:rsid w:val="00751B50"/>
    <w:rsid w:val="00754E9C"/>
    <w:rsid w:val="00757313"/>
    <w:rsid w:val="00757879"/>
    <w:rsid w:val="00760B47"/>
    <w:rsid w:val="007611DA"/>
    <w:rsid w:val="00777F75"/>
    <w:rsid w:val="00793E5C"/>
    <w:rsid w:val="00796557"/>
    <w:rsid w:val="007A373A"/>
    <w:rsid w:val="007A6A16"/>
    <w:rsid w:val="007D4118"/>
    <w:rsid w:val="007E2692"/>
    <w:rsid w:val="0080160A"/>
    <w:rsid w:val="008107B9"/>
    <w:rsid w:val="0082739B"/>
    <w:rsid w:val="00864DB3"/>
    <w:rsid w:val="00867AE5"/>
    <w:rsid w:val="00870C85"/>
    <w:rsid w:val="00870D8A"/>
    <w:rsid w:val="008B39D7"/>
    <w:rsid w:val="008E77BE"/>
    <w:rsid w:val="008F3619"/>
    <w:rsid w:val="00910BC9"/>
    <w:rsid w:val="00915A01"/>
    <w:rsid w:val="00915C9A"/>
    <w:rsid w:val="0093085A"/>
    <w:rsid w:val="00931683"/>
    <w:rsid w:val="00935E81"/>
    <w:rsid w:val="00986444"/>
    <w:rsid w:val="00990A24"/>
    <w:rsid w:val="009B64FE"/>
    <w:rsid w:val="009D151E"/>
    <w:rsid w:val="009E52B5"/>
    <w:rsid w:val="009F7F7A"/>
    <w:rsid w:val="00A15876"/>
    <w:rsid w:val="00A15D5D"/>
    <w:rsid w:val="00A2672F"/>
    <w:rsid w:val="00A30921"/>
    <w:rsid w:val="00A37909"/>
    <w:rsid w:val="00A5751E"/>
    <w:rsid w:val="00A67A4F"/>
    <w:rsid w:val="00A7396A"/>
    <w:rsid w:val="00A73972"/>
    <w:rsid w:val="00A83855"/>
    <w:rsid w:val="00A84333"/>
    <w:rsid w:val="00A84658"/>
    <w:rsid w:val="00AA4752"/>
    <w:rsid w:val="00AC0823"/>
    <w:rsid w:val="00AD0167"/>
    <w:rsid w:val="00AF1C47"/>
    <w:rsid w:val="00B03E2B"/>
    <w:rsid w:val="00B041F7"/>
    <w:rsid w:val="00B311D4"/>
    <w:rsid w:val="00B31DDD"/>
    <w:rsid w:val="00B429D7"/>
    <w:rsid w:val="00B451C7"/>
    <w:rsid w:val="00B60EE6"/>
    <w:rsid w:val="00B671D2"/>
    <w:rsid w:val="00B67385"/>
    <w:rsid w:val="00B75CB0"/>
    <w:rsid w:val="00B774C7"/>
    <w:rsid w:val="00B93390"/>
    <w:rsid w:val="00B93A25"/>
    <w:rsid w:val="00BB258A"/>
    <w:rsid w:val="00BB393A"/>
    <w:rsid w:val="00BD67E7"/>
    <w:rsid w:val="00C01906"/>
    <w:rsid w:val="00C171DC"/>
    <w:rsid w:val="00C27AC8"/>
    <w:rsid w:val="00C37F33"/>
    <w:rsid w:val="00C84ABA"/>
    <w:rsid w:val="00C96111"/>
    <w:rsid w:val="00CA61AF"/>
    <w:rsid w:val="00CB2B14"/>
    <w:rsid w:val="00CB40A4"/>
    <w:rsid w:val="00CC356E"/>
    <w:rsid w:val="00CD6DB8"/>
    <w:rsid w:val="00CE0517"/>
    <w:rsid w:val="00CE51DE"/>
    <w:rsid w:val="00CF44BB"/>
    <w:rsid w:val="00D33979"/>
    <w:rsid w:val="00D41A0C"/>
    <w:rsid w:val="00D66453"/>
    <w:rsid w:val="00D731DA"/>
    <w:rsid w:val="00D8195F"/>
    <w:rsid w:val="00D969C1"/>
    <w:rsid w:val="00DD5320"/>
    <w:rsid w:val="00DE069A"/>
    <w:rsid w:val="00DE7CC8"/>
    <w:rsid w:val="00DF73FF"/>
    <w:rsid w:val="00DF7765"/>
    <w:rsid w:val="00E41B31"/>
    <w:rsid w:val="00E523B2"/>
    <w:rsid w:val="00E54216"/>
    <w:rsid w:val="00E56588"/>
    <w:rsid w:val="00E95EEF"/>
    <w:rsid w:val="00EA6729"/>
    <w:rsid w:val="00EC303E"/>
    <w:rsid w:val="00EF6720"/>
    <w:rsid w:val="00EF71D7"/>
    <w:rsid w:val="00F00D41"/>
    <w:rsid w:val="00F0592A"/>
    <w:rsid w:val="00F16B93"/>
    <w:rsid w:val="00F25ABF"/>
    <w:rsid w:val="00F45B80"/>
    <w:rsid w:val="00F509E4"/>
    <w:rsid w:val="00F74EF7"/>
    <w:rsid w:val="00F80DA7"/>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D36AB93"/>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3D1A57"/>
    <w:pPr>
      <w:tabs>
        <w:tab w:val="center" w:pos="4153"/>
        <w:tab w:val="right" w:pos="8306"/>
      </w:tabs>
    </w:pPr>
  </w:style>
  <w:style w:type="character" w:customStyle="1" w:styleId="a9">
    <w:name w:val="כותרת עליונה תו"/>
    <w:basedOn w:val="a0"/>
    <w:link w:val="a8"/>
    <w:uiPriority w:val="99"/>
    <w:rsid w:val="003D1A57"/>
    <w:rPr>
      <w:rFonts w:ascii="Times New Roman" w:eastAsia="Times New Roman" w:hAnsi="Times New Roman" w:cs="FrankRuehl"/>
      <w:sz w:val="26"/>
      <w:szCs w:val="26"/>
      <w:lang w:eastAsia="he-IL"/>
    </w:rPr>
  </w:style>
  <w:style w:type="paragraph" w:styleId="aa">
    <w:name w:val="footer"/>
    <w:basedOn w:val="a"/>
    <w:link w:val="ab"/>
    <w:uiPriority w:val="99"/>
    <w:rsid w:val="003D1A57"/>
    <w:pPr>
      <w:widowControl w:val="0"/>
      <w:tabs>
        <w:tab w:val="center" w:pos="4153"/>
        <w:tab w:val="right" w:pos="8306"/>
      </w:tabs>
    </w:pPr>
    <w:rPr>
      <w:rFonts w:cs="David"/>
    </w:rPr>
  </w:style>
  <w:style w:type="character" w:customStyle="1" w:styleId="ab">
    <w:name w:val="כותרת תחתונה תו"/>
    <w:basedOn w:val="a0"/>
    <w:link w:val="aa"/>
    <w:uiPriority w:val="99"/>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paragraph" w:styleId="ae">
    <w:name w:val="footnote text"/>
    <w:basedOn w:val="a"/>
    <w:link w:val="af"/>
    <w:uiPriority w:val="99"/>
    <w:unhideWhenUsed/>
    <w:rsid w:val="00777F75"/>
    <w:rPr>
      <w:sz w:val="20"/>
      <w:szCs w:val="20"/>
    </w:rPr>
  </w:style>
  <w:style w:type="character" w:customStyle="1" w:styleId="af">
    <w:name w:val="טקסט הערת שוליים תו"/>
    <w:basedOn w:val="a0"/>
    <w:link w:val="ae"/>
    <w:uiPriority w:val="99"/>
    <w:rsid w:val="00777F75"/>
    <w:rPr>
      <w:rFonts w:ascii="Times New Roman" w:eastAsia="Times New Roman" w:hAnsi="Times New Roman" w:cs="FrankRuehl"/>
      <w:sz w:val="20"/>
      <w:szCs w:val="20"/>
      <w:lang w:eastAsia="he-IL"/>
    </w:rPr>
  </w:style>
  <w:style w:type="character" w:styleId="af0">
    <w:name w:val="footnote reference"/>
    <w:basedOn w:val="a0"/>
    <w:uiPriority w:val="99"/>
    <w:unhideWhenUsed/>
    <w:rsid w:val="00777F75"/>
    <w:rPr>
      <w:vertAlign w:val="superscript"/>
    </w:rPr>
  </w:style>
  <w:style w:type="character" w:styleId="af1">
    <w:name w:val="annotation reference"/>
    <w:basedOn w:val="a0"/>
    <w:uiPriority w:val="99"/>
    <w:semiHidden/>
    <w:unhideWhenUsed/>
    <w:rsid w:val="00777F75"/>
    <w:rPr>
      <w:sz w:val="16"/>
      <w:szCs w:val="16"/>
    </w:rPr>
  </w:style>
  <w:style w:type="paragraph" w:styleId="af2">
    <w:name w:val="annotation text"/>
    <w:basedOn w:val="a"/>
    <w:link w:val="af3"/>
    <w:uiPriority w:val="99"/>
    <w:semiHidden/>
    <w:unhideWhenUsed/>
    <w:rsid w:val="00777F75"/>
    <w:rPr>
      <w:sz w:val="20"/>
      <w:szCs w:val="20"/>
    </w:rPr>
  </w:style>
  <w:style w:type="character" w:customStyle="1" w:styleId="af3">
    <w:name w:val="טקסט הערה תו"/>
    <w:basedOn w:val="a0"/>
    <w:link w:val="af2"/>
    <w:uiPriority w:val="99"/>
    <w:semiHidden/>
    <w:rsid w:val="00777F75"/>
    <w:rPr>
      <w:rFonts w:ascii="Times New Roman" w:eastAsia="Times New Roman" w:hAnsi="Times New Roman" w:cs="FrankRuehl"/>
      <w:sz w:val="20"/>
      <w:szCs w:val="20"/>
      <w:lang w:eastAsia="he-IL"/>
    </w:rPr>
  </w:style>
  <w:style w:type="numbering" w:customStyle="1" w:styleId="11">
    <w:name w:val="ללא רשימה1"/>
    <w:next w:val="a2"/>
    <w:uiPriority w:val="99"/>
    <w:semiHidden/>
    <w:unhideWhenUsed/>
    <w:rsid w:val="0045159B"/>
  </w:style>
  <w:style w:type="numbering" w:customStyle="1" w:styleId="-1">
    <w:name w:val="משרד האוצר - מדורג1"/>
    <w:uiPriority w:val="99"/>
    <w:rsid w:val="0045159B"/>
  </w:style>
  <w:style w:type="numbering" w:customStyle="1" w:styleId="-10">
    <w:name w:val="משרד האוצר - מדורג קצר1"/>
    <w:uiPriority w:val="99"/>
    <w:rsid w:val="0045159B"/>
  </w:style>
  <w:style w:type="character" w:styleId="af4">
    <w:name w:val="page number"/>
    <w:basedOn w:val="a0"/>
    <w:rsid w:val="0045159B"/>
  </w:style>
  <w:style w:type="character" w:styleId="af5">
    <w:name w:val="Strong"/>
    <w:basedOn w:val="a0"/>
    <w:uiPriority w:val="22"/>
    <w:qFormat/>
    <w:rsid w:val="0045159B"/>
    <w:rPr>
      <w:b/>
      <w:bCs/>
    </w:rPr>
  </w:style>
  <w:style w:type="paragraph" w:styleId="af6">
    <w:name w:val="annotation subject"/>
    <w:basedOn w:val="af2"/>
    <w:next w:val="af2"/>
    <w:link w:val="af7"/>
    <w:uiPriority w:val="99"/>
    <w:semiHidden/>
    <w:unhideWhenUsed/>
    <w:rsid w:val="0045159B"/>
    <w:pPr>
      <w:spacing w:after="160"/>
      <w:jc w:val="left"/>
    </w:pPr>
    <w:rPr>
      <w:rFonts w:asciiTheme="minorHAnsi" w:eastAsiaTheme="minorHAnsi" w:hAnsiTheme="minorHAnsi" w:cstheme="minorBidi"/>
      <w:b/>
      <w:bCs/>
      <w:lang w:eastAsia="en-US"/>
    </w:rPr>
  </w:style>
  <w:style w:type="character" w:customStyle="1" w:styleId="af7">
    <w:name w:val="נושא הערה תו"/>
    <w:basedOn w:val="af3"/>
    <w:link w:val="af6"/>
    <w:uiPriority w:val="99"/>
    <w:semiHidden/>
    <w:rsid w:val="0045159B"/>
    <w:rPr>
      <w:rFonts w:ascii="Times New Roman" w:eastAsia="Times New Roman" w:hAnsi="Times New Roman" w:cs="FrankRuehl"/>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AD85-D3C9-44FF-BC8F-B518ED8E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3699</Words>
  <Characters>18499</Characters>
  <Application>Microsoft Office Word</Application>
  <DocSecurity>4</DocSecurity>
  <Lines>154</Lines>
  <Paragraphs>44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שירה עמיאור</cp:lastModifiedBy>
  <cp:revision>2</cp:revision>
  <dcterms:created xsi:type="dcterms:W3CDTF">2021-08-29T13:02:00Z</dcterms:created>
  <dcterms:modified xsi:type="dcterms:W3CDTF">2021-08-29T13:02:00Z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notes://MAOR2/Doc/Shuk_hon/ShHozDoc.nsf/0/C7889BBAC7FE6E71C22586CD00387E86/?OpenDocument</vt:lpwstr>
  </property>
  <property fmtid="{D5CDD505-2E9C-101B-9397-08002B2CF9AE}" pid="3" name="MaorRecipients0">
    <vt:lpwstr/>
  </property>
</Properties>
</file>