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0.2 -->
  <w:body>
    <w:p w:rsidR="00AB2F67" w:rsidP="0035567E">
      <w:pPr>
        <w:bidi w:val="0"/>
        <w:rPr>
          <w:rFonts w:asciiTheme="minorHAnsi" w:hAnsiTheme="minorHAnsi"/>
          <w:b/>
          <w:bCs/>
          <w:u w:val="single"/>
        </w:rPr>
      </w:pPr>
    </w:p>
    <w:p w:rsidR="00AB2F67" w:rsidP="00C03E27">
      <w:pPr>
        <w:bidi w:val="0"/>
        <w:jc w:val="center"/>
        <w:rPr>
          <w:rFonts w:asciiTheme="minorHAnsi" w:hAnsiTheme="minorHAnsi"/>
          <w:b/>
          <w:bCs/>
          <w:u w:val="single"/>
        </w:rPr>
      </w:pPr>
      <w:r>
        <w:rPr>
          <w:rFonts w:asciiTheme="minorHAnsi" w:hAnsiTheme="minorHAnsi"/>
          <w:b/>
          <w:bCs/>
          <w:u w:val="single"/>
        </w:rPr>
        <w:t>Benchmarking – Time</w:t>
      </w:r>
      <w:r w:rsidR="00C03E27">
        <w:rPr>
          <w:rFonts w:asciiTheme="minorHAnsi" w:hAnsiTheme="minorHAnsi"/>
          <w:b/>
          <w:bCs/>
          <w:u w:val="single"/>
        </w:rPr>
        <w:t>tables</w:t>
      </w:r>
      <w:r>
        <w:rPr>
          <w:rFonts w:asciiTheme="minorHAnsi" w:hAnsiTheme="minorHAnsi"/>
          <w:b/>
          <w:bCs/>
          <w:u w:val="single"/>
        </w:rPr>
        <w:t xml:space="preserve"> in Civil Litigation</w:t>
      </w:r>
    </w:p>
    <w:p w:rsidR="00AB2F67" w:rsidP="00AB2F67">
      <w:pPr>
        <w:bidi w:val="0"/>
        <w:jc w:val="center"/>
        <w:rPr>
          <w:rFonts w:asciiTheme="minorHAnsi" w:hAnsiTheme="minorHAnsi"/>
          <w:b/>
          <w:bCs/>
          <w:u w:val="single"/>
        </w:rPr>
      </w:pPr>
    </w:p>
    <w:p w:rsidR="00C512E9" w:rsidP="00C512E9">
      <w:pPr>
        <w:bidi w:val="0"/>
        <w:rPr>
          <w:rFonts w:asciiTheme="minorHAnsi" w:hAnsiTheme="minorHAnsi"/>
          <w:b/>
          <w:bCs/>
          <w:u w:val="single"/>
        </w:rPr>
      </w:pPr>
      <w:r>
        <w:rPr>
          <w:rFonts w:asciiTheme="minorHAnsi" w:hAnsiTheme="minorHAnsi"/>
          <w:b/>
          <w:bCs/>
          <w:u w:val="single"/>
        </w:rPr>
        <w:t>Canada</w:t>
      </w:r>
      <w:r>
        <w:rPr>
          <w:rFonts w:asciiTheme="minorHAnsi" w:hAnsiTheme="minorHAnsi"/>
          <w:b/>
          <w:bCs/>
          <w:u w:val="single"/>
        </w:rPr>
        <w:t xml:space="preserve"> - Ontario</w:t>
      </w:r>
    </w:p>
    <w:p w:rsidR="00603249" w:rsidP="00C512E9">
      <w:pPr>
        <w:bidi w:val="0"/>
        <w:rPr>
          <w:rFonts w:asciiTheme="minorHAnsi" w:hAnsiTheme="minorHAnsi"/>
        </w:rPr>
      </w:pPr>
    </w:p>
    <w:p w:rsidR="00603249" w:rsidP="00603249">
      <w:pPr>
        <w:bidi w:val="0"/>
        <w:rPr>
          <w:rFonts w:asciiTheme="minorHAnsi" w:hAnsiTheme="minorHAnsi"/>
        </w:rPr>
      </w:pPr>
      <w:r>
        <w:rPr>
          <w:rFonts w:asciiTheme="minorHAnsi" w:hAnsiTheme="minorHAnsi"/>
        </w:rPr>
        <w:t xml:space="preserve">Background to the new rules of civil procedure (2010): </w:t>
      </w:r>
    </w:p>
    <w:p w:rsidR="00603249" w:rsidP="00603249">
      <w:pPr>
        <w:bidi w:val="0"/>
        <w:rPr>
          <w:rFonts w:asciiTheme="minorHAnsi" w:hAnsiTheme="minorHAnsi"/>
        </w:rPr>
      </w:pPr>
      <w:hyperlink r:id="rId4" w:history="1">
        <w:r w:rsidRPr="00FE20CE">
          <w:rPr>
            <w:rStyle w:val="Hyperlink"/>
            <w:rFonts w:asciiTheme="minorHAnsi" w:hAnsiTheme="minorHAnsi"/>
          </w:rPr>
          <w:t>http://www.attorneygeneral.jus.gov.on.ca/english/courts/civil/changes_to_rules_of_civil_procedure.asp</w:t>
        </w:r>
      </w:hyperlink>
    </w:p>
    <w:p w:rsidR="00603249" w:rsidP="00603249">
      <w:pPr>
        <w:bidi w:val="0"/>
        <w:rPr>
          <w:rFonts w:asciiTheme="minorHAnsi" w:hAnsiTheme="minorHAnsi"/>
        </w:rPr>
      </w:pPr>
    </w:p>
    <w:p w:rsidR="00C512E9" w:rsidRPr="00C512E9" w:rsidP="00603249">
      <w:pPr>
        <w:bidi w:val="0"/>
        <w:rPr>
          <w:rFonts w:asciiTheme="minorHAnsi" w:hAnsiTheme="minorHAnsi"/>
        </w:rPr>
      </w:pPr>
      <w:r w:rsidRPr="00C512E9">
        <w:rPr>
          <w:rFonts w:asciiTheme="minorHAnsi" w:hAnsiTheme="minorHAnsi"/>
        </w:rPr>
        <w:t>Flowcharts summarizing the process and timelines:</w:t>
      </w:r>
    </w:p>
    <w:p w:rsidR="00C512E9" w:rsidRPr="00603249" w:rsidP="00C512E9">
      <w:pPr>
        <w:bidi w:val="0"/>
        <w:rPr>
          <w:rFonts w:asciiTheme="minorHAnsi" w:hAnsiTheme="minorHAnsi"/>
          <w:u w:val="single"/>
        </w:rPr>
      </w:pPr>
      <w:hyperlink r:id="rId5" w:history="1">
        <w:r w:rsidRPr="00603249">
          <w:rPr>
            <w:rStyle w:val="Hyperlink"/>
            <w:rFonts w:asciiTheme="minorHAnsi" w:hAnsiTheme="minorHAnsi"/>
          </w:rPr>
          <w:t>http://www.attorneygeneral.jus.gov.on.ca/english/courts/civil/changes_to_rules_of_civil_procedure_flowcharts.pdf#page=4</w:t>
        </w:r>
      </w:hyperlink>
    </w:p>
    <w:p w:rsidR="00603249" w:rsidP="00603249">
      <w:pPr>
        <w:bidi w:val="0"/>
        <w:rPr>
          <w:rFonts w:asciiTheme="minorHAnsi" w:hAnsiTheme="minorHAnsi"/>
          <w:b/>
          <w:bCs/>
          <w:u w:val="single"/>
        </w:rPr>
      </w:pPr>
    </w:p>
    <w:p w:rsidR="00C512E9" w:rsidP="00C512E9">
      <w:pPr>
        <w:bidi w:val="0"/>
        <w:rPr>
          <w:rFonts w:asciiTheme="minorHAnsi" w:hAnsiTheme="minorHAnsi"/>
          <w:b/>
          <w:bCs/>
          <w:u w:val="single"/>
        </w:rPr>
      </w:pPr>
      <w:r>
        <w:rPr>
          <w:rFonts w:asciiTheme="minorHAnsi" w:hAnsiTheme="minorHAnsi"/>
          <w:b/>
          <w:bCs/>
          <w:u w:val="single"/>
        </w:rPr>
        <w:t xml:space="preserve">Canada- </w:t>
      </w:r>
      <w:r w:rsidR="00241BB4">
        <w:rPr>
          <w:rFonts w:asciiTheme="minorHAnsi" w:hAnsiTheme="minorHAnsi"/>
          <w:b/>
          <w:bCs/>
          <w:u w:val="single"/>
        </w:rPr>
        <w:t>Quebec</w:t>
      </w:r>
    </w:p>
    <w:p w:rsidR="00241BB4" w:rsidRPr="00C512E9" w:rsidP="00C512E9">
      <w:pPr>
        <w:bidi w:val="0"/>
        <w:rPr>
          <w:rFonts w:asciiTheme="minorHAnsi" w:hAnsiTheme="minorHAnsi"/>
        </w:rPr>
      </w:pPr>
      <w:r w:rsidRPr="00C512E9">
        <w:rPr>
          <w:rFonts w:asciiTheme="minorHAnsi" w:hAnsiTheme="minorHAnsi"/>
        </w:rPr>
        <w:t>N</w:t>
      </w:r>
      <w:r w:rsidRPr="00C512E9">
        <w:rPr>
          <w:rFonts w:asciiTheme="minorHAnsi" w:hAnsiTheme="minorHAnsi"/>
        </w:rPr>
        <w:t>ew code of civil procedure (2014)</w:t>
      </w:r>
    </w:p>
    <w:p w:rsidR="00241BB4" w:rsidRPr="00241BB4" w:rsidP="00241BB4">
      <w:pPr>
        <w:bidi w:val="0"/>
        <w:rPr>
          <w:rFonts w:asciiTheme="minorHAnsi" w:hAnsiTheme="minorHAnsi"/>
        </w:rPr>
      </w:pPr>
      <w:r w:rsidRPr="00241BB4">
        <w:rPr>
          <w:rFonts w:asciiTheme="minorHAnsi" w:hAnsiTheme="minorHAnsi"/>
        </w:rPr>
        <w:t>Background:</w:t>
      </w:r>
    </w:p>
    <w:p w:rsidR="00241BB4" w:rsidRPr="00603249" w:rsidP="00241BB4">
      <w:pPr>
        <w:bidi w:val="0"/>
        <w:rPr>
          <w:rFonts w:asciiTheme="minorHAnsi" w:hAnsiTheme="minorHAnsi"/>
          <w:u w:val="single"/>
        </w:rPr>
      </w:pPr>
      <w:hyperlink r:id="rId6" w:history="1">
        <w:r w:rsidRPr="00603249">
          <w:rPr>
            <w:rStyle w:val="Hyperlink"/>
            <w:rFonts w:asciiTheme="minorHAnsi" w:hAnsiTheme="minorHAnsi"/>
          </w:rPr>
          <w:t>http://www.justice.gouv.qc.ca/english/sujets/glossaire/code-proc-a.htm#highlights</w:t>
        </w:r>
      </w:hyperlink>
    </w:p>
    <w:p w:rsidR="00241BB4" w:rsidRPr="00603249" w:rsidP="00241BB4">
      <w:pPr>
        <w:bidi w:val="0"/>
        <w:rPr>
          <w:rFonts w:asciiTheme="minorHAnsi" w:hAnsiTheme="minorHAnsi"/>
        </w:rPr>
      </w:pPr>
      <w:r w:rsidRPr="00603249">
        <w:rPr>
          <w:rFonts w:asciiTheme="minorHAnsi" w:hAnsiTheme="minorHAnsi"/>
        </w:rPr>
        <w:t>The text of the new code:</w:t>
      </w:r>
    </w:p>
    <w:p w:rsidR="00241BB4" w:rsidRPr="00603249" w:rsidP="00241BB4">
      <w:pPr>
        <w:bidi w:val="0"/>
        <w:rPr>
          <w:rFonts w:asciiTheme="minorHAnsi" w:hAnsiTheme="minorHAnsi"/>
          <w:u w:val="single"/>
        </w:rPr>
      </w:pPr>
      <w:hyperlink r:id="rId7" w:history="1">
        <w:r w:rsidRPr="00603249">
          <w:rPr>
            <w:rStyle w:val="Hyperlink"/>
            <w:rFonts w:asciiTheme="minorHAnsi" w:hAnsiTheme="minorHAnsi"/>
          </w:rPr>
          <w:t>http://www2.publicationsduquebec.gouv.qc.ca/dynamicSearch/telecharge.php?type=2&amp;file=/C_25/C25_A.HTM</w:t>
        </w:r>
      </w:hyperlink>
    </w:p>
    <w:p w:rsidR="00241BB4" w:rsidP="00241BB4">
      <w:pPr>
        <w:bidi w:val="0"/>
        <w:rPr>
          <w:rFonts w:asciiTheme="minorHAnsi" w:hAnsiTheme="minorHAnsi"/>
          <w:b/>
          <w:bCs/>
          <w:u w:val="single"/>
        </w:rPr>
      </w:pPr>
    </w:p>
    <w:p w:rsidR="00241BB4" w:rsidRPr="00241BB4" w:rsidP="00241BB4">
      <w:pPr>
        <w:bidi w:val="0"/>
        <w:rPr>
          <w:rFonts w:asciiTheme="minorHAnsi" w:hAnsiTheme="minorHAnsi"/>
        </w:rPr>
      </w:pPr>
      <w:r w:rsidRPr="00241BB4">
        <w:rPr>
          <w:rFonts w:asciiTheme="minorHAnsi" w:hAnsiTheme="minorHAnsi"/>
        </w:rPr>
        <w:t>Specific relevant sections:</w:t>
      </w:r>
    </w:p>
    <w:p w:rsidR="00241BB4" w:rsidP="00241BB4">
      <w:pPr>
        <w:bidi w:val="0"/>
        <w:rPr>
          <w:rFonts w:asciiTheme="minorHAnsi" w:hAnsiTheme="minorHAnsi"/>
          <w:b/>
          <w:bCs/>
          <w:u w:val="single"/>
        </w:rPr>
      </w:pPr>
    </w:p>
    <w:p w:rsidR="00241BB4" w:rsidRPr="00241BB4" w:rsidP="00241BB4">
      <w:pPr>
        <w:bidi w:val="0"/>
        <w:rPr>
          <w:rFonts w:ascii="Arial" w:hAnsi="Arial" w:cs="Arial"/>
          <w:color w:val="000000"/>
          <w:sz w:val="20"/>
          <w:szCs w:val="20"/>
          <w:lang w:eastAsia="en-US"/>
        </w:rPr>
      </w:pPr>
      <w:r w:rsidRPr="00241BB4">
        <w:rPr>
          <w:rFonts w:ascii="Arial" w:hAnsi="Arial" w:cs="Arial"/>
          <w:b/>
          <w:bCs/>
          <w:color w:val="000000"/>
          <w:sz w:val="20"/>
          <w:szCs w:val="20"/>
          <w:lang w:eastAsia="en-US"/>
        </w:rPr>
        <w:t>CHAPTER IV</w:t>
      </w:r>
      <w:r w:rsidRPr="00241BB4">
        <w:rPr>
          <w:rFonts w:ascii="Arial" w:hAnsi="Arial" w:cs="Arial"/>
          <w:color w:val="000000"/>
          <w:sz w:val="20"/>
          <w:szCs w:val="20"/>
          <w:lang w:eastAsia="en-US"/>
        </w:rPr>
        <w:t> </w:t>
      </w:r>
      <w:r w:rsidRPr="00241BB4">
        <w:rPr>
          <w:rFonts w:ascii="Arial" w:hAnsi="Arial" w:cs="Arial"/>
          <w:color w:val="000000"/>
          <w:sz w:val="20"/>
          <w:szCs w:val="20"/>
          <w:lang w:eastAsia="en-US"/>
        </w:rPr>
        <w:br/>
      </w:r>
      <w:r w:rsidRPr="00241BB4">
        <w:rPr>
          <w:rFonts w:ascii="Arial" w:hAnsi="Arial" w:cs="Arial"/>
          <w:caps/>
          <w:color w:val="000000"/>
          <w:sz w:val="20"/>
          <w:szCs w:val="20"/>
          <w:lang w:eastAsia="en-US"/>
        </w:rPr>
        <w:t>CASE MANAGEMENT</w:t>
      </w:r>
    </w:p>
    <w:p w:rsidR="00241BB4" w:rsidRPr="00241BB4" w:rsidP="00241BB4">
      <w:pPr>
        <w:bidi w:val="0"/>
        <w:rPr>
          <w:rFonts w:ascii="Arial" w:hAnsi="Arial" w:cs="Arial"/>
          <w:color w:val="000000"/>
          <w:sz w:val="20"/>
          <w:szCs w:val="20"/>
          <w:lang w:eastAsia="en-US"/>
        </w:rPr>
      </w:pPr>
    </w:p>
    <w:p w:rsidR="00241BB4" w:rsidRPr="00241BB4" w:rsidP="00241BB4">
      <w:pPr>
        <w:bidi w:val="0"/>
        <w:rPr>
          <w:rFonts w:ascii="Arial" w:hAnsi="Arial" w:cs="Arial"/>
          <w:color w:val="000000"/>
          <w:sz w:val="20"/>
          <w:szCs w:val="20"/>
          <w:lang w:eastAsia="en-US"/>
        </w:rPr>
      </w:pPr>
      <w:bookmarkStart w:id="0" w:name="D%151%%%1_E"/>
      <w:bookmarkEnd w:id="0"/>
      <w:r w:rsidRPr="00241BB4">
        <w:rPr>
          <w:rFonts w:ascii="Arial" w:hAnsi="Arial" w:cs="Arial"/>
          <w:b/>
          <w:bCs/>
          <w:color w:val="000000"/>
          <w:sz w:val="20"/>
          <w:szCs w:val="20"/>
          <w:lang w:eastAsia="en-US"/>
        </w:rPr>
        <w:t>SECTION I</w:t>
      </w:r>
      <w:r w:rsidRPr="00241BB4">
        <w:rPr>
          <w:rFonts w:ascii="Arial" w:hAnsi="Arial" w:cs="Arial"/>
          <w:color w:val="000000"/>
          <w:sz w:val="20"/>
          <w:szCs w:val="20"/>
          <w:lang w:eastAsia="en-US"/>
        </w:rPr>
        <w:t> </w:t>
      </w:r>
      <w:r w:rsidRPr="00241BB4">
        <w:rPr>
          <w:rFonts w:ascii="Arial" w:hAnsi="Arial" w:cs="Arial"/>
          <w:color w:val="000000"/>
          <w:sz w:val="20"/>
          <w:szCs w:val="20"/>
          <w:lang w:eastAsia="en-US"/>
        </w:rPr>
        <w:br/>
      </w:r>
      <w:r w:rsidRPr="00241BB4">
        <w:rPr>
          <w:rFonts w:ascii="Arial" w:hAnsi="Arial" w:cs="Arial"/>
          <w:caps/>
          <w:color w:val="000000"/>
          <w:sz w:val="20"/>
          <w:szCs w:val="20"/>
          <w:lang w:eastAsia="en-US"/>
        </w:rPr>
        <w:t>AGREEMENT BETWEEN PARTIES AS TO CONDUCT OF PROCEEDING</w:t>
      </w:r>
    </w:p>
    <w:p w:rsidR="00241BB4" w:rsidRPr="00241BB4" w:rsidP="00241BB4">
      <w:pPr>
        <w:bidi w:val="0"/>
        <w:rPr>
          <w:rFonts w:ascii="Arial" w:hAnsi="Arial" w:cs="Arial"/>
          <w:color w:val="000000"/>
          <w:sz w:val="20"/>
          <w:szCs w:val="20"/>
          <w:lang w:eastAsia="en-US"/>
        </w:rPr>
      </w:pPr>
    </w:p>
    <w:p w:rsidR="00241BB4" w:rsidRPr="00241BB4" w:rsidP="00241BB4">
      <w:pPr>
        <w:bidi w:val="0"/>
        <w:rPr>
          <w:rFonts w:ascii="Arial" w:hAnsi="Arial" w:cs="Arial"/>
          <w:color w:val="000000"/>
          <w:sz w:val="20"/>
          <w:szCs w:val="20"/>
          <w:lang w:eastAsia="en-US"/>
        </w:rPr>
      </w:pPr>
      <w:bookmarkStart w:id="1" w:name="D%151%%%1_Y"/>
      <w:bookmarkStart w:id="2" w:name="s151.1"/>
      <w:bookmarkEnd w:id="1"/>
      <w:bookmarkEnd w:id="2"/>
      <w:r w:rsidRPr="00241BB4">
        <w:rPr>
          <w:rFonts w:ascii="Arial" w:hAnsi="Arial" w:cs="Arial"/>
          <w:b/>
          <w:bCs/>
          <w:color w:val="000000"/>
          <w:sz w:val="28"/>
          <w:szCs w:val="20"/>
          <w:lang w:eastAsia="en-US"/>
        </w:rPr>
        <w:t>151.1.</w:t>
      </w:r>
      <w:r w:rsidRPr="00241BB4">
        <w:rPr>
          <w:rFonts w:ascii="Arial" w:hAnsi="Arial" w:cs="Arial"/>
          <w:color w:val="000000"/>
          <w:sz w:val="20"/>
          <w:szCs w:val="20"/>
          <w:lang w:eastAsia="en-US"/>
        </w:rPr>
        <w:t xml:space="preserve"> Before the date indicated in the notice to the defendant for presentation of the action or application, </w:t>
      </w:r>
      <w:r w:rsidRPr="00241BB4">
        <w:rPr>
          <w:rFonts w:ascii="Arial" w:hAnsi="Arial" w:cs="Arial"/>
          <w:b/>
          <w:bCs/>
          <w:color w:val="000000"/>
          <w:sz w:val="20"/>
          <w:szCs w:val="20"/>
          <w:lang w:eastAsia="en-US"/>
        </w:rPr>
        <w:t xml:space="preserve">the parties, </w:t>
      </w:r>
      <w:r w:rsidRPr="00C03E27">
        <w:rPr>
          <w:rFonts w:ascii="Arial" w:hAnsi="Arial" w:cs="Arial"/>
          <w:color w:val="000000"/>
          <w:sz w:val="20"/>
          <w:szCs w:val="20"/>
          <w:lang w:eastAsia="en-US"/>
        </w:rPr>
        <w:t xml:space="preserve">except </w:t>
      </w:r>
      <w:r w:rsidRPr="00C03E27">
        <w:rPr>
          <w:rFonts w:ascii="Arial" w:hAnsi="Arial" w:cs="Arial"/>
          <w:color w:val="000000"/>
          <w:sz w:val="20"/>
          <w:szCs w:val="20"/>
          <w:lang w:eastAsia="en-US"/>
        </w:rPr>
        <w:t>impleaded</w:t>
      </w:r>
      <w:r w:rsidRPr="00C03E27">
        <w:rPr>
          <w:rFonts w:ascii="Arial" w:hAnsi="Arial" w:cs="Arial"/>
          <w:color w:val="000000"/>
          <w:sz w:val="20"/>
          <w:szCs w:val="20"/>
          <w:lang w:eastAsia="en-US"/>
        </w:rPr>
        <w:t xml:space="preserve"> parties,</w:t>
      </w:r>
      <w:r w:rsidRPr="00241BB4">
        <w:rPr>
          <w:rFonts w:ascii="Arial" w:hAnsi="Arial" w:cs="Arial"/>
          <w:b/>
          <w:bCs/>
          <w:color w:val="000000"/>
          <w:sz w:val="20"/>
          <w:szCs w:val="20"/>
          <w:lang w:eastAsia="en-US"/>
        </w:rPr>
        <w:t xml:space="preserve"> must negotiate an agreement as to the conduct of the proceeding, specifying the arrangements between them and the timetable with which they are to comply within the 180-day or, in family matters, the one-year peremptory time limit.</w:t>
      </w:r>
    </w:p>
    <w:p w:rsidR="00241BB4" w:rsidRPr="00241BB4" w:rsidP="00241BB4">
      <w:pPr>
        <w:bidi w:val="0"/>
        <w:rPr>
          <w:rFonts w:ascii="Arial" w:hAnsi="Arial" w:cs="Arial"/>
          <w:color w:val="000000"/>
          <w:sz w:val="20"/>
          <w:szCs w:val="20"/>
          <w:lang w:eastAsia="en-US"/>
        </w:rPr>
      </w:pPr>
    </w:p>
    <w:p w:rsidR="00241BB4" w:rsidRPr="00241BB4" w:rsidP="00241BB4">
      <w:pPr>
        <w:bidi w:val="0"/>
        <w:rPr>
          <w:rFonts w:ascii="Arial" w:hAnsi="Arial" w:cs="Arial"/>
          <w:color w:val="000000"/>
          <w:sz w:val="20"/>
          <w:szCs w:val="20"/>
          <w:lang w:eastAsia="en-US"/>
        </w:rPr>
      </w:pPr>
      <w:r w:rsidRPr="00241BB4">
        <w:rPr>
          <w:rFonts w:ascii="Arial" w:hAnsi="Arial" w:cs="Arial"/>
          <w:color w:val="000000"/>
          <w:sz w:val="20"/>
          <w:szCs w:val="20"/>
          <w:lang w:eastAsia="en-US"/>
        </w:rPr>
        <w:t xml:space="preserve">Any person </w:t>
      </w:r>
      <w:r w:rsidRPr="00241BB4">
        <w:rPr>
          <w:rFonts w:ascii="Arial" w:hAnsi="Arial" w:cs="Arial"/>
          <w:color w:val="000000"/>
          <w:sz w:val="20"/>
          <w:szCs w:val="20"/>
          <w:lang w:eastAsia="en-US"/>
        </w:rPr>
        <w:t>impleaded</w:t>
      </w:r>
      <w:r w:rsidRPr="00241BB4">
        <w:rPr>
          <w:rFonts w:ascii="Arial" w:hAnsi="Arial" w:cs="Arial"/>
          <w:color w:val="000000"/>
          <w:sz w:val="20"/>
          <w:szCs w:val="20"/>
          <w:lang w:eastAsia="en-US"/>
        </w:rPr>
        <w:t xml:space="preserve"> in the motion to institute proceedings who wishes to take part in the negotiation of the agreement determining the proceeding timetable must notify the parties within five days of service of the motion. Otherwise, the person is presumed not to wish to do so.</w:t>
      </w:r>
    </w:p>
    <w:p w:rsidR="00241BB4" w:rsidRPr="00241BB4" w:rsidP="00241BB4">
      <w:pPr>
        <w:bidi w:val="0"/>
        <w:rPr>
          <w:rFonts w:ascii="Arial" w:hAnsi="Arial" w:cs="Arial"/>
          <w:color w:val="000000"/>
          <w:sz w:val="20"/>
          <w:szCs w:val="20"/>
          <w:lang w:eastAsia="en-US"/>
        </w:rPr>
      </w:pPr>
    </w:p>
    <w:p w:rsidR="00241BB4" w:rsidRPr="00241BB4" w:rsidP="00241BB4">
      <w:pPr>
        <w:bidi w:val="0"/>
        <w:rPr>
          <w:rFonts w:ascii="Arial" w:hAnsi="Arial" w:cs="Arial"/>
          <w:color w:val="000000"/>
          <w:sz w:val="20"/>
          <w:szCs w:val="20"/>
          <w:lang w:eastAsia="en-US"/>
        </w:rPr>
      </w:pPr>
      <w:r w:rsidRPr="00241BB4">
        <w:rPr>
          <w:rFonts w:ascii="Arial" w:hAnsi="Arial" w:cs="Arial"/>
          <w:color w:val="000000"/>
          <w:sz w:val="20"/>
          <w:szCs w:val="20"/>
          <w:lang w:eastAsia="en-US"/>
        </w:rPr>
        <w:t xml:space="preserve">The agreement must cover, among other things, the preliminary exceptions and safeguard measures, the procedure and time limit for the communication of exhibits, written statements in lieu of testimony and detailed affidavits, the number and length of and other conditions relating to examinations on discovery before the filing of the </w:t>
      </w:r>
      <w:r w:rsidRPr="00241BB4">
        <w:rPr>
          <w:rFonts w:ascii="Arial" w:hAnsi="Arial" w:cs="Arial"/>
          <w:color w:val="000000"/>
          <w:sz w:val="20"/>
          <w:szCs w:val="20"/>
          <w:lang w:eastAsia="en-US"/>
        </w:rPr>
        <w:t>defence</w:t>
      </w:r>
      <w:r w:rsidRPr="00241BB4">
        <w:rPr>
          <w:rFonts w:ascii="Arial" w:hAnsi="Arial" w:cs="Arial"/>
          <w:color w:val="000000"/>
          <w:sz w:val="20"/>
          <w:szCs w:val="20"/>
          <w:lang w:eastAsia="en-US"/>
        </w:rPr>
        <w:t xml:space="preserve">, expert appraisals, any planned or foreseeable incidental proceedings, the oral or written form of the </w:t>
      </w:r>
      <w:r w:rsidRPr="00241BB4">
        <w:rPr>
          <w:rFonts w:ascii="Arial" w:hAnsi="Arial" w:cs="Arial"/>
          <w:color w:val="000000"/>
          <w:sz w:val="20"/>
          <w:szCs w:val="20"/>
          <w:lang w:eastAsia="en-US"/>
        </w:rPr>
        <w:t>defence</w:t>
      </w:r>
      <w:r w:rsidRPr="00241BB4">
        <w:rPr>
          <w:rFonts w:ascii="Arial" w:hAnsi="Arial" w:cs="Arial"/>
          <w:color w:val="000000"/>
          <w:sz w:val="20"/>
          <w:szCs w:val="20"/>
          <w:lang w:eastAsia="en-US"/>
        </w:rPr>
        <w:t xml:space="preserve"> and, in the case of a written </w:t>
      </w:r>
      <w:r w:rsidRPr="00241BB4">
        <w:rPr>
          <w:rFonts w:ascii="Arial" w:hAnsi="Arial" w:cs="Arial"/>
          <w:color w:val="000000"/>
          <w:sz w:val="20"/>
          <w:szCs w:val="20"/>
          <w:lang w:eastAsia="en-US"/>
        </w:rPr>
        <w:t>defence</w:t>
      </w:r>
      <w:r w:rsidRPr="00241BB4">
        <w:rPr>
          <w:rFonts w:ascii="Arial" w:hAnsi="Arial" w:cs="Arial"/>
          <w:color w:val="000000"/>
          <w:sz w:val="20"/>
          <w:szCs w:val="20"/>
          <w:lang w:eastAsia="en-US"/>
        </w:rPr>
        <w:t>, the time limit for its filing as well as the time limit for filing an answer, if one is to be filed. The agreement must be filed without delay at the office of the court, no later than the date fixed for presentation of the action or application.</w:t>
      </w:r>
    </w:p>
    <w:p w:rsidR="00241BB4" w:rsidRPr="00241BB4" w:rsidP="00241BB4">
      <w:pPr>
        <w:bidi w:val="0"/>
        <w:rPr>
          <w:rFonts w:ascii="Arial" w:hAnsi="Arial" w:cs="Arial"/>
          <w:color w:val="000000"/>
          <w:sz w:val="20"/>
          <w:szCs w:val="20"/>
          <w:lang w:eastAsia="en-US"/>
        </w:rPr>
      </w:pPr>
    </w:p>
    <w:p w:rsidR="00241BB4" w:rsidRPr="00241BB4" w:rsidP="00241BB4">
      <w:pPr>
        <w:bidi w:val="0"/>
        <w:rPr>
          <w:rFonts w:ascii="Arial" w:hAnsi="Arial" w:cs="Arial"/>
          <w:color w:val="000000"/>
          <w:sz w:val="20"/>
          <w:szCs w:val="20"/>
          <w:lang w:eastAsia="en-US"/>
        </w:rPr>
      </w:pPr>
      <w:r w:rsidRPr="00241BB4">
        <w:rPr>
          <w:rFonts w:ascii="Arial" w:hAnsi="Arial" w:cs="Arial"/>
          <w:color w:val="000000"/>
          <w:sz w:val="20"/>
          <w:szCs w:val="20"/>
          <w:lang w:eastAsia="en-US"/>
        </w:rPr>
        <w:t>2002, c. 7, s. 19; 2004, c. 14, s. 2.</w:t>
      </w:r>
    </w:p>
    <w:p w:rsidR="00241BB4" w:rsidRPr="00241BB4" w:rsidP="00241BB4">
      <w:pPr>
        <w:bidi w:val="0"/>
        <w:rPr>
          <w:rFonts w:ascii="Arial" w:hAnsi="Arial" w:cs="Arial"/>
          <w:color w:val="000000"/>
          <w:sz w:val="20"/>
          <w:szCs w:val="20"/>
          <w:lang w:eastAsia="en-US"/>
        </w:rPr>
      </w:pPr>
    </w:p>
    <w:p w:rsidR="00241BB4" w:rsidRPr="00241BB4" w:rsidP="00241BB4">
      <w:pPr>
        <w:bidi w:val="0"/>
        <w:rPr>
          <w:rFonts w:ascii="Arial" w:hAnsi="Arial" w:cs="Arial"/>
          <w:color w:val="000000"/>
          <w:sz w:val="20"/>
          <w:szCs w:val="20"/>
          <w:lang w:eastAsia="en-US"/>
        </w:rPr>
      </w:pPr>
      <w:bookmarkStart w:id="3" w:name="D%151%%%2_Y"/>
      <w:bookmarkStart w:id="4" w:name="s151.2"/>
      <w:bookmarkEnd w:id="3"/>
      <w:bookmarkEnd w:id="4"/>
      <w:r w:rsidRPr="00241BB4">
        <w:rPr>
          <w:rFonts w:ascii="Arial" w:hAnsi="Arial" w:cs="Arial"/>
          <w:b/>
          <w:bCs/>
          <w:color w:val="000000"/>
          <w:sz w:val="28"/>
          <w:szCs w:val="20"/>
          <w:lang w:eastAsia="en-US"/>
        </w:rPr>
        <w:t>151.2.</w:t>
      </w:r>
      <w:r w:rsidRPr="00241BB4">
        <w:rPr>
          <w:rFonts w:ascii="Arial" w:hAnsi="Arial" w:cs="Arial"/>
          <w:color w:val="000000"/>
          <w:sz w:val="20"/>
          <w:szCs w:val="20"/>
          <w:lang w:eastAsia="en-US"/>
        </w:rPr>
        <w:t> The agreement is binding on the parties as to the conduct of the proceeding. The parties may modify the agreement, insofar as the modification does not contravene the 180-day or, in family matters, the one-year peremptory time limit. If there is a disagreement between the parties, the court may, on request, authorize any modification it considers appropriate.</w:t>
      </w:r>
    </w:p>
    <w:p w:rsidR="00241BB4" w:rsidRPr="00241BB4" w:rsidP="00241BB4">
      <w:pPr>
        <w:bidi w:val="0"/>
        <w:rPr>
          <w:rFonts w:ascii="Arial" w:hAnsi="Arial" w:cs="Arial"/>
          <w:color w:val="000000"/>
          <w:sz w:val="20"/>
          <w:szCs w:val="20"/>
          <w:lang w:eastAsia="en-US"/>
        </w:rPr>
      </w:pPr>
    </w:p>
    <w:p w:rsidR="00241BB4" w:rsidRPr="00241BB4" w:rsidP="00241BB4">
      <w:pPr>
        <w:bidi w:val="0"/>
        <w:rPr>
          <w:rFonts w:ascii="Arial" w:hAnsi="Arial" w:cs="Arial"/>
          <w:color w:val="000000"/>
          <w:sz w:val="20"/>
          <w:szCs w:val="20"/>
          <w:lang w:eastAsia="en-US"/>
        </w:rPr>
      </w:pPr>
      <w:r w:rsidRPr="00241BB4">
        <w:rPr>
          <w:rFonts w:ascii="Arial" w:hAnsi="Arial" w:cs="Arial"/>
          <w:color w:val="000000"/>
          <w:sz w:val="20"/>
          <w:szCs w:val="20"/>
          <w:lang w:eastAsia="en-US"/>
        </w:rPr>
        <w:t>2002, c. 7, s. 19; 2004, c. 14, s. 3.</w:t>
      </w:r>
    </w:p>
    <w:p w:rsidR="00241BB4" w:rsidRPr="00241BB4" w:rsidP="00241BB4">
      <w:pPr>
        <w:bidi w:val="0"/>
        <w:rPr>
          <w:rFonts w:ascii="Arial" w:hAnsi="Arial" w:cs="Arial"/>
          <w:color w:val="000000"/>
          <w:sz w:val="20"/>
          <w:szCs w:val="20"/>
          <w:lang w:eastAsia="en-US"/>
        </w:rPr>
      </w:pPr>
    </w:p>
    <w:p w:rsidR="00241BB4" w:rsidRPr="00241BB4" w:rsidP="00241BB4">
      <w:pPr>
        <w:bidi w:val="0"/>
        <w:rPr>
          <w:rFonts w:ascii="Arial" w:hAnsi="Arial" w:cs="Arial"/>
          <w:color w:val="000000"/>
          <w:sz w:val="20"/>
          <w:szCs w:val="20"/>
          <w:lang w:eastAsia="en-US"/>
        </w:rPr>
      </w:pPr>
      <w:bookmarkStart w:id="5" w:name="D%151%%%3_Y"/>
      <w:bookmarkStart w:id="6" w:name="s151.3"/>
      <w:bookmarkEnd w:id="5"/>
      <w:bookmarkEnd w:id="6"/>
      <w:r w:rsidRPr="00241BB4">
        <w:rPr>
          <w:rFonts w:ascii="Arial" w:hAnsi="Arial" w:cs="Arial"/>
          <w:b/>
          <w:bCs/>
          <w:color w:val="000000"/>
          <w:sz w:val="28"/>
          <w:szCs w:val="20"/>
          <w:lang w:eastAsia="en-US"/>
        </w:rPr>
        <w:t>151.3.</w:t>
      </w:r>
      <w:r w:rsidRPr="00241BB4">
        <w:rPr>
          <w:rFonts w:ascii="Arial" w:hAnsi="Arial" w:cs="Arial"/>
          <w:color w:val="000000"/>
          <w:sz w:val="20"/>
          <w:szCs w:val="20"/>
          <w:lang w:eastAsia="en-US"/>
        </w:rPr>
        <w:t> </w:t>
      </w:r>
      <w:r w:rsidRPr="00241BB4">
        <w:rPr>
          <w:rFonts w:ascii="Arial" w:hAnsi="Arial" w:cs="Arial"/>
          <w:b/>
          <w:bCs/>
          <w:color w:val="000000"/>
          <w:sz w:val="20"/>
          <w:szCs w:val="20"/>
          <w:lang w:eastAsia="en-US"/>
        </w:rPr>
        <w:t>The parties must comply with the timetable they have set</w:t>
      </w:r>
      <w:r w:rsidRPr="00241BB4">
        <w:rPr>
          <w:rFonts w:ascii="Arial" w:hAnsi="Arial" w:cs="Arial"/>
          <w:color w:val="000000"/>
          <w:sz w:val="20"/>
          <w:szCs w:val="20"/>
          <w:lang w:eastAsia="en-US"/>
        </w:rPr>
        <w:t xml:space="preserve"> </w:t>
      </w:r>
      <w:r w:rsidRPr="00C03E27">
        <w:rPr>
          <w:rFonts w:ascii="Arial" w:hAnsi="Arial" w:cs="Arial"/>
          <w:b/>
          <w:bCs/>
          <w:color w:val="000000"/>
          <w:sz w:val="20"/>
          <w:szCs w:val="20"/>
          <w:lang w:eastAsia="en-US"/>
        </w:rPr>
        <w:t>under pain of the penalty prescribed by this Code or, in the absence thereof, of dismissal of the action or application, striking of the allegations involved or foreclosure, as appropriate.</w:t>
      </w:r>
      <w:r w:rsidRPr="00241BB4">
        <w:rPr>
          <w:rFonts w:ascii="Arial" w:hAnsi="Arial" w:cs="Arial"/>
          <w:color w:val="000000"/>
          <w:sz w:val="20"/>
          <w:szCs w:val="20"/>
          <w:lang w:eastAsia="en-US"/>
        </w:rPr>
        <w:t xml:space="preserve"> However, the judge may, on request, relieve a defaulting party from default if required in the interest of justice; the costs resulting from the default are borne by the party concerned, unless the judge decides otherwise.</w:t>
      </w:r>
    </w:p>
    <w:p w:rsidR="00241BB4" w:rsidRPr="00241BB4" w:rsidP="00241BB4">
      <w:pPr>
        <w:bidi w:val="0"/>
        <w:rPr>
          <w:rFonts w:ascii="Arial" w:hAnsi="Arial" w:cs="Arial"/>
          <w:color w:val="000000"/>
          <w:sz w:val="20"/>
          <w:szCs w:val="20"/>
          <w:lang w:eastAsia="en-US"/>
        </w:rPr>
      </w:pPr>
    </w:p>
    <w:p w:rsidR="00241BB4" w:rsidRPr="00241BB4" w:rsidP="00241BB4">
      <w:pPr>
        <w:bidi w:val="0"/>
        <w:rPr>
          <w:rFonts w:ascii="Arial" w:hAnsi="Arial" w:cs="Arial"/>
          <w:color w:val="000000"/>
          <w:sz w:val="20"/>
          <w:szCs w:val="20"/>
          <w:lang w:eastAsia="en-US"/>
        </w:rPr>
      </w:pPr>
      <w:r w:rsidRPr="00241BB4">
        <w:rPr>
          <w:rFonts w:ascii="Arial" w:hAnsi="Arial" w:cs="Arial"/>
          <w:color w:val="000000"/>
          <w:sz w:val="20"/>
          <w:szCs w:val="20"/>
          <w:lang w:eastAsia="en-US"/>
        </w:rPr>
        <w:t>2002, c. 7, s. 19.</w:t>
      </w:r>
    </w:p>
    <w:p w:rsidR="00C512E9" w:rsidP="00241BB4">
      <w:pPr>
        <w:bidi w:val="0"/>
        <w:rPr>
          <w:rFonts w:asciiTheme="minorHAnsi" w:hAnsiTheme="minorHAnsi"/>
          <w:b/>
          <w:bCs/>
          <w:u w:val="single"/>
        </w:rPr>
      </w:pPr>
    </w:p>
    <w:p w:rsidR="00C512E9">
      <w:pPr>
        <w:bidi w:val="0"/>
        <w:rPr>
          <w:rFonts w:asciiTheme="minorHAnsi" w:hAnsiTheme="minorHAnsi"/>
          <w:b/>
          <w:bCs/>
          <w:u w:val="single"/>
        </w:rPr>
      </w:pPr>
      <w:r>
        <w:rPr>
          <w:rFonts w:asciiTheme="minorHAnsi" w:hAnsiTheme="minorHAnsi"/>
          <w:b/>
          <w:bCs/>
          <w:u w:val="single"/>
        </w:rPr>
        <w:br w:type="page"/>
      </w:r>
    </w:p>
    <w:p w:rsidR="00241BB4" w:rsidP="00C512E9">
      <w:pPr>
        <w:bidi w:val="0"/>
        <w:rPr>
          <w:rFonts w:asciiTheme="minorHAnsi" w:hAnsiTheme="minorHAnsi"/>
          <w:b/>
          <w:bCs/>
          <w:u w:val="single"/>
        </w:rPr>
      </w:pPr>
      <w:r>
        <w:rPr>
          <w:rFonts w:asciiTheme="minorHAnsi" w:hAnsiTheme="minorHAnsi"/>
          <w:b/>
          <w:bCs/>
          <w:u w:val="single"/>
        </w:rPr>
        <w:t xml:space="preserve">UK </w:t>
      </w:r>
    </w:p>
    <w:p w:rsidR="00241BB4" w:rsidP="00241BB4">
      <w:pPr>
        <w:bidi w:val="0"/>
        <w:rPr>
          <w:rFonts w:asciiTheme="minorHAnsi" w:hAnsiTheme="minorHAnsi"/>
          <w:b/>
          <w:bCs/>
          <w:u w:val="single"/>
        </w:rPr>
      </w:pPr>
      <w:r>
        <w:rPr>
          <w:rFonts w:asciiTheme="minorHAnsi" w:hAnsiTheme="minorHAnsi"/>
          <w:b/>
          <w:bCs/>
          <w:u w:val="single"/>
        </w:rPr>
        <w:t>Civil Procedure Rules</w:t>
      </w:r>
    </w:p>
    <w:p w:rsidR="00241BB4" w:rsidRPr="00241BB4" w:rsidP="00241BB4">
      <w:pPr>
        <w:bidi w:val="0"/>
        <w:rPr>
          <w:rFonts w:asciiTheme="minorHAnsi" w:hAnsiTheme="minorHAnsi"/>
        </w:rPr>
      </w:pPr>
      <w:r w:rsidRPr="00241BB4">
        <w:rPr>
          <w:rFonts w:asciiTheme="minorHAnsi" w:hAnsiTheme="minorHAnsi"/>
        </w:rPr>
        <w:t>Introduction:</w:t>
      </w:r>
    </w:p>
    <w:p w:rsidR="00241BB4" w:rsidP="00241BB4">
      <w:pPr>
        <w:bidi w:val="0"/>
        <w:rPr>
          <w:rFonts w:asciiTheme="minorHAnsi" w:hAnsiTheme="minorHAnsi"/>
          <w:b/>
          <w:bCs/>
          <w:u w:val="single"/>
        </w:rPr>
      </w:pPr>
      <w:hyperlink r:id="rId8" w:history="1">
        <w:r w:rsidRPr="00FE20CE">
          <w:rPr>
            <w:rStyle w:val="Hyperlink"/>
            <w:rFonts w:asciiTheme="minorHAnsi" w:hAnsiTheme="minorHAnsi"/>
            <w:b/>
            <w:bCs/>
          </w:rPr>
          <w:t>http://www.hilldickinson.com/pdf/The%20English%20Civil%20Procedure%20Rules.pdf</w:t>
        </w:r>
      </w:hyperlink>
    </w:p>
    <w:p w:rsidR="00241BB4" w:rsidP="00241BB4">
      <w:pPr>
        <w:bidi w:val="0"/>
        <w:rPr>
          <w:rFonts w:asciiTheme="minorHAnsi" w:hAnsiTheme="minorHAnsi"/>
          <w:b/>
          <w:bCs/>
          <w:u w:val="single"/>
        </w:rPr>
      </w:pPr>
    </w:p>
    <w:p w:rsidR="00241BB4" w:rsidRPr="00C03E27" w:rsidP="00241BB4">
      <w:pPr>
        <w:bidi w:val="0"/>
        <w:rPr>
          <w:rFonts w:asciiTheme="minorHAnsi" w:hAnsiTheme="minorHAnsi"/>
          <w:b/>
          <w:bCs/>
        </w:rPr>
      </w:pPr>
      <w:r w:rsidRPr="00241BB4">
        <w:rPr>
          <w:rFonts w:asciiTheme="minorHAnsi" w:hAnsiTheme="minorHAnsi"/>
          <w:b/>
          <w:bCs/>
        </w:rPr>
        <w:t>Typical timelines:</w:t>
      </w:r>
    </w:p>
    <w:p w:rsidR="00241BB4" w:rsidRPr="00C03E27" w:rsidP="00241BB4">
      <w:pPr>
        <w:bidi w:val="0"/>
        <w:rPr>
          <w:rFonts w:asciiTheme="minorHAnsi" w:hAnsiTheme="minorHAnsi"/>
          <w:b/>
          <w:bCs/>
        </w:rPr>
      </w:pPr>
      <w:r w:rsidRPr="00C03E27">
        <w:rPr>
          <w:rFonts w:asciiTheme="minorHAnsi" w:hAnsiTheme="minorHAnsi"/>
          <w:b/>
          <w:bCs/>
          <w:noProof/>
          <w:lang w:eastAsia="en-US"/>
        </w:rPr>
        <w:drawing>
          <wp:inline distT="0" distB="0" distL="0" distR="0">
            <wp:extent cx="4707255" cy="535114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674197" name="Picture 1"/>
                    <pic:cNvPicPr>
                      <a:picLocks noChangeAspect="1" noChangeArrowheads="1"/>
                    </pic:cNvPicPr>
                  </pic:nvPicPr>
                  <pic:blipFill>
                    <a:blip xmlns:r="http://schemas.openxmlformats.org/officeDocument/2006/relationships" r:embed="rId9" cstate="print"/>
                    <a:stretch>
                      <a:fillRect/>
                    </a:stretch>
                  </pic:blipFill>
                  <pic:spPr bwMode="auto">
                    <a:xfrm>
                      <a:off x="0" y="0"/>
                      <a:ext cx="4707255" cy="5351145"/>
                    </a:xfrm>
                    <a:prstGeom prst="rect">
                      <a:avLst/>
                    </a:prstGeom>
                    <a:noFill/>
                    <a:ln w="9525">
                      <a:noFill/>
                      <a:miter lim="800000"/>
                      <a:headEnd/>
                      <a:tailEnd/>
                    </a:ln>
                  </pic:spPr>
                </pic:pic>
              </a:graphicData>
            </a:graphic>
          </wp:inline>
        </w:drawing>
      </w:r>
    </w:p>
    <w:p w:rsidR="00C03E27" w:rsidRPr="00C03E27" w:rsidP="00C03E27">
      <w:pPr>
        <w:bidi w:val="0"/>
        <w:rPr>
          <w:rFonts w:asciiTheme="minorHAnsi" w:hAnsiTheme="minorHAnsi"/>
          <w:b/>
          <w:bCs/>
        </w:rPr>
      </w:pPr>
    </w:p>
    <w:p w:rsidR="00C03E27" w:rsidP="00C03E27">
      <w:pPr>
        <w:bidi w:val="0"/>
        <w:rPr>
          <w:rFonts w:asciiTheme="minorHAnsi" w:hAnsiTheme="minorHAnsi"/>
          <w:b/>
          <w:bCs/>
          <w:u w:val="single"/>
        </w:rPr>
      </w:pPr>
    </w:p>
    <w:p w:rsidR="00C03E27" w:rsidP="00C03E27">
      <w:pPr>
        <w:bidi w:val="0"/>
        <w:rPr>
          <w:rFonts w:asciiTheme="minorHAnsi" w:hAnsiTheme="minorHAnsi"/>
          <w:b/>
          <w:bCs/>
          <w:u w:val="single"/>
        </w:rPr>
      </w:pPr>
      <w:r w:rsidRPr="00C03E27">
        <w:rPr>
          <w:rFonts w:asciiTheme="minorHAnsi" w:hAnsiTheme="minorHAnsi"/>
          <w:b/>
          <w:bCs/>
          <w:noProof/>
          <w:lang w:eastAsia="en-US"/>
        </w:rPr>
        <w:drawing>
          <wp:inline distT="0" distB="0" distL="0" distR="0">
            <wp:extent cx="3686258" cy="3980467"/>
            <wp:effectExtent l="19050" t="0" r="9442"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092647" name="Picture 4"/>
                    <pic:cNvPicPr>
                      <a:picLocks noChangeAspect="1" noChangeArrowheads="1"/>
                    </pic:cNvPicPr>
                  </pic:nvPicPr>
                  <pic:blipFill>
                    <a:blip xmlns:r="http://schemas.openxmlformats.org/officeDocument/2006/relationships" r:embed="rId10" cstate="print"/>
                    <a:srcRect b="5329"/>
                    <a:stretch>
                      <a:fillRect/>
                    </a:stretch>
                  </pic:blipFill>
                  <pic:spPr bwMode="auto">
                    <a:xfrm>
                      <a:off x="0" y="0"/>
                      <a:ext cx="3689242" cy="3983689"/>
                    </a:xfrm>
                    <a:prstGeom prst="rect">
                      <a:avLst/>
                    </a:prstGeom>
                    <a:noFill/>
                    <a:ln w="9525">
                      <a:noFill/>
                      <a:miter lim="800000"/>
                      <a:headEnd/>
                      <a:tailEnd/>
                    </a:ln>
                  </pic:spPr>
                </pic:pic>
              </a:graphicData>
            </a:graphic>
          </wp:inline>
        </w:drawing>
      </w:r>
    </w:p>
    <w:p w:rsidR="00C03E27" w:rsidP="00C03E27">
      <w:pPr>
        <w:bidi w:val="0"/>
        <w:rPr>
          <w:rFonts w:asciiTheme="minorHAnsi" w:hAnsiTheme="minorHAnsi"/>
          <w:b/>
          <w:bCs/>
          <w:u w:val="single"/>
        </w:rPr>
      </w:pPr>
      <w:r w:rsidRPr="00C03E27">
        <w:rPr>
          <w:rFonts w:asciiTheme="minorHAnsi" w:hAnsiTheme="minorHAnsi"/>
          <w:b/>
          <w:bCs/>
        </w:rPr>
        <w:drawing>
          <wp:inline distT="0" distB="0" distL="0" distR="0">
            <wp:extent cx="3685319" cy="3945621"/>
            <wp:effectExtent l="1905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64740" name="Picture 7"/>
                    <pic:cNvPicPr>
                      <a:picLocks noChangeAspect="1" noChangeArrowheads="1"/>
                    </pic:cNvPicPr>
                  </pic:nvPicPr>
                  <pic:blipFill>
                    <a:blip xmlns:r="http://schemas.openxmlformats.org/officeDocument/2006/relationships" r:embed="rId11" cstate="print"/>
                    <a:stretch>
                      <a:fillRect/>
                    </a:stretch>
                  </pic:blipFill>
                  <pic:spPr bwMode="auto">
                    <a:xfrm>
                      <a:off x="0" y="0"/>
                      <a:ext cx="3696645" cy="3957747"/>
                    </a:xfrm>
                    <a:prstGeom prst="rect">
                      <a:avLst/>
                    </a:prstGeom>
                    <a:noFill/>
                    <a:ln w="9525">
                      <a:noFill/>
                      <a:miter lim="800000"/>
                      <a:headEnd/>
                      <a:tailEnd/>
                    </a:ln>
                  </pic:spPr>
                </pic:pic>
              </a:graphicData>
            </a:graphic>
          </wp:inline>
        </w:drawing>
      </w:r>
    </w:p>
    <w:p w:rsidR="00C03E27" w:rsidP="00C03E27">
      <w:pPr>
        <w:bidi w:val="0"/>
        <w:rPr>
          <w:rFonts w:asciiTheme="minorHAnsi" w:hAnsiTheme="minorHAnsi"/>
          <w:b/>
          <w:bCs/>
          <w:u w:val="single"/>
        </w:rPr>
      </w:pPr>
    </w:p>
    <w:p w:rsidR="0035567E" w:rsidRPr="0035567E" w:rsidP="00241BB4">
      <w:pPr>
        <w:bidi w:val="0"/>
        <w:rPr>
          <w:rFonts w:asciiTheme="minorHAnsi" w:hAnsiTheme="minorHAnsi"/>
          <w:b/>
          <w:bCs/>
          <w:u w:val="single"/>
        </w:rPr>
      </w:pPr>
      <w:r w:rsidRPr="0035567E">
        <w:rPr>
          <w:rFonts w:asciiTheme="minorHAnsi" w:hAnsiTheme="minorHAnsi"/>
          <w:b/>
          <w:bCs/>
          <w:u w:val="single"/>
        </w:rPr>
        <w:t>Queen’</w:t>
      </w:r>
      <w:r w:rsidR="00AB2F67">
        <w:rPr>
          <w:rFonts w:asciiTheme="minorHAnsi" w:hAnsiTheme="minorHAnsi"/>
          <w:b/>
          <w:bCs/>
          <w:u w:val="single"/>
        </w:rPr>
        <w:t>s Bench</w:t>
      </w:r>
    </w:p>
    <w:p w:rsidR="0035567E" w:rsidP="0035567E">
      <w:pPr>
        <w:bidi w:val="0"/>
        <w:rPr>
          <w:rFonts w:asciiTheme="minorHAnsi" w:hAnsiTheme="minorHAnsi"/>
          <w:rtl/>
        </w:rPr>
      </w:pPr>
    </w:p>
    <w:p w:rsidR="0035567E" w:rsidP="0035567E">
      <w:pPr>
        <w:bidi w:val="0"/>
        <w:rPr>
          <w:rFonts w:asciiTheme="minorHAnsi" w:hAnsiTheme="minorHAnsi"/>
        </w:rPr>
      </w:pPr>
      <w:hyperlink r:id="rId12" w:history="1">
        <w:r w:rsidRPr="00C27B42">
          <w:rPr>
            <w:rStyle w:val="Hyperlink"/>
            <w:rFonts w:asciiTheme="minorHAnsi" w:hAnsiTheme="minorHAnsi"/>
          </w:rPr>
          <w:t>https://www.justice.gov.uk/downloads/courts/queens-bench/queen-bench-guide.pdf</w:t>
        </w:r>
      </w:hyperlink>
    </w:p>
    <w:p w:rsidR="0035567E" w:rsidP="0035567E">
      <w:pPr>
        <w:bidi w:val="0"/>
        <w:rPr>
          <w:rFonts w:asciiTheme="minorHAnsi" w:hAnsiTheme="minorHAnsi"/>
        </w:rPr>
      </w:pPr>
    </w:p>
    <w:p w:rsidR="0035567E" w:rsidRPr="0035567E" w:rsidP="0035567E">
      <w:pPr>
        <w:bidi w:val="0"/>
        <w:rPr>
          <w:rFonts w:asciiTheme="minorHAnsi" w:hAnsiTheme="minorHAnsi"/>
          <w:b/>
          <w:bCs/>
        </w:rPr>
      </w:pPr>
      <w:r w:rsidRPr="0035567E">
        <w:rPr>
          <w:rFonts w:asciiTheme="minorHAnsi" w:hAnsiTheme="minorHAnsi"/>
          <w:b/>
          <w:bCs/>
        </w:rPr>
        <w:t xml:space="preserve">2.3 Time Limits: </w:t>
      </w:r>
    </w:p>
    <w:p w:rsidR="0035567E" w:rsidRPr="0035567E" w:rsidP="0035567E">
      <w:pPr>
        <w:bidi w:val="0"/>
        <w:rPr>
          <w:rFonts w:asciiTheme="minorHAnsi" w:hAnsiTheme="minorHAnsi"/>
        </w:rPr>
      </w:pPr>
      <w:r w:rsidRPr="0035567E">
        <w:rPr>
          <w:rFonts w:asciiTheme="minorHAnsi" w:hAnsiTheme="minorHAnsi"/>
        </w:rPr>
        <w:t xml:space="preserve">2.3.1 There are strict time limits that apply to every claim. First, there are time limits fixed by the Limitation Act 1980 [and some other Statutes, such as the Human Rights Act 1998 and the Defamation Act 1996] within which proceedings must be brought. </w:t>
      </w:r>
    </w:p>
    <w:p w:rsidR="0035567E" w:rsidRPr="0035567E" w:rsidP="0035567E">
      <w:pPr>
        <w:bidi w:val="0"/>
        <w:rPr>
          <w:rFonts w:asciiTheme="minorHAnsi" w:hAnsiTheme="minorHAnsi"/>
        </w:rPr>
      </w:pPr>
      <w:r w:rsidRPr="0035567E">
        <w:rPr>
          <w:rFonts w:asciiTheme="minorHAnsi" w:hAnsiTheme="minorHAnsi"/>
        </w:rPr>
        <w:t xml:space="preserve">There are circumstances in which the court may extend those time limits, but this should be regarded as exceptional. In all other cases, once the relevant time limit has expired, it is rarely possible to start a claim. </w:t>
      </w:r>
    </w:p>
    <w:p w:rsidR="0035567E" w:rsidRPr="0035567E" w:rsidP="0035567E">
      <w:pPr>
        <w:bidi w:val="0"/>
        <w:rPr>
          <w:rFonts w:asciiTheme="minorHAnsi" w:hAnsiTheme="minorHAnsi"/>
        </w:rPr>
      </w:pPr>
      <w:r w:rsidRPr="0035567E">
        <w:rPr>
          <w:rFonts w:asciiTheme="minorHAnsi" w:hAnsiTheme="minorHAnsi"/>
        </w:rPr>
        <w:t xml:space="preserve">2.3.2 Secondly, </w:t>
      </w:r>
      <w:r w:rsidRPr="00241BB4">
        <w:rPr>
          <w:rFonts w:asciiTheme="minorHAnsi" w:hAnsiTheme="minorHAnsi"/>
          <w:b/>
          <w:bCs/>
        </w:rPr>
        <w:t>in order to try and bring the proceedings to an early trial date, a timetable will be set with which all parties must comply</w:t>
      </w:r>
      <w:r w:rsidRPr="0035567E">
        <w:rPr>
          <w:rFonts w:asciiTheme="minorHAnsi" w:hAnsiTheme="minorHAnsi"/>
        </w:rPr>
        <w:t xml:space="preserve">. Unless the CPR or a Practice Direction provides otherwise, or the court orders otherwise, the timetable may be varied by the written agreement of the parties. However, there are certain "milestone" events in the timetable for which the parties may not vary the time limits. Examples of these are; </w:t>
      </w:r>
    </w:p>
    <w:p w:rsidR="0035567E" w:rsidRPr="0035567E" w:rsidP="0035567E">
      <w:pPr>
        <w:bidi w:val="0"/>
        <w:rPr>
          <w:rFonts w:asciiTheme="minorHAnsi" w:hAnsiTheme="minorHAnsi"/>
        </w:rPr>
      </w:pPr>
      <w:r w:rsidRPr="0035567E">
        <w:rPr>
          <w:rFonts w:asciiTheme="minorHAnsi" w:hAnsiTheme="minorHAnsi"/>
        </w:rPr>
        <w:t>1.</w:t>
      </w:r>
      <w:r w:rsidRPr="0035567E">
        <w:rPr>
          <w:rFonts w:asciiTheme="minorHAnsi" w:hAnsiTheme="minorHAnsi"/>
        </w:rPr>
        <w:tab/>
        <w:t xml:space="preserve"> </w:t>
      </w:r>
      <w:r w:rsidRPr="0035567E">
        <w:rPr>
          <w:rFonts w:asciiTheme="minorHAnsi" w:hAnsiTheme="minorHAnsi"/>
        </w:rPr>
        <w:t>return</w:t>
      </w:r>
      <w:r w:rsidRPr="0035567E">
        <w:rPr>
          <w:rFonts w:asciiTheme="minorHAnsi" w:hAnsiTheme="minorHAnsi"/>
        </w:rPr>
        <w:t xml:space="preserve"> of the Allocation Questionnaire/Reply to </w:t>
      </w:r>
      <w:r w:rsidRPr="0035567E">
        <w:rPr>
          <w:rFonts w:asciiTheme="minorHAnsi" w:hAnsiTheme="minorHAnsi"/>
        </w:rPr>
        <w:t>Defence</w:t>
      </w:r>
      <w:r w:rsidRPr="0035567E">
        <w:rPr>
          <w:rFonts w:asciiTheme="minorHAnsi" w:hAnsiTheme="minorHAnsi"/>
        </w:rPr>
        <w:t xml:space="preserve">, which should be returned together with the Allocation Questionnaire </w:t>
      </w:r>
    </w:p>
    <w:p w:rsidR="0035567E" w:rsidRPr="0035567E" w:rsidP="0035567E">
      <w:pPr>
        <w:bidi w:val="0"/>
        <w:rPr>
          <w:rFonts w:asciiTheme="minorHAnsi" w:hAnsiTheme="minorHAnsi"/>
        </w:rPr>
      </w:pPr>
      <w:r w:rsidRPr="0035567E">
        <w:rPr>
          <w:rFonts w:asciiTheme="minorHAnsi" w:hAnsiTheme="minorHAnsi"/>
        </w:rPr>
        <w:t>2.</w:t>
      </w:r>
      <w:r w:rsidRPr="0035567E">
        <w:rPr>
          <w:rFonts w:asciiTheme="minorHAnsi" w:hAnsiTheme="minorHAnsi"/>
        </w:rPr>
        <w:tab/>
        <w:t xml:space="preserve"> </w:t>
      </w:r>
      <w:r w:rsidRPr="0035567E">
        <w:rPr>
          <w:rFonts w:asciiTheme="minorHAnsi" w:hAnsiTheme="minorHAnsi"/>
        </w:rPr>
        <w:t>date</w:t>
      </w:r>
      <w:r w:rsidRPr="0035567E">
        <w:rPr>
          <w:rFonts w:asciiTheme="minorHAnsi" w:hAnsiTheme="minorHAnsi"/>
        </w:rPr>
        <w:t xml:space="preserve"> for the case management conference </w:t>
      </w:r>
    </w:p>
    <w:p w:rsidR="0035567E" w:rsidRPr="0035567E" w:rsidP="0035567E">
      <w:pPr>
        <w:bidi w:val="0"/>
        <w:rPr>
          <w:rFonts w:asciiTheme="minorHAnsi" w:hAnsiTheme="minorHAnsi"/>
        </w:rPr>
      </w:pPr>
      <w:r w:rsidRPr="0035567E">
        <w:rPr>
          <w:rFonts w:asciiTheme="minorHAnsi" w:hAnsiTheme="minorHAnsi"/>
        </w:rPr>
        <w:t>3.</w:t>
      </w:r>
      <w:r w:rsidRPr="0035567E">
        <w:rPr>
          <w:rFonts w:asciiTheme="minorHAnsi" w:hAnsiTheme="minorHAnsi"/>
        </w:rPr>
        <w:tab/>
        <w:t xml:space="preserve"> </w:t>
      </w:r>
      <w:r w:rsidRPr="0035567E">
        <w:rPr>
          <w:rFonts w:asciiTheme="minorHAnsi" w:hAnsiTheme="minorHAnsi"/>
        </w:rPr>
        <w:t>return</w:t>
      </w:r>
      <w:r w:rsidRPr="0035567E">
        <w:rPr>
          <w:rFonts w:asciiTheme="minorHAnsi" w:hAnsiTheme="minorHAnsi"/>
        </w:rPr>
        <w:t xml:space="preserve"> of the Pre Trial Checklist </w:t>
      </w:r>
    </w:p>
    <w:p w:rsidR="0035567E" w:rsidRPr="0035567E" w:rsidP="0035567E">
      <w:pPr>
        <w:bidi w:val="0"/>
        <w:rPr>
          <w:rFonts w:asciiTheme="minorHAnsi" w:hAnsiTheme="minorHAnsi"/>
        </w:rPr>
      </w:pPr>
      <w:r w:rsidRPr="0035567E">
        <w:rPr>
          <w:rFonts w:asciiTheme="minorHAnsi" w:hAnsiTheme="minorHAnsi"/>
        </w:rPr>
        <w:t>4.</w:t>
      </w:r>
      <w:r w:rsidRPr="0035567E">
        <w:rPr>
          <w:rFonts w:asciiTheme="minorHAnsi" w:hAnsiTheme="minorHAnsi"/>
        </w:rPr>
        <w:tab/>
        <w:t xml:space="preserve"> </w:t>
      </w:r>
      <w:r w:rsidRPr="0035567E">
        <w:rPr>
          <w:rFonts w:asciiTheme="minorHAnsi" w:hAnsiTheme="minorHAnsi"/>
        </w:rPr>
        <w:t>date</w:t>
      </w:r>
      <w:r w:rsidRPr="0035567E">
        <w:rPr>
          <w:rFonts w:asciiTheme="minorHAnsi" w:hAnsiTheme="minorHAnsi"/>
        </w:rPr>
        <w:t xml:space="preserve"> fixed for trial. </w:t>
      </w:r>
    </w:p>
    <w:p w:rsidR="0035567E" w:rsidRPr="0035567E" w:rsidP="0035567E">
      <w:pPr>
        <w:bidi w:val="0"/>
        <w:rPr>
          <w:rFonts w:asciiTheme="minorHAnsi" w:hAnsiTheme="minorHAnsi"/>
        </w:rPr>
      </w:pPr>
      <w:r w:rsidRPr="0035567E">
        <w:rPr>
          <w:rFonts w:asciiTheme="minorHAnsi" w:hAnsiTheme="minorHAnsi"/>
        </w:rPr>
        <w:t>5.</w:t>
      </w:r>
      <w:r w:rsidRPr="0035567E">
        <w:rPr>
          <w:rFonts w:asciiTheme="minorHAnsi" w:hAnsiTheme="minorHAnsi"/>
        </w:rPr>
        <w:tab/>
        <w:t xml:space="preserve"> </w:t>
      </w:r>
      <w:r w:rsidRPr="0035567E">
        <w:rPr>
          <w:rFonts w:asciiTheme="minorHAnsi" w:hAnsiTheme="minorHAnsi"/>
        </w:rPr>
        <w:t>Defence</w:t>
      </w:r>
      <w:r w:rsidRPr="0035567E">
        <w:rPr>
          <w:rFonts w:asciiTheme="minorHAnsi" w:hAnsiTheme="minorHAnsi"/>
        </w:rPr>
        <w:t xml:space="preserve"> when time has elapsed following the days from service of Particulars of Claim on the Defendant (CPR 15.5) </w:t>
      </w:r>
    </w:p>
    <w:p w:rsidR="0035567E" w:rsidRPr="0035567E" w:rsidP="0035567E">
      <w:pPr>
        <w:bidi w:val="0"/>
        <w:rPr>
          <w:rFonts w:asciiTheme="minorHAnsi" w:hAnsiTheme="minorHAnsi"/>
        </w:rPr>
      </w:pPr>
      <w:r w:rsidRPr="0035567E">
        <w:rPr>
          <w:rFonts w:asciiTheme="minorHAnsi" w:hAnsiTheme="minorHAnsi"/>
        </w:rPr>
        <w:t>Where parties have extended a time limit by agreement, the party for whom the time has been extended must advise the Registry Section in writing of the appropriate event in the proceedings for which the time has been extended and the new date by</w:t>
      </w:r>
      <w:r>
        <w:rPr>
          <w:rFonts w:asciiTheme="minorHAnsi" w:hAnsiTheme="minorHAnsi"/>
        </w:rPr>
        <w:t xml:space="preserve"> </w:t>
      </w:r>
      <w:r w:rsidRPr="0035567E">
        <w:rPr>
          <w:rFonts w:asciiTheme="minorHAnsi" w:hAnsiTheme="minorHAnsi"/>
        </w:rPr>
        <w:t xml:space="preserve">which it must be done. For example, if an extension is agreed for the filing of the </w:t>
      </w:r>
      <w:r w:rsidRPr="0035567E">
        <w:rPr>
          <w:rFonts w:asciiTheme="minorHAnsi" w:hAnsiTheme="minorHAnsi"/>
        </w:rPr>
        <w:t>defence</w:t>
      </w:r>
      <w:r w:rsidRPr="0035567E">
        <w:rPr>
          <w:rFonts w:asciiTheme="minorHAnsi" w:hAnsiTheme="minorHAnsi"/>
        </w:rPr>
        <w:t xml:space="preserve">, it is for the defendant to inform the Registry Section. </w:t>
      </w:r>
    </w:p>
    <w:p w:rsidR="0035567E" w:rsidRPr="0035567E" w:rsidP="0035567E">
      <w:pPr>
        <w:bidi w:val="0"/>
        <w:rPr>
          <w:rFonts w:asciiTheme="minorHAnsi" w:hAnsiTheme="minorHAnsi"/>
        </w:rPr>
      </w:pPr>
      <w:r w:rsidRPr="0035567E">
        <w:rPr>
          <w:rFonts w:asciiTheme="minorHAnsi" w:hAnsiTheme="minorHAnsi"/>
        </w:rPr>
        <w:t xml:space="preserve">2.3.3 </w:t>
      </w:r>
      <w:r w:rsidRPr="00241BB4">
        <w:rPr>
          <w:rFonts w:asciiTheme="minorHAnsi" w:hAnsiTheme="minorHAnsi"/>
          <w:b/>
          <w:bCs/>
        </w:rPr>
        <w:t xml:space="preserve">The court has power to impose a sanction on any party who fails to comply with a time limit. If the court considers that a prior warning should be given before a sanction is imposed, it will make an ‘unless’ order; in other words, the court will order that, unless that party performs his/her obligation by the time specified, s/he will be </w:t>
      </w:r>
      <w:r w:rsidRPr="00241BB4">
        <w:rPr>
          <w:rFonts w:asciiTheme="minorHAnsi" w:hAnsiTheme="minorHAnsi"/>
          <w:b/>
          <w:bCs/>
        </w:rPr>
        <w:t>penalised</w:t>
      </w:r>
      <w:r w:rsidRPr="00241BB4">
        <w:rPr>
          <w:rFonts w:asciiTheme="minorHAnsi" w:hAnsiTheme="minorHAnsi"/>
          <w:b/>
          <w:bCs/>
        </w:rPr>
        <w:t xml:space="preserve"> in the manner set out in the order. This may involve the party in default having his/her claim or statement of case struck out and judgment given against him.</w:t>
      </w:r>
      <w:r w:rsidRPr="0035567E">
        <w:rPr>
          <w:rFonts w:asciiTheme="minorHAnsi" w:hAnsiTheme="minorHAnsi"/>
        </w:rPr>
        <w:t xml:space="preserve"> </w:t>
      </w:r>
    </w:p>
    <w:p w:rsidR="001F3B71" w:rsidRPr="001F3B71" w:rsidP="0035567E">
      <w:pPr>
        <w:bidi w:val="0"/>
        <w:rPr>
          <w:rFonts w:asciiTheme="minorHAnsi" w:hAnsiTheme="minorHAnsi"/>
        </w:rPr>
      </w:pPr>
      <w:r w:rsidRPr="0035567E">
        <w:rPr>
          <w:rFonts w:asciiTheme="minorHAnsi" w:hAnsiTheme="minorHAnsi"/>
        </w:rPr>
        <w:t xml:space="preserve">An Order striking out a claim or statement of case must be applied for after the time </w:t>
      </w:r>
      <w:r>
        <w:rPr>
          <w:rFonts w:asciiTheme="minorHAnsi" w:hAnsiTheme="minorHAnsi"/>
        </w:rPr>
        <w:t xml:space="preserve">specified </w:t>
      </w:r>
      <w:r w:rsidRPr="0035567E">
        <w:rPr>
          <w:rFonts w:asciiTheme="minorHAnsi" w:hAnsiTheme="minorHAnsi"/>
        </w:rPr>
        <w:t>has expired, as this is not automatic unless the Unless Order so provides.</w:t>
      </w:r>
    </w:p>
    <w:sectPr w:rsidSect="006915A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971457"/>
    <w:multiLevelType w:val="hybridMultilevel"/>
    <w:tmpl w:val="FE2469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F3B71"/>
    <w:rsid w:val="000F2A5C"/>
    <w:rsid w:val="001F3B71"/>
    <w:rsid w:val="00241BB4"/>
    <w:rsid w:val="0035567E"/>
    <w:rsid w:val="004340B7"/>
    <w:rsid w:val="00603249"/>
    <w:rsid w:val="00662F64"/>
    <w:rsid w:val="006915A5"/>
    <w:rsid w:val="007C0DF6"/>
    <w:rsid w:val="00AB2F67"/>
    <w:rsid w:val="00C03E27"/>
    <w:rsid w:val="00C27B42"/>
    <w:rsid w:val="00C512E9"/>
    <w:rsid w:val="00D36F56"/>
    <w:rsid w:val="00FE20CE"/>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0B7"/>
    <w:pPr>
      <w:bidi/>
    </w:pPr>
    <w:rPr>
      <w:sz w:val="24"/>
      <w:szCs w:val="24"/>
      <w:lang w:eastAsia="he-IL"/>
    </w:rPr>
  </w:style>
  <w:style w:type="paragraph" w:styleId="Heading1">
    <w:name w:val="heading 1"/>
    <w:basedOn w:val="Normal"/>
    <w:next w:val="Normal"/>
    <w:link w:val="Heading1Char"/>
    <w:qFormat/>
    <w:rsid w:val="004340B7"/>
    <w:pPr>
      <w:keepNext/>
      <w:autoSpaceDE w:val="0"/>
      <w:autoSpaceDN w:val="0"/>
      <w:adjustRightInd w:val="0"/>
      <w:spacing w:before="100" w:beforeAutospacing="1" w:after="100" w:afterAutospacing="1" w:line="360" w:lineRule="auto"/>
      <w:outlineLvl w:val="0"/>
    </w:pPr>
    <w:rPr>
      <w:rFonts w:ascii="Arial" w:hAnsi="Arial" w:cs="Arial"/>
      <w:sz w:val="28"/>
      <w:szCs w:val="28"/>
      <w:lang w:eastAsia="en-US"/>
    </w:rPr>
  </w:style>
  <w:style w:type="paragraph" w:styleId="Heading2">
    <w:name w:val="heading 2"/>
    <w:basedOn w:val="Normal"/>
    <w:next w:val="Normal"/>
    <w:link w:val="Heading2Char"/>
    <w:qFormat/>
    <w:rsid w:val="004340B7"/>
    <w:pPr>
      <w:keepNext/>
      <w:pBdr>
        <w:bottom w:val="single" w:sz="4" w:space="1" w:color="auto"/>
      </w:pBdr>
      <w:autoSpaceDE w:val="0"/>
      <w:autoSpaceDN w:val="0"/>
      <w:adjustRightInd w:val="0"/>
      <w:jc w:val="center"/>
      <w:outlineLvl w:val="1"/>
    </w:pPr>
    <w:rPr>
      <w:rFonts w:ascii="Arial" w:hAnsi="Arial" w:cs="Arial"/>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40B7"/>
    <w:rPr>
      <w:rFonts w:ascii="Arial" w:hAnsi="Arial" w:cs="Arial"/>
      <w:sz w:val="28"/>
      <w:szCs w:val="28"/>
    </w:rPr>
  </w:style>
  <w:style w:type="character" w:customStyle="1" w:styleId="Heading2Char">
    <w:name w:val="Heading 2 Char"/>
    <w:basedOn w:val="DefaultParagraphFont"/>
    <w:link w:val="Heading2"/>
    <w:rsid w:val="004340B7"/>
    <w:rPr>
      <w:rFonts w:ascii="Arial" w:hAnsi="Arial" w:cs="Arial"/>
      <w:sz w:val="28"/>
      <w:szCs w:val="28"/>
    </w:rPr>
  </w:style>
  <w:style w:type="character" w:styleId="Strong">
    <w:name w:val="Strong"/>
    <w:basedOn w:val="DefaultParagraphFont"/>
    <w:qFormat/>
    <w:rsid w:val="004340B7"/>
    <w:rPr>
      <w:b/>
      <w:bCs/>
    </w:rPr>
  </w:style>
  <w:style w:type="paragraph" w:styleId="ListParagraph">
    <w:name w:val="List Paragraph"/>
    <w:basedOn w:val="Normal"/>
    <w:uiPriority w:val="34"/>
    <w:qFormat/>
    <w:rsid w:val="004340B7"/>
    <w:pPr>
      <w:ind w:left="720"/>
      <w:contextualSpacing/>
    </w:pPr>
  </w:style>
  <w:style w:type="character" w:styleId="Hyperlink">
    <w:name w:val="Hyperlink"/>
    <w:basedOn w:val="DefaultParagraphFont"/>
    <w:uiPriority w:val="99"/>
    <w:unhideWhenUsed/>
    <w:rsid w:val="0035567E"/>
    <w:rPr>
      <w:color w:val="0000FF" w:themeColor="hyperlink"/>
      <w:u w:val="single"/>
    </w:rPr>
  </w:style>
  <w:style w:type="character" w:customStyle="1" w:styleId="print">
    <w:name w:val="print"/>
    <w:basedOn w:val="DefaultParagraphFont"/>
    <w:rsid w:val="00241BB4"/>
  </w:style>
  <w:style w:type="character" w:customStyle="1" w:styleId="noparentintit">
    <w:name w:val="noparentintit"/>
    <w:basedOn w:val="DefaultParagraphFont"/>
    <w:rsid w:val="00241BB4"/>
  </w:style>
  <w:style w:type="character" w:customStyle="1" w:styleId="apple-converted-space">
    <w:name w:val="apple-converted-space"/>
    <w:basedOn w:val="DefaultParagraphFont"/>
    <w:rsid w:val="00241BB4"/>
  </w:style>
  <w:style w:type="character" w:customStyle="1" w:styleId="nobold">
    <w:name w:val="nobold"/>
    <w:basedOn w:val="DefaultParagraphFont"/>
    <w:rsid w:val="00241BB4"/>
  </w:style>
  <w:style w:type="paragraph" w:styleId="BalloonText">
    <w:name w:val="Balloon Text"/>
    <w:basedOn w:val="Normal"/>
    <w:link w:val="BalloonTextChar"/>
    <w:uiPriority w:val="99"/>
    <w:semiHidden/>
    <w:unhideWhenUsed/>
    <w:rsid w:val="00C03E27"/>
    <w:rPr>
      <w:rFonts w:ascii="Tahoma" w:hAnsi="Tahoma" w:cs="Tahoma"/>
      <w:sz w:val="16"/>
      <w:szCs w:val="16"/>
    </w:rPr>
  </w:style>
  <w:style w:type="character" w:customStyle="1" w:styleId="BalloonTextChar">
    <w:name w:val="Balloon Text Char"/>
    <w:basedOn w:val="DefaultParagraphFont"/>
    <w:link w:val="BalloonText"/>
    <w:uiPriority w:val="99"/>
    <w:semiHidden/>
    <w:rsid w:val="00C03E27"/>
    <w:rPr>
      <w:rFonts w:ascii="Tahoma" w:hAnsi="Tahoma" w:cs="Tahoma"/>
      <w:sz w:val="16"/>
      <w:szCs w:val="16"/>
      <w:lang w:eastAsia="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image" Target="media/image3.jpeg" /><Relationship Id="rId12" Type="http://schemas.openxmlformats.org/officeDocument/2006/relationships/hyperlink" Target="https://www.justice.gov.uk/downloads/courts/queens-bench/queen-bench-guide.pdf"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attorneygeneral.jus.gov.on.ca/english/courts/civil/changes_to_rules_of_civil_procedure.asp" TargetMode="External" /><Relationship Id="rId5" Type="http://schemas.openxmlformats.org/officeDocument/2006/relationships/hyperlink" Target="http://www.attorneygeneral.jus.gov.on.ca/english/courts/civil/changes_to_rules_of_civil_procedure_flowcharts.pdf#page=4" TargetMode="External" /><Relationship Id="rId6" Type="http://schemas.openxmlformats.org/officeDocument/2006/relationships/hyperlink" Target="http://www.justice.gouv.qc.ca/english/sujets/glossaire/code-proc-a.htm#highlights" TargetMode="External" /><Relationship Id="rId7" Type="http://schemas.openxmlformats.org/officeDocument/2006/relationships/hyperlink" Target="http://www2.publicationsduquebec.gouv.qc.ca/dynamicSearch/telecharge.php?type=2&amp;file=/C_25/C25_A.HTM" TargetMode="External" /><Relationship Id="rId8" Type="http://schemas.openxmlformats.org/officeDocument/2006/relationships/hyperlink" Target="http://www.hilldickinson.com/pdf/The%20English%20Civil%20Procedure%20Rules.pdf" TargetMode="External" /><Relationship Id="rId9" Type="http://schemas.openxmlformats.org/officeDocument/2006/relationships/image" Target="media/image1.jpe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