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C95" w:rsidRDefault="00B02C95" w:rsidP="00AB3778">
      <w:pPr>
        <w:ind w:left="6513"/>
        <w:rPr>
          <w:b/>
          <w:bCs/>
          <w:rtl/>
        </w:rPr>
      </w:pPr>
    </w:p>
    <w:p w:rsidR="00AB3778" w:rsidRPr="003A0A84" w:rsidRDefault="00AB3778" w:rsidP="00DF412A">
      <w:pPr>
        <w:ind w:left="5618"/>
        <w:rPr>
          <w:b/>
          <w:bCs/>
          <w:rtl/>
        </w:rPr>
      </w:pPr>
      <w:r w:rsidRPr="003A0A84">
        <w:rPr>
          <w:b/>
          <w:bCs/>
          <w:rtl/>
        </w:rPr>
        <w:t>ירושלים</w:t>
      </w:r>
    </w:p>
    <w:p w:rsidR="00224DA1" w:rsidRDefault="00224DA1" w:rsidP="00DF412A">
      <w:pPr>
        <w:ind w:left="5618"/>
        <w:rPr>
          <w:rtl/>
        </w:rPr>
      </w:pPr>
      <w:bookmarkStart w:id="0" w:name="Date"/>
      <w:bookmarkEnd w:id="0"/>
      <w:r>
        <w:rPr>
          <w:rtl/>
        </w:rPr>
        <w:t>כ"ח בתשרי התשע"ו</w:t>
      </w:r>
      <w:r>
        <w:rPr>
          <w:rtl/>
        </w:rPr>
        <w:br/>
        <w:t>11 באוקטובר 2015</w:t>
      </w:r>
    </w:p>
    <w:p w:rsidR="00224DA1" w:rsidRDefault="00224DA1" w:rsidP="00DF412A">
      <w:pPr>
        <w:ind w:left="5618"/>
        <w:rPr>
          <w:rtl/>
        </w:rPr>
      </w:pPr>
      <w:bookmarkStart w:id="1" w:name="Adding01"/>
      <w:bookmarkEnd w:id="1"/>
      <w:r>
        <w:rPr>
          <w:rFonts w:hint="eastAsia"/>
          <w:rtl/>
        </w:rPr>
        <w:t>חוזר</w:t>
      </w:r>
      <w:r>
        <w:rPr>
          <w:rtl/>
        </w:rPr>
        <w:t xml:space="preserve"> עובדים בכירים שכר ותנאי עבודה מנכ''לים ובכירים</w:t>
      </w:r>
      <w:r>
        <w:rPr>
          <w:rtl/>
        </w:rPr>
        <w:br/>
        <w:t>2015-3-2</w:t>
      </w:r>
    </w:p>
    <w:p w:rsidR="00224DA1" w:rsidRDefault="00224DA1" w:rsidP="00C463DE">
      <w:pPr>
        <w:rPr>
          <w:rtl/>
        </w:rPr>
      </w:pPr>
      <w:bookmarkStart w:id="2" w:name="MainTo"/>
      <w:bookmarkEnd w:id="2"/>
    </w:p>
    <w:p w:rsidR="006213D4" w:rsidRDefault="006213D4" w:rsidP="00C463DE">
      <w:pPr>
        <w:rPr>
          <w:rtl/>
        </w:rPr>
      </w:pPr>
    </w:p>
    <w:p w:rsidR="006213D4" w:rsidRDefault="006213D4" w:rsidP="00C463DE">
      <w:pPr>
        <w:rPr>
          <w:rtl/>
        </w:rPr>
      </w:pPr>
    </w:p>
    <w:tbl>
      <w:tblPr>
        <w:bidiVisual/>
        <w:tblW w:w="8278" w:type="dxa"/>
        <w:tblLook w:val="01E0" w:firstRow="1" w:lastRow="1" w:firstColumn="1" w:lastColumn="1" w:noHBand="0" w:noVBand="0"/>
      </w:tblPr>
      <w:tblGrid>
        <w:gridCol w:w="2324"/>
        <w:gridCol w:w="552"/>
        <w:gridCol w:w="2425"/>
        <w:gridCol w:w="466"/>
        <w:gridCol w:w="2511"/>
      </w:tblGrid>
      <w:tr w:rsidR="006213D4" w:rsidRPr="00F1288D" w:rsidTr="006213D4">
        <w:trPr>
          <w:trHeight w:val="690"/>
        </w:trPr>
        <w:tc>
          <w:tcPr>
            <w:tcW w:w="2324" w:type="dxa"/>
            <w:tcBorders>
              <w:bottom w:val="single" w:sz="4" w:space="0" w:color="auto"/>
            </w:tcBorders>
          </w:tcPr>
          <w:p w:rsidR="006213D4" w:rsidRPr="00F1288D" w:rsidRDefault="006213D4" w:rsidP="006213D4">
            <w:pPr>
              <w:jc w:val="both"/>
              <w:rPr>
                <w:rtl/>
              </w:rPr>
            </w:pPr>
            <w:r w:rsidRPr="00F1288D">
              <w:rPr>
                <w:rFonts w:hint="cs"/>
                <w:rtl/>
              </w:rPr>
              <w:t>לכבוד</w:t>
            </w:r>
          </w:p>
          <w:p w:rsidR="006213D4" w:rsidRPr="00F1288D" w:rsidRDefault="006213D4" w:rsidP="006213D4">
            <w:pPr>
              <w:jc w:val="both"/>
              <w:rPr>
                <w:rtl/>
              </w:rPr>
            </w:pPr>
          </w:p>
          <w:p w:rsidR="006213D4" w:rsidRPr="00153DDB" w:rsidRDefault="006213D4" w:rsidP="006213D4">
            <w:pPr>
              <w:jc w:val="both"/>
              <w:rPr>
                <w:u w:val="single"/>
                <w:rtl/>
              </w:rPr>
            </w:pPr>
          </w:p>
        </w:tc>
        <w:tc>
          <w:tcPr>
            <w:tcW w:w="552" w:type="dxa"/>
          </w:tcPr>
          <w:p w:rsidR="006213D4" w:rsidRDefault="006213D4">
            <w:pPr>
              <w:widowControl/>
              <w:bidi w:val="0"/>
              <w:rPr>
                <w:u w:val="single"/>
                <w:rtl/>
              </w:rPr>
            </w:pPr>
          </w:p>
          <w:p w:rsidR="006213D4" w:rsidRDefault="006213D4">
            <w:pPr>
              <w:widowControl/>
              <w:bidi w:val="0"/>
              <w:rPr>
                <w:u w:val="single"/>
                <w:rtl/>
              </w:rPr>
            </w:pPr>
          </w:p>
          <w:p w:rsidR="006213D4" w:rsidRPr="00153DDB" w:rsidRDefault="006213D4" w:rsidP="006213D4">
            <w:pPr>
              <w:jc w:val="both"/>
              <w:rPr>
                <w:u w:val="single"/>
                <w:rtl/>
              </w:rPr>
            </w:pPr>
          </w:p>
        </w:tc>
        <w:tc>
          <w:tcPr>
            <w:tcW w:w="2425" w:type="dxa"/>
            <w:tcBorders>
              <w:bottom w:val="single" w:sz="4" w:space="0" w:color="auto"/>
            </w:tcBorders>
          </w:tcPr>
          <w:p w:rsidR="006213D4" w:rsidRPr="00F1288D" w:rsidRDefault="006213D4" w:rsidP="006213D4">
            <w:pPr>
              <w:jc w:val="both"/>
              <w:rPr>
                <w:rtl/>
              </w:rPr>
            </w:pPr>
            <w:r w:rsidRPr="00F1288D">
              <w:rPr>
                <w:rFonts w:hint="cs"/>
                <w:rtl/>
              </w:rPr>
              <w:t>לכבוד</w:t>
            </w:r>
          </w:p>
          <w:p w:rsidR="006213D4" w:rsidRPr="00F1288D" w:rsidRDefault="006213D4" w:rsidP="006213D4">
            <w:pPr>
              <w:jc w:val="both"/>
              <w:rPr>
                <w:rtl/>
              </w:rPr>
            </w:pPr>
          </w:p>
          <w:p w:rsidR="006213D4" w:rsidRPr="00F1288D" w:rsidRDefault="006213D4" w:rsidP="006213D4">
            <w:pPr>
              <w:jc w:val="both"/>
              <w:rPr>
                <w:rtl/>
              </w:rPr>
            </w:pPr>
          </w:p>
        </w:tc>
        <w:tc>
          <w:tcPr>
            <w:tcW w:w="466" w:type="dxa"/>
          </w:tcPr>
          <w:p w:rsidR="006213D4" w:rsidRDefault="006213D4">
            <w:pPr>
              <w:widowControl/>
              <w:bidi w:val="0"/>
              <w:rPr>
                <w:rtl/>
              </w:rPr>
            </w:pPr>
          </w:p>
          <w:p w:rsidR="006213D4" w:rsidRDefault="006213D4">
            <w:pPr>
              <w:widowControl/>
              <w:bidi w:val="0"/>
              <w:rPr>
                <w:rtl/>
              </w:rPr>
            </w:pPr>
          </w:p>
          <w:p w:rsidR="006213D4" w:rsidRPr="00F1288D" w:rsidRDefault="006213D4" w:rsidP="006213D4">
            <w:pPr>
              <w:jc w:val="both"/>
              <w:rPr>
                <w:rtl/>
              </w:rPr>
            </w:pPr>
          </w:p>
        </w:tc>
        <w:tc>
          <w:tcPr>
            <w:tcW w:w="2511" w:type="dxa"/>
            <w:tcBorders>
              <w:bottom w:val="single" w:sz="4" w:space="0" w:color="auto"/>
            </w:tcBorders>
          </w:tcPr>
          <w:p w:rsidR="006213D4" w:rsidRPr="00F1288D" w:rsidRDefault="006213D4" w:rsidP="006213D4">
            <w:pPr>
              <w:jc w:val="both"/>
              <w:rPr>
                <w:rtl/>
              </w:rPr>
            </w:pPr>
            <w:r w:rsidRPr="00F1288D">
              <w:rPr>
                <w:rFonts w:hint="cs"/>
                <w:rtl/>
              </w:rPr>
              <w:t>לכבוד</w:t>
            </w:r>
          </w:p>
          <w:p w:rsidR="006213D4" w:rsidRPr="00F1288D" w:rsidRDefault="006213D4" w:rsidP="006213D4">
            <w:pPr>
              <w:jc w:val="both"/>
              <w:rPr>
                <w:rtl/>
              </w:rPr>
            </w:pPr>
          </w:p>
          <w:p w:rsidR="006213D4" w:rsidRPr="00F1288D" w:rsidRDefault="006213D4" w:rsidP="006213D4">
            <w:pPr>
              <w:jc w:val="both"/>
              <w:rPr>
                <w:rtl/>
              </w:rPr>
            </w:pPr>
          </w:p>
        </w:tc>
      </w:tr>
      <w:tr w:rsidR="006213D4" w:rsidRPr="00F1288D" w:rsidTr="006213D4">
        <w:trPr>
          <w:trHeight w:val="585"/>
        </w:trPr>
        <w:tc>
          <w:tcPr>
            <w:tcW w:w="2324" w:type="dxa"/>
            <w:tcBorders>
              <w:top w:val="single" w:sz="4" w:space="0" w:color="auto"/>
              <w:bottom w:val="single" w:sz="4" w:space="0" w:color="auto"/>
            </w:tcBorders>
          </w:tcPr>
          <w:p w:rsidR="006213D4" w:rsidRPr="00F1288D" w:rsidRDefault="006213D4" w:rsidP="006213D4">
            <w:pPr>
              <w:jc w:val="both"/>
              <w:rPr>
                <w:rtl/>
              </w:rPr>
            </w:pPr>
            <w:r w:rsidRPr="00F1288D">
              <w:rPr>
                <w:rFonts w:hint="cs"/>
                <w:rtl/>
              </w:rPr>
              <w:t>יו"ר הדירקטוריון</w:t>
            </w:r>
          </w:p>
        </w:tc>
        <w:tc>
          <w:tcPr>
            <w:tcW w:w="552" w:type="dxa"/>
          </w:tcPr>
          <w:p w:rsidR="006213D4" w:rsidRPr="00F1288D" w:rsidRDefault="006213D4" w:rsidP="006213D4">
            <w:pPr>
              <w:jc w:val="both"/>
              <w:rPr>
                <w:rtl/>
              </w:rPr>
            </w:pPr>
          </w:p>
        </w:tc>
        <w:tc>
          <w:tcPr>
            <w:tcW w:w="2425" w:type="dxa"/>
            <w:tcBorders>
              <w:top w:val="single" w:sz="4" w:space="0" w:color="auto"/>
              <w:bottom w:val="single" w:sz="4" w:space="0" w:color="auto"/>
            </w:tcBorders>
          </w:tcPr>
          <w:p w:rsidR="006213D4" w:rsidRPr="00F1288D" w:rsidRDefault="006213D4" w:rsidP="006213D4">
            <w:pPr>
              <w:jc w:val="both"/>
              <w:rPr>
                <w:rtl/>
              </w:rPr>
            </w:pPr>
            <w:r w:rsidRPr="00F1288D">
              <w:rPr>
                <w:rFonts w:hint="cs"/>
                <w:rtl/>
              </w:rPr>
              <w:t>מנכ"ל החברה</w:t>
            </w:r>
          </w:p>
          <w:p w:rsidR="006213D4" w:rsidRPr="00F1288D" w:rsidRDefault="006213D4" w:rsidP="006213D4">
            <w:pPr>
              <w:jc w:val="both"/>
              <w:rPr>
                <w:rtl/>
              </w:rPr>
            </w:pPr>
          </w:p>
        </w:tc>
        <w:tc>
          <w:tcPr>
            <w:tcW w:w="466" w:type="dxa"/>
          </w:tcPr>
          <w:p w:rsidR="006213D4" w:rsidRDefault="006213D4">
            <w:pPr>
              <w:widowControl/>
              <w:bidi w:val="0"/>
              <w:rPr>
                <w:rtl/>
              </w:rPr>
            </w:pPr>
          </w:p>
          <w:p w:rsidR="006213D4" w:rsidRPr="00F1288D" w:rsidRDefault="006213D4" w:rsidP="006213D4">
            <w:pPr>
              <w:jc w:val="both"/>
              <w:rPr>
                <w:rtl/>
              </w:rPr>
            </w:pPr>
          </w:p>
        </w:tc>
        <w:tc>
          <w:tcPr>
            <w:tcW w:w="2511" w:type="dxa"/>
            <w:tcBorders>
              <w:top w:val="single" w:sz="4" w:space="0" w:color="auto"/>
              <w:bottom w:val="single" w:sz="4" w:space="0" w:color="auto"/>
            </w:tcBorders>
          </w:tcPr>
          <w:p w:rsidR="006213D4" w:rsidRPr="00F1288D" w:rsidRDefault="00892CAF" w:rsidP="006213D4">
            <w:pPr>
              <w:jc w:val="both"/>
              <w:rPr>
                <w:rtl/>
              </w:rPr>
            </w:pPr>
            <w:r>
              <w:rPr>
                <w:rFonts w:hint="cs"/>
                <w:rtl/>
              </w:rPr>
              <w:t>סמנכ"ל משאבי אנוש</w:t>
            </w:r>
          </w:p>
          <w:p w:rsidR="006213D4" w:rsidRPr="00F1288D" w:rsidRDefault="006213D4" w:rsidP="006213D4">
            <w:pPr>
              <w:jc w:val="both"/>
              <w:rPr>
                <w:rtl/>
              </w:rPr>
            </w:pPr>
          </w:p>
        </w:tc>
      </w:tr>
      <w:tr w:rsidR="006213D4" w:rsidRPr="00F1288D" w:rsidTr="006213D4">
        <w:trPr>
          <w:trHeight w:val="390"/>
        </w:trPr>
        <w:tc>
          <w:tcPr>
            <w:tcW w:w="2324" w:type="dxa"/>
            <w:tcBorders>
              <w:top w:val="single" w:sz="4" w:space="0" w:color="auto"/>
              <w:bottom w:val="single" w:sz="4" w:space="0" w:color="auto"/>
            </w:tcBorders>
          </w:tcPr>
          <w:p w:rsidR="006213D4" w:rsidRPr="00F1288D" w:rsidRDefault="006213D4" w:rsidP="006213D4">
            <w:pPr>
              <w:jc w:val="both"/>
              <w:rPr>
                <w:rtl/>
              </w:rPr>
            </w:pPr>
          </w:p>
        </w:tc>
        <w:tc>
          <w:tcPr>
            <w:tcW w:w="552" w:type="dxa"/>
          </w:tcPr>
          <w:p w:rsidR="006213D4" w:rsidRPr="00F1288D" w:rsidRDefault="006213D4" w:rsidP="006213D4">
            <w:pPr>
              <w:jc w:val="both"/>
              <w:rPr>
                <w:rtl/>
              </w:rPr>
            </w:pPr>
          </w:p>
        </w:tc>
        <w:tc>
          <w:tcPr>
            <w:tcW w:w="2425" w:type="dxa"/>
            <w:tcBorders>
              <w:top w:val="single" w:sz="4" w:space="0" w:color="auto"/>
              <w:bottom w:val="single" w:sz="4" w:space="0" w:color="auto"/>
            </w:tcBorders>
          </w:tcPr>
          <w:p w:rsidR="006213D4" w:rsidRPr="00F1288D" w:rsidRDefault="006213D4" w:rsidP="006213D4">
            <w:pPr>
              <w:jc w:val="both"/>
              <w:rPr>
                <w:rtl/>
              </w:rPr>
            </w:pPr>
          </w:p>
        </w:tc>
        <w:tc>
          <w:tcPr>
            <w:tcW w:w="466" w:type="dxa"/>
          </w:tcPr>
          <w:p w:rsidR="006213D4" w:rsidRPr="00F1288D" w:rsidRDefault="006213D4" w:rsidP="006213D4">
            <w:pPr>
              <w:jc w:val="both"/>
              <w:rPr>
                <w:rtl/>
              </w:rPr>
            </w:pPr>
          </w:p>
        </w:tc>
        <w:tc>
          <w:tcPr>
            <w:tcW w:w="2511" w:type="dxa"/>
            <w:tcBorders>
              <w:top w:val="single" w:sz="4" w:space="0" w:color="auto"/>
              <w:bottom w:val="single" w:sz="4" w:space="0" w:color="auto"/>
            </w:tcBorders>
          </w:tcPr>
          <w:p w:rsidR="006213D4" w:rsidRPr="00F1288D" w:rsidRDefault="006213D4" w:rsidP="006213D4">
            <w:pPr>
              <w:jc w:val="both"/>
              <w:rPr>
                <w:rtl/>
              </w:rPr>
            </w:pPr>
          </w:p>
        </w:tc>
      </w:tr>
    </w:tbl>
    <w:p w:rsidR="00AB3778" w:rsidRPr="003A0A84" w:rsidRDefault="00AB3778" w:rsidP="00AB3778">
      <w:pPr>
        <w:rPr>
          <w:rtl/>
        </w:rPr>
      </w:pPr>
    </w:p>
    <w:p w:rsidR="00A51A16" w:rsidRDefault="00A51A16" w:rsidP="00A51A16">
      <w:pPr>
        <w:ind w:left="651" w:hanging="651"/>
        <w:rPr>
          <w:rtl/>
        </w:rPr>
      </w:pPr>
    </w:p>
    <w:p w:rsidR="00A51A16" w:rsidRDefault="00A51A16" w:rsidP="00A51A16">
      <w:pPr>
        <w:ind w:left="651" w:hanging="651"/>
        <w:rPr>
          <w:rtl/>
        </w:rPr>
      </w:pPr>
    </w:p>
    <w:p w:rsidR="00AB3778" w:rsidRPr="003A0A84" w:rsidRDefault="00AB3778" w:rsidP="00132954">
      <w:pPr>
        <w:ind w:left="651" w:hanging="651"/>
        <w:rPr>
          <w:b/>
          <w:bCs/>
          <w:u w:val="single"/>
          <w:rtl/>
        </w:rPr>
      </w:pPr>
      <w:r w:rsidRPr="003A0A84">
        <w:rPr>
          <w:rtl/>
        </w:rPr>
        <w:t>הנדון:</w:t>
      </w:r>
      <w:r w:rsidR="00965681" w:rsidRPr="00132954">
        <w:rPr>
          <w:rFonts w:hint="cs"/>
          <w:b/>
          <w:bCs/>
          <w:rtl/>
        </w:rPr>
        <w:t xml:space="preserve"> </w:t>
      </w:r>
      <w:r w:rsidR="00132954">
        <w:rPr>
          <w:rFonts w:hint="eastAsia"/>
          <w:b/>
          <w:bCs/>
          <w:u w:val="single"/>
          <w:rtl/>
        </w:rPr>
        <w:t>הוראות</w:t>
      </w:r>
      <w:r w:rsidR="00132954">
        <w:rPr>
          <w:b/>
          <w:bCs/>
          <w:u w:val="single"/>
          <w:rtl/>
        </w:rPr>
        <w:t xml:space="preserve"> בדבר הגבלת תקופת כהונה של פקידים בכירים</w:t>
      </w:r>
    </w:p>
    <w:p w:rsidR="00AB3778" w:rsidRDefault="00AB3778" w:rsidP="00C463DE">
      <w:pPr>
        <w:jc w:val="both"/>
      </w:pPr>
      <w:bookmarkStart w:id="3" w:name="start"/>
      <w:bookmarkStart w:id="4" w:name="_GoBack"/>
      <w:bookmarkEnd w:id="3"/>
      <w:bookmarkEnd w:id="4"/>
    </w:p>
    <w:p w:rsidR="007E0B4E" w:rsidRPr="00553226" w:rsidRDefault="007E0B4E" w:rsidP="00553226">
      <w:pPr>
        <w:pStyle w:val="a8"/>
        <w:ind w:left="374"/>
        <w:jc w:val="both"/>
        <w:rPr>
          <w:b/>
          <w:bCs/>
          <w:u w:val="single"/>
          <w:rtl/>
        </w:rPr>
      </w:pPr>
    </w:p>
    <w:p w:rsidR="007E0B4E" w:rsidRDefault="007E0B4E" w:rsidP="007E0B4E">
      <w:pPr>
        <w:widowControl/>
        <w:numPr>
          <w:ilvl w:val="0"/>
          <w:numId w:val="6"/>
        </w:numPr>
        <w:spacing w:line="360" w:lineRule="auto"/>
        <w:ind w:left="374"/>
        <w:jc w:val="both"/>
        <w:rPr>
          <w:b/>
          <w:bCs/>
          <w:u w:val="single"/>
          <w:rtl/>
        </w:rPr>
      </w:pPr>
      <w:r>
        <w:rPr>
          <w:rFonts w:hint="cs"/>
          <w:b/>
          <w:bCs/>
          <w:u w:val="single"/>
          <w:rtl/>
        </w:rPr>
        <w:t>רקע</w:t>
      </w:r>
    </w:p>
    <w:p w:rsidR="007E0B4E" w:rsidRDefault="007E0B4E" w:rsidP="00553226">
      <w:pPr>
        <w:pStyle w:val="a8"/>
        <w:ind w:left="374"/>
        <w:jc w:val="both"/>
        <w:rPr>
          <w:b/>
          <w:bCs/>
          <w:u w:val="single"/>
        </w:rPr>
      </w:pPr>
    </w:p>
    <w:p w:rsidR="007E0B4E" w:rsidRDefault="00ED664D" w:rsidP="007E0B4E">
      <w:pPr>
        <w:pStyle w:val="Hesber"/>
        <w:ind w:left="344" w:hanging="4"/>
        <w:rPr>
          <w:sz w:val="24"/>
          <w:szCs w:val="24"/>
        </w:rPr>
      </w:pPr>
      <w:r>
        <w:rPr>
          <w:rFonts w:hint="cs"/>
          <w:sz w:val="24"/>
          <w:szCs w:val="24"/>
          <w:rtl/>
        </w:rPr>
        <w:t xml:space="preserve">הפקידים </w:t>
      </w:r>
      <w:r w:rsidR="007E0B4E">
        <w:rPr>
          <w:rFonts w:hint="cs"/>
          <w:sz w:val="24"/>
          <w:szCs w:val="24"/>
          <w:rtl/>
        </w:rPr>
        <w:t>הבכירים בחברות הממשלתיות ובחברות הבנות הממשלתיות, כהגדרתם בסעיף 32(א)(4) לחוק החברות הממשלתיות, התשל"ה-1975 (להלן: "החוק"), מהווים את "חוד החנית" להגשמת יעדיהן ומטרותיהן של החברות. קיום שכבת מנהיגות ניהולית ערכית, בעלת כישורים ההולמים את האתגרים, האחריות והיכולת להתמודד עם הסיכונים המוטלים עליה, הינו תנאי הכרחי להגשמת המטרות והיעדים שנקבעו לחברות הממשלתיות.</w:t>
      </w:r>
    </w:p>
    <w:p w:rsidR="007E0B4E" w:rsidRDefault="007E0B4E" w:rsidP="007E0B4E">
      <w:pPr>
        <w:pStyle w:val="Hesber"/>
        <w:ind w:left="344" w:hanging="4"/>
        <w:rPr>
          <w:sz w:val="24"/>
          <w:szCs w:val="24"/>
          <w:rtl/>
        </w:rPr>
      </w:pPr>
    </w:p>
    <w:p w:rsidR="007E0B4E" w:rsidRDefault="007E0B4E" w:rsidP="00F830B2">
      <w:pPr>
        <w:spacing w:line="360" w:lineRule="auto"/>
        <w:ind w:left="344"/>
        <w:jc w:val="both"/>
        <w:rPr>
          <w:rtl/>
        </w:rPr>
      </w:pPr>
      <w:r>
        <w:rPr>
          <w:rFonts w:hint="cs"/>
          <w:rtl/>
        </w:rPr>
        <w:t>בין יתר תפקידיו, אחראי דירקטוריון החברה לקבוע את תנאי העבודה של הפקידים הבכירים, וזאת בכפוף לכל דין. במסגרת זו, מתבקש דירקטוריון החברה, בהתאם לחוזר זה, לקבוע הוראות לעניין משך הכהונה של המנהלים הכלליים ושל העובדים הבכירים בתפקיד מסוים. חוזר זה מציג מנגנון לקביעת משך הכהונה כאמור. חוזר זה מבוסס על טיוטת מחליטים אשר הוגשה כחלק מהצעת חוק ההסדרים</w:t>
      </w:r>
      <w:r w:rsidR="00787AA7">
        <w:rPr>
          <w:rFonts w:hint="cs"/>
          <w:rtl/>
        </w:rPr>
        <w:t xml:space="preserve"> </w:t>
      </w:r>
      <w:r w:rsidR="00F830B2">
        <w:rPr>
          <w:rFonts w:hint="cs"/>
          <w:rtl/>
        </w:rPr>
        <w:t>ו</w:t>
      </w:r>
      <w:r w:rsidR="00787AA7">
        <w:rPr>
          <w:rFonts w:hint="cs"/>
          <w:rtl/>
        </w:rPr>
        <w:t>אושרה על ידי שר האוצר</w:t>
      </w:r>
      <w:r>
        <w:rPr>
          <w:rFonts w:hint="cs"/>
          <w:rtl/>
        </w:rPr>
        <w:t>.</w:t>
      </w:r>
      <w:r w:rsidR="00C04D44">
        <w:rPr>
          <w:rFonts w:hint="cs"/>
          <w:rtl/>
        </w:rPr>
        <w:t xml:space="preserve"> </w:t>
      </w:r>
    </w:p>
    <w:p w:rsidR="00F830B2" w:rsidRDefault="00F830B2" w:rsidP="007E0B4E">
      <w:pPr>
        <w:spacing w:line="360" w:lineRule="auto"/>
        <w:ind w:left="344"/>
        <w:jc w:val="both"/>
        <w:rPr>
          <w:rtl/>
        </w:rPr>
      </w:pPr>
    </w:p>
    <w:p w:rsidR="007E0B4E" w:rsidRDefault="007E0B4E" w:rsidP="007E0B4E">
      <w:pPr>
        <w:spacing w:line="360" w:lineRule="auto"/>
        <w:ind w:left="344"/>
        <w:jc w:val="both"/>
        <w:rPr>
          <w:rtl/>
        </w:rPr>
      </w:pPr>
      <w:r>
        <w:rPr>
          <w:rFonts w:hint="cs"/>
          <w:rtl/>
        </w:rPr>
        <w:t xml:space="preserve">בהתאם לסעיף 32(א)(8) לחוק, אבקש להעלות את תוכן החוזר על סדר יומו של הדירקטוריון תוך 45 ימים ממועד פרסומו. </w:t>
      </w:r>
    </w:p>
    <w:p w:rsidR="007E0B4E" w:rsidRDefault="007E0B4E" w:rsidP="007E0B4E">
      <w:pPr>
        <w:spacing w:line="360" w:lineRule="auto"/>
        <w:ind w:left="344"/>
        <w:jc w:val="both"/>
        <w:rPr>
          <w:rtl/>
        </w:rPr>
      </w:pPr>
    </w:p>
    <w:p w:rsidR="00132954" w:rsidRDefault="00132954" w:rsidP="007E0B4E">
      <w:pPr>
        <w:spacing w:line="360" w:lineRule="auto"/>
        <w:ind w:left="344"/>
        <w:jc w:val="both"/>
        <w:rPr>
          <w:rtl/>
        </w:rPr>
      </w:pPr>
    </w:p>
    <w:p w:rsidR="00132954" w:rsidRDefault="00132954" w:rsidP="007E0B4E">
      <w:pPr>
        <w:spacing w:line="360" w:lineRule="auto"/>
        <w:ind w:left="344"/>
        <w:jc w:val="both"/>
        <w:rPr>
          <w:rtl/>
        </w:rPr>
      </w:pPr>
    </w:p>
    <w:p w:rsidR="00553226" w:rsidRPr="00553226" w:rsidRDefault="00553226" w:rsidP="00553226">
      <w:pPr>
        <w:widowControl/>
        <w:spacing w:line="360" w:lineRule="auto"/>
        <w:ind w:left="374"/>
        <w:jc w:val="both"/>
        <w:rPr>
          <w:b/>
          <w:bCs/>
          <w:u w:val="single"/>
        </w:rPr>
      </w:pPr>
    </w:p>
    <w:p w:rsidR="00553226" w:rsidRPr="00553226" w:rsidRDefault="00553226" w:rsidP="00553226">
      <w:pPr>
        <w:widowControl/>
        <w:spacing w:line="360" w:lineRule="auto"/>
        <w:jc w:val="both"/>
        <w:rPr>
          <w:b/>
          <w:bCs/>
          <w:u w:val="single"/>
        </w:rPr>
      </w:pPr>
    </w:p>
    <w:p w:rsidR="007E0B4E" w:rsidRDefault="007E0B4E" w:rsidP="007E0B4E">
      <w:pPr>
        <w:widowControl/>
        <w:numPr>
          <w:ilvl w:val="0"/>
          <w:numId w:val="6"/>
        </w:numPr>
        <w:spacing w:line="360" w:lineRule="auto"/>
        <w:ind w:left="374"/>
        <w:jc w:val="both"/>
        <w:rPr>
          <w:b/>
          <w:bCs/>
          <w:u w:val="single"/>
          <w:rtl/>
        </w:rPr>
      </w:pPr>
      <w:r>
        <w:rPr>
          <w:rFonts w:hint="cs"/>
          <w:b/>
          <w:bCs/>
          <w:u w:val="single"/>
          <w:rtl/>
        </w:rPr>
        <w:lastRenderedPageBreak/>
        <w:t>מטרה</w:t>
      </w:r>
    </w:p>
    <w:p w:rsidR="007E0B4E" w:rsidRDefault="007E0B4E" w:rsidP="00553226">
      <w:pPr>
        <w:pStyle w:val="a8"/>
        <w:ind w:left="374"/>
        <w:jc w:val="both"/>
        <w:rPr>
          <w:b/>
          <w:bCs/>
          <w:u w:val="single"/>
        </w:rPr>
      </w:pPr>
    </w:p>
    <w:p w:rsidR="007E0B4E" w:rsidRDefault="007E0B4E" w:rsidP="007E0B4E">
      <w:pPr>
        <w:widowControl/>
        <w:numPr>
          <w:ilvl w:val="0"/>
          <w:numId w:val="7"/>
        </w:numPr>
        <w:spacing w:line="360" w:lineRule="auto"/>
        <w:ind w:left="799" w:hanging="425"/>
        <w:jc w:val="both"/>
      </w:pPr>
      <w:r>
        <w:rPr>
          <w:rFonts w:hint="cs"/>
          <w:rtl/>
        </w:rPr>
        <w:t xml:space="preserve">יצירת מוביליות, שימור מצוינות ומניעת קיבעון ארגוני בחברות הממשלתיות. </w:t>
      </w:r>
    </w:p>
    <w:p w:rsidR="007E0B4E" w:rsidRDefault="007E0B4E" w:rsidP="007E0B4E">
      <w:pPr>
        <w:widowControl/>
        <w:numPr>
          <w:ilvl w:val="0"/>
          <w:numId w:val="7"/>
        </w:numPr>
        <w:spacing w:line="360" w:lineRule="auto"/>
        <w:ind w:left="799" w:hanging="425"/>
        <w:jc w:val="both"/>
      </w:pPr>
      <w:r>
        <w:rPr>
          <w:rFonts w:hint="cs"/>
          <w:rtl/>
        </w:rPr>
        <w:t>עידוד חדשנות ומתן אפשרות לשינוי בתרבות הארגונית של החברה.</w:t>
      </w:r>
    </w:p>
    <w:p w:rsidR="007E0B4E" w:rsidRDefault="007E0B4E" w:rsidP="007E0B4E">
      <w:pPr>
        <w:widowControl/>
        <w:numPr>
          <w:ilvl w:val="0"/>
          <w:numId w:val="7"/>
        </w:numPr>
        <w:spacing w:line="360" w:lineRule="auto"/>
        <w:ind w:left="799" w:hanging="425"/>
        <w:jc w:val="both"/>
      </w:pPr>
      <w:r>
        <w:rPr>
          <w:rFonts w:hint="cs"/>
          <w:rtl/>
        </w:rPr>
        <w:t>קידום מנהלים מדרגי הביניים בחברות.</w:t>
      </w:r>
    </w:p>
    <w:p w:rsidR="007E0B4E" w:rsidRPr="00553226" w:rsidRDefault="007E0B4E" w:rsidP="00553226">
      <w:pPr>
        <w:pStyle w:val="a8"/>
        <w:ind w:left="374"/>
        <w:jc w:val="both"/>
        <w:rPr>
          <w:b/>
          <w:bCs/>
          <w:u w:val="single"/>
        </w:rPr>
      </w:pPr>
    </w:p>
    <w:p w:rsidR="007E0B4E" w:rsidRDefault="007E0B4E" w:rsidP="007E0B4E">
      <w:pPr>
        <w:widowControl/>
        <w:spacing w:line="360" w:lineRule="auto"/>
        <w:ind w:left="374" w:hanging="374"/>
        <w:jc w:val="both"/>
        <w:rPr>
          <w:rtl/>
        </w:rPr>
      </w:pPr>
      <w:r>
        <w:rPr>
          <w:rFonts w:hint="cs"/>
          <w:b/>
          <w:bCs/>
          <w:rtl/>
        </w:rPr>
        <w:t xml:space="preserve"> ג.  </w:t>
      </w:r>
      <w:r>
        <w:rPr>
          <w:rFonts w:hint="cs"/>
          <w:b/>
          <w:bCs/>
          <w:u w:val="single"/>
          <w:rtl/>
        </w:rPr>
        <w:t>עקרונות</w:t>
      </w:r>
    </w:p>
    <w:p w:rsidR="007E0B4E" w:rsidRPr="00553226" w:rsidRDefault="007E0B4E" w:rsidP="00553226">
      <w:pPr>
        <w:pStyle w:val="a8"/>
        <w:ind w:left="374"/>
        <w:jc w:val="both"/>
        <w:rPr>
          <w:b/>
          <w:bCs/>
          <w:u w:val="single"/>
          <w:rtl/>
        </w:rPr>
      </w:pPr>
    </w:p>
    <w:p w:rsidR="007E0B4E" w:rsidRDefault="007E0B4E" w:rsidP="00D91311">
      <w:pPr>
        <w:pStyle w:val="Hesber"/>
        <w:numPr>
          <w:ilvl w:val="0"/>
          <w:numId w:val="8"/>
        </w:numPr>
        <w:textAlignment w:val="auto"/>
        <w:rPr>
          <w:sz w:val="24"/>
          <w:szCs w:val="24"/>
          <w:rtl/>
        </w:rPr>
      </w:pPr>
      <w:r>
        <w:rPr>
          <w:rFonts w:hint="cs"/>
          <w:sz w:val="24"/>
          <w:szCs w:val="24"/>
          <w:rtl/>
        </w:rPr>
        <w:t xml:space="preserve">בהתאם למנגנון אשר יפורט בחוזר זה, תקופת הכהונה הראשונה של </w:t>
      </w:r>
      <w:r w:rsidR="00D91311">
        <w:rPr>
          <w:rFonts w:hint="cs"/>
          <w:sz w:val="24"/>
          <w:szCs w:val="24"/>
          <w:rtl/>
        </w:rPr>
        <w:t xml:space="preserve">פקיד </w:t>
      </w:r>
      <w:r>
        <w:rPr>
          <w:rFonts w:hint="cs"/>
          <w:sz w:val="24"/>
          <w:szCs w:val="24"/>
          <w:rtl/>
        </w:rPr>
        <w:t>בכיר לא תעלה על חמש שנים. זאת בדומה לתקופות הכהונה של עובדים בכירים הנהוגות במגזר הפרטי.</w:t>
      </w:r>
    </w:p>
    <w:p w:rsidR="007E0B4E" w:rsidRDefault="007E0B4E" w:rsidP="00A44557">
      <w:pPr>
        <w:pStyle w:val="Hesber"/>
        <w:numPr>
          <w:ilvl w:val="0"/>
          <w:numId w:val="8"/>
        </w:numPr>
        <w:textAlignment w:val="auto"/>
        <w:rPr>
          <w:sz w:val="24"/>
          <w:szCs w:val="24"/>
          <w:rtl/>
        </w:rPr>
      </w:pPr>
      <w:r>
        <w:rPr>
          <w:rFonts w:hint="cs"/>
          <w:sz w:val="24"/>
          <w:szCs w:val="24"/>
          <w:rtl/>
        </w:rPr>
        <w:t xml:space="preserve">המנגנון בחוזר זה מאפשר הארכה של משך הכהונה לתקופת כהונה נוספת, שתמשך עד שנתיים נוספות במקרה של נחיצות מיוחדת. הארכה נוספת, מעבר לשנתיים האמורות, מתאפשרת במקרים חריגים, כאשר עלול להיגרם לחברה נזק משמעותי כתוצאה מהפסקת כהונתו של </w:t>
      </w:r>
      <w:r w:rsidR="00A44557">
        <w:rPr>
          <w:rFonts w:hint="cs"/>
          <w:sz w:val="24"/>
          <w:szCs w:val="24"/>
          <w:rtl/>
        </w:rPr>
        <w:t xml:space="preserve">הפקיד </w:t>
      </w:r>
      <w:r>
        <w:rPr>
          <w:rFonts w:hint="cs"/>
          <w:sz w:val="24"/>
          <w:szCs w:val="24"/>
          <w:rtl/>
        </w:rPr>
        <w:t>הבכיר.</w:t>
      </w:r>
    </w:p>
    <w:p w:rsidR="007E0B4E" w:rsidRDefault="007E0B4E" w:rsidP="007E0B4E">
      <w:pPr>
        <w:pStyle w:val="Hesber"/>
        <w:numPr>
          <w:ilvl w:val="0"/>
          <w:numId w:val="8"/>
        </w:numPr>
        <w:textAlignment w:val="auto"/>
        <w:rPr>
          <w:sz w:val="24"/>
          <w:szCs w:val="24"/>
        </w:rPr>
      </w:pPr>
      <w:r>
        <w:rPr>
          <w:rFonts w:hint="cs"/>
          <w:sz w:val="24"/>
          <w:szCs w:val="24"/>
          <w:rtl/>
        </w:rPr>
        <w:t xml:space="preserve">בהתאם למנגנון, הארכת הכהונה הראשונה של המנהל הכללי הינה בסמכות הדירקטוריון ואילו הארכת הכהונה השנייה, המיועדת למקרים חריגים בלבד, טעונה אישור הדירקטוריון ומנהל רשות החברות הממשלתיות. </w:t>
      </w:r>
    </w:p>
    <w:p w:rsidR="007E0B4E" w:rsidRDefault="007E0B4E" w:rsidP="007E0B4E">
      <w:pPr>
        <w:pStyle w:val="Hesber"/>
        <w:numPr>
          <w:ilvl w:val="0"/>
          <w:numId w:val="8"/>
        </w:numPr>
        <w:textAlignment w:val="auto"/>
        <w:rPr>
          <w:sz w:val="24"/>
          <w:szCs w:val="24"/>
        </w:rPr>
      </w:pPr>
      <w:r>
        <w:rPr>
          <w:rFonts w:hint="cs"/>
          <w:sz w:val="24"/>
          <w:szCs w:val="24"/>
          <w:rtl/>
        </w:rPr>
        <w:t xml:space="preserve">הארכת הכהונות הראשונה והשנייה של עובד בכיר אחר הינה בסמכות המנהל הכללי, בכפוף לחובת דיווח לדירקטוריון. ההארכה השלישית, המיועדת למקרים חריגים בלבד, כפופה לאישור הדירקטוריון ומנהל רשות החברות. </w:t>
      </w:r>
    </w:p>
    <w:p w:rsidR="007E0B4E" w:rsidRDefault="007E0B4E" w:rsidP="007E0B4E">
      <w:pPr>
        <w:pStyle w:val="Hesber"/>
        <w:numPr>
          <w:ilvl w:val="0"/>
          <w:numId w:val="8"/>
        </w:numPr>
        <w:textAlignment w:val="auto"/>
        <w:rPr>
          <w:sz w:val="24"/>
          <w:szCs w:val="24"/>
        </w:rPr>
      </w:pPr>
      <w:r>
        <w:rPr>
          <w:rFonts w:hint="cs"/>
          <w:sz w:val="24"/>
          <w:szCs w:val="24"/>
          <w:rtl/>
        </w:rPr>
        <w:t>לאור אופי תפקידם של היועץ המשפטי והמבקר הפנימי של החברה כ"שומרי סף", אשר נדרשים לשמור על עצמאותם המקצועית ועל אי-תלותם, מוצע לקבוע, כי הללו ימונו לתקופת כהונה אחת של שבע שנים, וכי לא ניתן יהיה להאריך את כהונתם כמפורט לעיל.</w:t>
      </w:r>
    </w:p>
    <w:p w:rsidR="00132954" w:rsidRPr="00553226" w:rsidRDefault="00132954" w:rsidP="00553226">
      <w:pPr>
        <w:pStyle w:val="a8"/>
        <w:ind w:left="374"/>
        <w:jc w:val="both"/>
        <w:rPr>
          <w:b/>
          <w:bCs/>
          <w:u w:val="single"/>
        </w:rPr>
      </w:pPr>
    </w:p>
    <w:p w:rsidR="007E0B4E" w:rsidRDefault="007E0B4E" w:rsidP="007E0B4E">
      <w:pPr>
        <w:pStyle w:val="a8"/>
        <w:numPr>
          <w:ilvl w:val="0"/>
          <w:numId w:val="9"/>
        </w:numPr>
        <w:spacing w:line="360" w:lineRule="auto"/>
        <w:ind w:left="374"/>
        <w:jc w:val="both"/>
        <w:rPr>
          <w:b/>
          <w:bCs/>
          <w:u w:val="single"/>
          <w:rtl/>
        </w:rPr>
      </w:pPr>
      <w:r>
        <w:rPr>
          <w:rFonts w:hint="cs"/>
          <w:b/>
          <w:bCs/>
          <w:u w:val="single"/>
          <w:rtl/>
        </w:rPr>
        <w:t>הגדרות</w:t>
      </w:r>
    </w:p>
    <w:p w:rsidR="007E0B4E" w:rsidRDefault="007E0B4E" w:rsidP="00553226">
      <w:pPr>
        <w:pStyle w:val="a8"/>
        <w:ind w:left="374"/>
        <w:jc w:val="both"/>
        <w:rPr>
          <w:b/>
          <w:bCs/>
          <w:u w:val="single"/>
        </w:rPr>
      </w:pPr>
    </w:p>
    <w:p w:rsidR="007E0B4E" w:rsidRDefault="007E0B4E" w:rsidP="007E0B4E">
      <w:pPr>
        <w:pStyle w:val="a8"/>
        <w:numPr>
          <w:ilvl w:val="0"/>
          <w:numId w:val="10"/>
        </w:numPr>
        <w:spacing w:line="360" w:lineRule="auto"/>
        <w:jc w:val="both"/>
      </w:pPr>
      <w:r>
        <w:rPr>
          <w:rFonts w:hint="cs"/>
          <w:rtl/>
        </w:rPr>
        <w:t>"חברה" - חברה ממשלתית וחברת בת ממשלתית, כהגדרתן בחוק.</w:t>
      </w:r>
    </w:p>
    <w:p w:rsidR="007E0B4E" w:rsidRDefault="007E0B4E" w:rsidP="007E0B4E">
      <w:pPr>
        <w:pStyle w:val="a8"/>
        <w:numPr>
          <w:ilvl w:val="0"/>
          <w:numId w:val="10"/>
        </w:numPr>
        <w:spacing w:line="360" w:lineRule="auto"/>
        <w:jc w:val="both"/>
        <w:rPr>
          <w:rtl/>
        </w:rPr>
      </w:pPr>
      <w:r>
        <w:rPr>
          <w:rFonts w:hint="cs"/>
          <w:rtl/>
        </w:rPr>
        <w:t>"מנהל כללי" – מי שמונה לתפקיד מנהל כללי בחברה ממשלתית, לפי סעיף 37 לחוק.</w:t>
      </w:r>
    </w:p>
    <w:p w:rsidR="007E0B4E" w:rsidRDefault="007E0B4E" w:rsidP="007E0B4E">
      <w:pPr>
        <w:pStyle w:val="a8"/>
        <w:numPr>
          <w:ilvl w:val="0"/>
          <w:numId w:val="10"/>
        </w:numPr>
        <w:spacing w:line="360" w:lineRule="auto"/>
        <w:jc w:val="both"/>
      </w:pPr>
      <w:r>
        <w:rPr>
          <w:rFonts w:hint="cs"/>
          <w:rtl/>
        </w:rPr>
        <w:t>"עובד בכיר" – פקיד בכיר למעט המנהל הכללי.</w:t>
      </w:r>
    </w:p>
    <w:p w:rsidR="007E0B4E" w:rsidRDefault="007E0B4E" w:rsidP="007E0B4E">
      <w:pPr>
        <w:pStyle w:val="a8"/>
        <w:numPr>
          <w:ilvl w:val="0"/>
          <w:numId w:val="10"/>
        </w:numPr>
        <w:spacing w:line="360" w:lineRule="auto"/>
        <w:jc w:val="both"/>
      </w:pPr>
      <w:r>
        <w:rPr>
          <w:rFonts w:hint="cs"/>
          <w:rtl/>
        </w:rPr>
        <w:t>"פקיד בכיר" – כהגדרתו בסעיף 32(א)(4) לחוק, לרבות היועץ המשפטי של החברה.</w:t>
      </w:r>
    </w:p>
    <w:p w:rsidR="007E0B4E" w:rsidRPr="00553226" w:rsidRDefault="007E0B4E" w:rsidP="00553226">
      <w:pPr>
        <w:pStyle w:val="a8"/>
        <w:ind w:left="374"/>
        <w:jc w:val="both"/>
        <w:rPr>
          <w:b/>
          <w:bCs/>
          <w:u w:val="single"/>
        </w:rPr>
      </w:pPr>
    </w:p>
    <w:p w:rsidR="007E0B4E" w:rsidRDefault="007E0B4E" w:rsidP="007E0B4E">
      <w:pPr>
        <w:spacing w:line="360" w:lineRule="auto"/>
        <w:ind w:left="374" w:hanging="426"/>
        <w:jc w:val="both"/>
        <w:rPr>
          <w:b/>
          <w:bCs/>
          <w:u w:val="single"/>
          <w:rtl/>
        </w:rPr>
      </w:pPr>
      <w:r>
        <w:rPr>
          <w:rFonts w:hint="cs"/>
          <w:b/>
          <w:bCs/>
          <w:rtl/>
        </w:rPr>
        <w:t xml:space="preserve">ה. </w:t>
      </w:r>
      <w:r>
        <w:rPr>
          <w:rFonts w:hint="cs"/>
          <w:b/>
          <w:bCs/>
          <w:rtl/>
        </w:rPr>
        <w:tab/>
      </w:r>
      <w:r>
        <w:rPr>
          <w:rFonts w:hint="cs"/>
          <w:b/>
          <w:bCs/>
          <w:u w:val="single"/>
          <w:rtl/>
        </w:rPr>
        <w:t>תקופת כהונתו של מנהל כללי</w:t>
      </w:r>
    </w:p>
    <w:p w:rsidR="007E0B4E" w:rsidRDefault="007E0B4E" w:rsidP="00553226">
      <w:pPr>
        <w:pStyle w:val="a8"/>
        <w:ind w:left="374"/>
        <w:jc w:val="both"/>
        <w:rPr>
          <w:b/>
          <w:bCs/>
          <w:u w:val="single"/>
          <w:rtl/>
        </w:rPr>
      </w:pPr>
    </w:p>
    <w:p w:rsidR="007E0B4E" w:rsidRDefault="007E0B4E" w:rsidP="007E0B4E">
      <w:pPr>
        <w:pStyle w:val="a8"/>
        <w:numPr>
          <w:ilvl w:val="0"/>
          <w:numId w:val="11"/>
        </w:numPr>
        <w:spacing w:line="360" w:lineRule="auto"/>
        <w:jc w:val="both"/>
        <w:rPr>
          <w:rtl/>
        </w:rPr>
      </w:pPr>
      <w:r>
        <w:rPr>
          <w:rFonts w:hint="cs"/>
          <w:rtl/>
        </w:rPr>
        <w:t>מבלי לגרוע מהוראות סעיף 42 לחוק, המנהל הכללי ימונה לתקופה שלא תעלה על חמש שנים (בהוראה זו – תקופת הכהונה הראשונה).</w:t>
      </w:r>
    </w:p>
    <w:p w:rsidR="007E0B4E" w:rsidRDefault="007E0B4E" w:rsidP="007E0B4E">
      <w:pPr>
        <w:pStyle w:val="a8"/>
        <w:numPr>
          <w:ilvl w:val="0"/>
          <w:numId w:val="11"/>
        </w:numPr>
        <w:spacing w:line="360" w:lineRule="auto"/>
        <w:jc w:val="both"/>
      </w:pPr>
      <w:r>
        <w:rPr>
          <w:rFonts w:hint="cs"/>
          <w:rtl/>
        </w:rPr>
        <w:t>דירקטוריון החברה רשאי להאריך את כהונתו של מנהל כללי לתקופה שלא תעלה על שנתיים רצופות מעבר לתקופת הכהונה הראשונה (בסעיף זה – תקופת הכהונה השנייה), ובלבד שקיימת נחיצות מיוחדת בהמשך כהונתו בתפקיד.</w:t>
      </w:r>
    </w:p>
    <w:p w:rsidR="007E0B4E" w:rsidRDefault="007E0B4E" w:rsidP="007E0B4E">
      <w:pPr>
        <w:pStyle w:val="a8"/>
        <w:numPr>
          <w:ilvl w:val="0"/>
          <w:numId w:val="11"/>
        </w:numPr>
        <w:spacing w:line="360" w:lineRule="auto"/>
        <w:jc w:val="both"/>
      </w:pPr>
      <w:r>
        <w:rPr>
          <w:rFonts w:hint="cs"/>
          <w:rtl/>
        </w:rPr>
        <w:t>במקרים חריגים, רשאי דירקטוריון החברה להחליט על הארכת תקופת כהונתו של מנהל כללי מעבר לתקופת הכהונה השנייה, לתקופת כהונה שלישית, שלא תעלה על שלוש שנים רצופות נוספות, ובלבד שפרישתו של המנהל הכללי תגרום נזק משמעותי לפעילות החברה; החלטה כאמור בסעיף זה טעונה אישור מנהל רשות החברות הממשלתיות.</w:t>
      </w:r>
    </w:p>
    <w:p w:rsidR="007E0B4E" w:rsidRDefault="007E0B4E" w:rsidP="00553226">
      <w:pPr>
        <w:pStyle w:val="a8"/>
        <w:ind w:left="374"/>
        <w:jc w:val="both"/>
        <w:rPr>
          <w:b/>
          <w:bCs/>
          <w:u w:val="single"/>
          <w:rtl/>
        </w:rPr>
      </w:pPr>
    </w:p>
    <w:p w:rsidR="007E0B4E" w:rsidRDefault="007E0B4E" w:rsidP="007E0B4E">
      <w:pPr>
        <w:spacing w:line="360" w:lineRule="auto"/>
        <w:ind w:left="374" w:hanging="426"/>
        <w:jc w:val="both"/>
        <w:rPr>
          <w:b/>
          <w:bCs/>
          <w:u w:val="single"/>
          <w:rtl/>
        </w:rPr>
      </w:pPr>
      <w:r>
        <w:rPr>
          <w:rFonts w:hint="cs"/>
          <w:b/>
          <w:bCs/>
          <w:rtl/>
        </w:rPr>
        <w:t xml:space="preserve">ו. </w:t>
      </w:r>
      <w:r>
        <w:rPr>
          <w:rFonts w:hint="cs"/>
          <w:b/>
          <w:bCs/>
          <w:rtl/>
        </w:rPr>
        <w:tab/>
      </w:r>
      <w:r>
        <w:rPr>
          <w:rFonts w:hint="cs"/>
          <w:b/>
          <w:bCs/>
          <w:u w:val="single"/>
          <w:rtl/>
        </w:rPr>
        <w:t>תקופת כהונתו של עובד בכיר</w:t>
      </w:r>
    </w:p>
    <w:p w:rsidR="007E0B4E" w:rsidRDefault="007E0B4E" w:rsidP="00553226">
      <w:pPr>
        <w:pStyle w:val="a8"/>
        <w:ind w:left="374"/>
        <w:jc w:val="both"/>
        <w:rPr>
          <w:b/>
          <w:bCs/>
          <w:u w:val="single"/>
          <w:rtl/>
        </w:rPr>
      </w:pPr>
    </w:p>
    <w:p w:rsidR="007E0B4E" w:rsidRDefault="007E0B4E" w:rsidP="007E0B4E">
      <w:pPr>
        <w:pStyle w:val="a8"/>
        <w:numPr>
          <w:ilvl w:val="0"/>
          <w:numId w:val="12"/>
        </w:numPr>
        <w:spacing w:line="360" w:lineRule="auto"/>
        <w:jc w:val="both"/>
        <w:rPr>
          <w:rtl/>
        </w:rPr>
      </w:pPr>
      <w:r>
        <w:rPr>
          <w:rFonts w:hint="cs"/>
          <w:rtl/>
        </w:rPr>
        <w:t xml:space="preserve">תקופת כהונתו של עובד בכיר בחברה למעט היועץ המשפטי ומבקר הפנים, בתפקיד בכיר מסוים, לא תעלה על חמש שנים (בהוראה זו – תקופת הכהונה הראשונה). </w:t>
      </w:r>
    </w:p>
    <w:p w:rsidR="007E0B4E" w:rsidRDefault="007E0B4E" w:rsidP="00A44557">
      <w:pPr>
        <w:pStyle w:val="a8"/>
        <w:numPr>
          <w:ilvl w:val="0"/>
          <w:numId w:val="12"/>
        </w:numPr>
        <w:spacing w:line="360" w:lineRule="auto"/>
        <w:jc w:val="both"/>
      </w:pPr>
      <w:r>
        <w:rPr>
          <w:rFonts w:hint="cs"/>
          <w:rtl/>
        </w:rPr>
        <w:t xml:space="preserve">בכפוף להוראות סעיף 4 </w:t>
      </w:r>
      <w:r w:rsidR="00A44557">
        <w:rPr>
          <w:rFonts w:hint="cs"/>
          <w:rtl/>
        </w:rPr>
        <w:t>להלן</w:t>
      </w:r>
      <w:r>
        <w:rPr>
          <w:rFonts w:hint="cs"/>
          <w:rtl/>
        </w:rPr>
        <w:t>, המנהל הכללי של החברה רשאי להאריך את כהונתו של עובד בכיר, למעט היועץ המשפטי ומבקר הפנים, בתפקיד בכיר מסוים, לתקופה שלא תעלה על שנה רצופה מעבר לתקופת הכהונה הראשונה (בהוראה זו – תקופת הכהונה השנייה), ובלבד שקיימת נחיצות מיוחדת בהמשך כהונתו בתפקיד.</w:t>
      </w:r>
    </w:p>
    <w:p w:rsidR="007E0B4E" w:rsidRDefault="007E0B4E" w:rsidP="007E0B4E">
      <w:pPr>
        <w:pStyle w:val="a8"/>
        <w:numPr>
          <w:ilvl w:val="0"/>
          <w:numId w:val="12"/>
        </w:numPr>
        <w:spacing w:line="360" w:lineRule="auto"/>
        <w:jc w:val="both"/>
      </w:pPr>
      <w:r>
        <w:rPr>
          <w:rFonts w:hint="cs"/>
          <w:rtl/>
        </w:rPr>
        <w:t>המנהל הכללי של החברה רשאי לשוב ולהאריך את כהונתו של עובד בכיר כאמור לעיל פעם אחת לשנה נוספת לאחר תקופת הכהונה השנייה (בסעיף זה – תקופת כהונה שלישית).</w:t>
      </w:r>
    </w:p>
    <w:p w:rsidR="007E0B4E" w:rsidRDefault="007E0B4E" w:rsidP="007E0B4E">
      <w:pPr>
        <w:pStyle w:val="a8"/>
        <w:numPr>
          <w:ilvl w:val="0"/>
          <w:numId w:val="12"/>
        </w:numPr>
        <w:spacing w:line="360" w:lineRule="auto"/>
        <w:jc w:val="both"/>
      </w:pPr>
      <w:r>
        <w:rPr>
          <w:rFonts w:hint="cs"/>
          <w:rtl/>
        </w:rPr>
        <w:t>ביקש המנהל הכללי להאריך כהונה של עובד בכיר, כאמור בסעיפים קטנים (2) ו- (3), ידווח על כוונתו לדירקטוריון החברה לפחות ארבעה חודשים לפני תום תקופת הכהונה של העובד הבכיר; חלף חודש ממועד הדיווח והדירקטוריון לא התנגד להארכה, רשאי המנהל הכללי להאריך כהונתו של עובד בכיר כאמור.</w:t>
      </w:r>
    </w:p>
    <w:p w:rsidR="007E0B4E" w:rsidRDefault="007E0B4E" w:rsidP="007E0B4E">
      <w:pPr>
        <w:pStyle w:val="a8"/>
        <w:numPr>
          <w:ilvl w:val="0"/>
          <w:numId w:val="12"/>
        </w:numPr>
        <w:spacing w:line="360" w:lineRule="auto"/>
        <w:jc w:val="both"/>
      </w:pPr>
      <w:r>
        <w:rPr>
          <w:rFonts w:hint="cs"/>
          <w:rtl/>
        </w:rPr>
        <w:t xml:space="preserve">הודעה בדבר החלטת המנהל הכללי, לפי סעיפים קטנים (2) ו- (3), תובא לידיעת העובד הבכיר לפחות שלושה חודשים לפני תום תקופת הכהונה. </w:t>
      </w:r>
    </w:p>
    <w:p w:rsidR="007E0B4E" w:rsidRDefault="007E0B4E" w:rsidP="007E0B4E">
      <w:pPr>
        <w:pStyle w:val="a8"/>
        <w:numPr>
          <w:ilvl w:val="0"/>
          <w:numId w:val="12"/>
        </w:numPr>
        <w:spacing w:line="360" w:lineRule="auto"/>
        <w:jc w:val="both"/>
      </w:pPr>
      <w:r>
        <w:rPr>
          <w:rFonts w:hint="cs"/>
          <w:rtl/>
        </w:rPr>
        <w:t>במקרים חריגים, רשאי המנהל הכללי של החברה להחליט על הארכת תקופת כהונתו של עובד בכיר, למעט היועץ המשפטי ומבקר הפנים, מעבר לתקופת הכהונה השלישית, לתקופת כהונה רביעית שלא תעלה על שלוש שנים רצופות נוספות, ובלבד שהתקיימו התנאים המפורטים להלן:</w:t>
      </w:r>
    </w:p>
    <w:p w:rsidR="007E0B4E" w:rsidRDefault="007E0B4E" w:rsidP="007E0B4E">
      <w:pPr>
        <w:pStyle w:val="a8"/>
        <w:numPr>
          <w:ilvl w:val="0"/>
          <w:numId w:val="13"/>
        </w:numPr>
        <w:spacing w:line="360" w:lineRule="auto"/>
        <w:jc w:val="both"/>
      </w:pPr>
      <w:r>
        <w:rPr>
          <w:rFonts w:hint="cs"/>
          <w:rtl/>
        </w:rPr>
        <w:t>העובד הבכיר הינו בעל ידע מקצועי ייחודי בתחום עיסוקה העיקרי של החברה.</w:t>
      </w:r>
    </w:p>
    <w:p w:rsidR="007E0B4E" w:rsidRDefault="007E0B4E" w:rsidP="007E0B4E">
      <w:pPr>
        <w:pStyle w:val="a8"/>
        <w:numPr>
          <w:ilvl w:val="0"/>
          <w:numId w:val="13"/>
        </w:numPr>
        <w:spacing w:line="360" w:lineRule="auto"/>
        <w:jc w:val="both"/>
      </w:pPr>
      <w:r>
        <w:rPr>
          <w:rFonts w:hint="cs"/>
          <w:rtl/>
        </w:rPr>
        <w:t>פרישתו של העובד הבכיר תגרום נזק משמעותי לפעילות החברה.</w:t>
      </w:r>
    </w:p>
    <w:p w:rsidR="001460DB" w:rsidRDefault="007E0B4E" w:rsidP="00553226">
      <w:pPr>
        <w:spacing w:line="360" w:lineRule="auto"/>
        <w:ind w:left="720"/>
        <w:jc w:val="both"/>
        <w:rPr>
          <w:rtl/>
        </w:rPr>
      </w:pPr>
      <w:r>
        <w:rPr>
          <w:rFonts w:hint="cs"/>
          <w:rtl/>
        </w:rPr>
        <w:t>החלטה זו טעונה אישור דירקטוריון החברה וכן אישור מנהל רשות החברות הממשלתיות.</w:t>
      </w:r>
    </w:p>
    <w:p w:rsidR="00553226" w:rsidRPr="00553226" w:rsidRDefault="00553226" w:rsidP="00553226">
      <w:pPr>
        <w:spacing w:line="360" w:lineRule="auto"/>
        <w:ind w:left="720"/>
        <w:jc w:val="both"/>
        <w:rPr>
          <w:rtl/>
        </w:rPr>
      </w:pPr>
    </w:p>
    <w:p w:rsidR="007E0B4E" w:rsidRDefault="007E0B4E" w:rsidP="007E0B4E">
      <w:pPr>
        <w:spacing w:line="360" w:lineRule="auto"/>
        <w:ind w:left="374" w:hanging="426"/>
        <w:jc w:val="both"/>
        <w:rPr>
          <w:b/>
          <w:bCs/>
          <w:u w:val="single"/>
          <w:rtl/>
        </w:rPr>
      </w:pPr>
      <w:r>
        <w:rPr>
          <w:rFonts w:hint="cs"/>
          <w:b/>
          <w:bCs/>
          <w:rtl/>
        </w:rPr>
        <w:t xml:space="preserve">ז. </w:t>
      </w:r>
      <w:r>
        <w:rPr>
          <w:rFonts w:hint="cs"/>
          <w:b/>
          <w:bCs/>
          <w:rtl/>
        </w:rPr>
        <w:tab/>
      </w:r>
      <w:r>
        <w:rPr>
          <w:rFonts w:hint="cs"/>
          <w:b/>
          <w:bCs/>
          <w:u w:val="single"/>
          <w:rtl/>
        </w:rPr>
        <w:t>יועץ משפטי ומבקר פנימי</w:t>
      </w:r>
    </w:p>
    <w:p w:rsidR="007E0B4E" w:rsidRDefault="007E0B4E" w:rsidP="00553226">
      <w:pPr>
        <w:pStyle w:val="a8"/>
        <w:ind w:left="374"/>
        <w:jc w:val="both"/>
        <w:rPr>
          <w:b/>
          <w:bCs/>
          <w:u w:val="single"/>
          <w:rtl/>
        </w:rPr>
      </w:pPr>
    </w:p>
    <w:p w:rsidR="007E0B4E" w:rsidRDefault="007E0B4E" w:rsidP="007E0B4E">
      <w:pPr>
        <w:spacing w:line="360" w:lineRule="auto"/>
        <w:ind w:left="374"/>
        <w:jc w:val="both"/>
        <w:rPr>
          <w:b/>
          <w:bCs/>
          <w:rtl/>
        </w:rPr>
      </w:pPr>
      <w:r>
        <w:rPr>
          <w:rFonts w:hint="cs"/>
          <w:rtl/>
        </w:rPr>
        <w:t>תקופת כהונתו של עובד בכיר שהינו היועץ המשפטי או המבקר הפנימי של החברה תהא בת שבע שנים</w:t>
      </w:r>
      <w:r>
        <w:rPr>
          <w:rFonts w:hint="cs"/>
          <w:b/>
          <w:bCs/>
          <w:rtl/>
        </w:rPr>
        <w:t>.</w:t>
      </w:r>
    </w:p>
    <w:p w:rsidR="007E0B4E" w:rsidRDefault="007E0B4E" w:rsidP="00553226">
      <w:pPr>
        <w:pStyle w:val="a8"/>
        <w:ind w:left="374"/>
        <w:jc w:val="both"/>
        <w:rPr>
          <w:b/>
          <w:bCs/>
          <w:u w:val="single"/>
          <w:rtl/>
        </w:rPr>
      </w:pPr>
    </w:p>
    <w:p w:rsidR="00553226" w:rsidRDefault="00553226" w:rsidP="00553226">
      <w:pPr>
        <w:pStyle w:val="a8"/>
        <w:ind w:left="374"/>
        <w:jc w:val="both"/>
        <w:rPr>
          <w:b/>
          <w:bCs/>
          <w:u w:val="single"/>
          <w:rtl/>
        </w:rPr>
      </w:pPr>
    </w:p>
    <w:p w:rsidR="00553226" w:rsidRDefault="00553226" w:rsidP="00553226">
      <w:pPr>
        <w:pStyle w:val="a8"/>
        <w:ind w:left="374"/>
        <w:jc w:val="both"/>
        <w:rPr>
          <w:b/>
          <w:bCs/>
          <w:u w:val="single"/>
          <w:rtl/>
        </w:rPr>
      </w:pPr>
    </w:p>
    <w:p w:rsidR="00553226" w:rsidRPr="00553226" w:rsidRDefault="00553226" w:rsidP="00553226">
      <w:pPr>
        <w:pStyle w:val="a8"/>
        <w:ind w:left="374"/>
        <w:jc w:val="both"/>
        <w:rPr>
          <w:b/>
          <w:bCs/>
          <w:u w:val="single"/>
          <w:rtl/>
        </w:rPr>
      </w:pPr>
    </w:p>
    <w:p w:rsidR="007E0B4E" w:rsidRDefault="007E0B4E" w:rsidP="00132954">
      <w:pPr>
        <w:spacing w:line="360" w:lineRule="auto"/>
        <w:ind w:left="374" w:hanging="426"/>
        <w:jc w:val="both"/>
        <w:rPr>
          <w:b/>
          <w:bCs/>
          <w:u w:val="single"/>
          <w:rtl/>
        </w:rPr>
      </w:pPr>
      <w:r>
        <w:rPr>
          <w:rFonts w:hint="cs"/>
          <w:b/>
          <w:bCs/>
          <w:rtl/>
        </w:rPr>
        <w:t xml:space="preserve">ח. </w:t>
      </w:r>
      <w:r>
        <w:rPr>
          <w:rFonts w:hint="cs"/>
          <w:b/>
          <w:bCs/>
          <w:rtl/>
        </w:rPr>
        <w:tab/>
      </w:r>
      <w:r>
        <w:rPr>
          <w:rFonts w:hint="cs"/>
          <w:b/>
          <w:bCs/>
          <w:u w:val="single"/>
          <w:rtl/>
        </w:rPr>
        <w:t>פקיעת כהונה</w:t>
      </w:r>
    </w:p>
    <w:p w:rsidR="001460DB" w:rsidRDefault="001460DB" w:rsidP="00553226">
      <w:pPr>
        <w:pStyle w:val="a8"/>
        <w:ind w:left="374"/>
        <w:jc w:val="both"/>
        <w:rPr>
          <w:b/>
          <w:bCs/>
          <w:u w:val="single"/>
          <w:rtl/>
        </w:rPr>
      </w:pPr>
    </w:p>
    <w:p w:rsidR="007E0B4E" w:rsidRDefault="00A44557" w:rsidP="00E331F3">
      <w:pPr>
        <w:spacing w:line="360" w:lineRule="auto"/>
        <w:ind w:left="374"/>
        <w:jc w:val="both"/>
        <w:rPr>
          <w:rtl/>
        </w:rPr>
      </w:pPr>
      <w:r>
        <w:rPr>
          <w:rFonts w:hint="cs"/>
          <w:rtl/>
        </w:rPr>
        <w:t xml:space="preserve">למען הסר ספק יובהר, כי </w:t>
      </w:r>
      <w:r w:rsidR="007E0B4E">
        <w:rPr>
          <w:rFonts w:hint="cs"/>
          <w:rtl/>
        </w:rPr>
        <w:t xml:space="preserve">אין בהוראות </w:t>
      </w:r>
      <w:r w:rsidR="00416771">
        <w:rPr>
          <w:rFonts w:hint="cs"/>
          <w:rtl/>
        </w:rPr>
        <w:t xml:space="preserve">סעיפים ה', ו' ו-ז' </w:t>
      </w:r>
      <w:r w:rsidR="007E0B4E">
        <w:rPr>
          <w:rFonts w:hint="cs"/>
          <w:rtl/>
        </w:rPr>
        <w:t xml:space="preserve">כדי לגרוע מהוראות כל דין לעניין הפסקת העסקתו של עובד, לרבות לעניין </w:t>
      </w:r>
      <w:r w:rsidR="00E331F3">
        <w:rPr>
          <w:rFonts w:hint="cs"/>
          <w:rtl/>
        </w:rPr>
        <w:t xml:space="preserve">פקיד </w:t>
      </w:r>
      <w:r w:rsidR="007E0B4E">
        <w:rPr>
          <w:rFonts w:hint="cs"/>
          <w:rtl/>
        </w:rPr>
        <w:t>בכיר.</w:t>
      </w:r>
    </w:p>
    <w:p w:rsidR="007E0B4E" w:rsidRPr="00553226" w:rsidRDefault="007E0B4E" w:rsidP="00553226">
      <w:pPr>
        <w:pStyle w:val="a8"/>
        <w:ind w:left="374"/>
        <w:jc w:val="both"/>
        <w:rPr>
          <w:b/>
          <w:bCs/>
          <w:u w:val="single"/>
          <w:rtl/>
        </w:rPr>
      </w:pPr>
    </w:p>
    <w:p w:rsidR="00416771" w:rsidRDefault="00416771" w:rsidP="007E0B4E">
      <w:pPr>
        <w:pStyle w:val="a8"/>
        <w:numPr>
          <w:ilvl w:val="0"/>
          <w:numId w:val="14"/>
        </w:numPr>
        <w:spacing w:line="360" w:lineRule="auto"/>
        <w:ind w:left="374"/>
        <w:jc w:val="both"/>
        <w:rPr>
          <w:b/>
          <w:bCs/>
          <w:u w:val="single"/>
        </w:rPr>
      </w:pPr>
      <w:r>
        <w:rPr>
          <w:rFonts w:hint="cs"/>
          <w:b/>
          <w:bCs/>
          <w:u w:val="single"/>
          <w:rtl/>
        </w:rPr>
        <w:t xml:space="preserve">תחולה </w:t>
      </w:r>
    </w:p>
    <w:p w:rsidR="001460DB" w:rsidRDefault="001460DB" w:rsidP="00553226">
      <w:pPr>
        <w:pStyle w:val="a8"/>
        <w:ind w:left="374"/>
        <w:jc w:val="both"/>
        <w:rPr>
          <w:b/>
          <w:bCs/>
          <w:u w:val="single"/>
        </w:rPr>
      </w:pPr>
    </w:p>
    <w:p w:rsidR="007E0B4E" w:rsidRDefault="00416771" w:rsidP="001460DB">
      <w:pPr>
        <w:pStyle w:val="a8"/>
        <w:spacing w:line="360" w:lineRule="auto"/>
        <w:ind w:left="374"/>
        <w:jc w:val="both"/>
        <w:rPr>
          <w:rtl/>
        </w:rPr>
      </w:pPr>
      <w:r w:rsidRPr="001460DB">
        <w:rPr>
          <w:rFonts w:hint="eastAsia"/>
          <w:rtl/>
        </w:rPr>
        <w:t>הוראות</w:t>
      </w:r>
      <w:r w:rsidRPr="001460DB">
        <w:rPr>
          <w:rtl/>
        </w:rPr>
        <w:t xml:space="preserve"> </w:t>
      </w:r>
      <w:r w:rsidRPr="001460DB">
        <w:rPr>
          <w:rFonts w:hint="eastAsia"/>
          <w:rtl/>
        </w:rPr>
        <w:t>אלה</w:t>
      </w:r>
      <w:r w:rsidRPr="001460DB">
        <w:rPr>
          <w:rtl/>
        </w:rPr>
        <w:t xml:space="preserve"> </w:t>
      </w:r>
      <w:r w:rsidRPr="001460DB">
        <w:rPr>
          <w:rFonts w:hint="eastAsia"/>
          <w:rtl/>
        </w:rPr>
        <w:t>יחולו</w:t>
      </w:r>
      <w:r w:rsidRPr="001460DB">
        <w:rPr>
          <w:rtl/>
        </w:rPr>
        <w:t xml:space="preserve"> </w:t>
      </w:r>
      <w:r w:rsidRPr="001460DB">
        <w:rPr>
          <w:rFonts w:hint="eastAsia"/>
          <w:rtl/>
        </w:rPr>
        <w:t>על</w:t>
      </w:r>
      <w:r w:rsidRPr="001460DB">
        <w:rPr>
          <w:rtl/>
        </w:rPr>
        <w:t xml:space="preserve"> </w:t>
      </w:r>
      <w:r w:rsidRPr="001460DB">
        <w:rPr>
          <w:rFonts w:hint="eastAsia"/>
          <w:rtl/>
        </w:rPr>
        <w:t>פקידים</w:t>
      </w:r>
      <w:r w:rsidRPr="001460DB">
        <w:rPr>
          <w:rtl/>
        </w:rPr>
        <w:t xml:space="preserve"> </w:t>
      </w:r>
      <w:r w:rsidRPr="001460DB">
        <w:rPr>
          <w:rFonts w:hint="eastAsia"/>
          <w:rtl/>
        </w:rPr>
        <w:t>בכירים</w:t>
      </w:r>
      <w:r w:rsidRPr="001460DB">
        <w:rPr>
          <w:rtl/>
        </w:rPr>
        <w:t xml:space="preserve">, </w:t>
      </w:r>
      <w:r w:rsidRPr="001460DB">
        <w:rPr>
          <w:rFonts w:hint="eastAsia"/>
          <w:rtl/>
        </w:rPr>
        <w:t>אשר</w:t>
      </w:r>
      <w:r w:rsidRPr="001460DB">
        <w:rPr>
          <w:rtl/>
        </w:rPr>
        <w:t xml:space="preserve"> </w:t>
      </w:r>
      <w:r w:rsidRPr="001460DB">
        <w:rPr>
          <w:rFonts w:hint="eastAsia"/>
          <w:rtl/>
        </w:rPr>
        <w:t>נתמנו</w:t>
      </w:r>
      <w:r w:rsidRPr="001460DB">
        <w:rPr>
          <w:rtl/>
        </w:rPr>
        <w:t xml:space="preserve"> </w:t>
      </w:r>
      <w:r w:rsidRPr="001460DB">
        <w:rPr>
          <w:rFonts w:hint="eastAsia"/>
          <w:rtl/>
        </w:rPr>
        <w:t>לתפקיד</w:t>
      </w:r>
      <w:r w:rsidRPr="001460DB">
        <w:rPr>
          <w:rtl/>
        </w:rPr>
        <w:t xml:space="preserve"> </w:t>
      </w:r>
      <w:r w:rsidRPr="001460DB">
        <w:rPr>
          <w:rFonts w:hint="eastAsia"/>
          <w:rtl/>
        </w:rPr>
        <w:t>ממועד</w:t>
      </w:r>
      <w:r w:rsidRPr="001460DB">
        <w:rPr>
          <w:rtl/>
        </w:rPr>
        <w:t xml:space="preserve"> </w:t>
      </w:r>
      <w:r w:rsidRPr="001460DB">
        <w:rPr>
          <w:rFonts w:hint="eastAsia"/>
          <w:rtl/>
        </w:rPr>
        <w:t>אימוץ</w:t>
      </w:r>
      <w:r w:rsidRPr="001460DB">
        <w:rPr>
          <w:rtl/>
        </w:rPr>
        <w:t xml:space="preserve"> </w:t>
      </w:r>
      <w:r w:rsidRPr="001460DB">
        <w:rPr>
          <w:rFonts w:hint="eastAsia"/>
          <w:rtl/>
        </w:rPr>
        <w:t>ההוראות</w:t>
      </w:r>
      <w:r w:rsidRPr="001460DB">
        <w:rPr>
          <w:rtl/>
        </w:rPr>
        <w:t xml:space="preserve"> </w:t>
      </w:r>
      <w:r w:rsidRPr="001460DB">
        <w:rPr>
          <w:rFonts w:hint="eastAsia"/>
          <w:rtl/>
        </w:rPr>
        <w:t>על</w:t>
      </w:r>
      <w:r w:rsidRPr="001460DB">
        <w:rPr>
          <w:rtl/>
        </w:rPr>
        <w:t xml:space="preserve"> </w:t>
      </w:r>
      <w:r w:rsidRPr="001460DB">
        <w:rPr>
          <w:rFonts w:hint="eastAsia"/>
          <w:rtl/>
        </w:rPr>
        <w:t>ידי</w:t>
      </w:r>
      <w:r w:rsidRPr="001460DB">
        <w:rPr>
          <w:rtl/>
        </w:rPr>
        <w:t xml:space="preserve"> </w:t>
      </w:r>
      <w:r w:rsidRPr="001460DB">
        <w:rPr>
          <w:rFonts w:hint="eastAsia"/>
          <w:rtl/>
        </w:rPr>
        <w:t>הדירקטוריון</w:t>
      </w:r>
      <w:r w:rsidRPr="001460DB">
        <w:rPr>
          <w:rtl/>
        </w:rPr>
        <w:t xml:space="preserve"> </w:t>
      </w:r>
      <w:r w:rsidRPr="001460DB">
        <w:rPr>
          <w:rFonts w:hint="eastAsia"/>
          <w:rtl/>
        </w:rPr>
        <w:t>ואילך</w:t>
      </w:r>
      <w:r w:rsidRPr="001460DB">
        <w:rPr>
          <w:rtl/>
        </w:rPr>
        <w:t xml:space="preserve">, </w:t>
      </w:r>
      <w:r w:rsidRPr="001460DB">
        <w:rPr>
          <w:rFonts w:hint="eastAsia"/>
          <w:rtl/>
        </w:rPr>
        <w:t>ואשר</w:t>
      </w:r>
      <w:r w:rsidRPr="001460DB">
        <w:rPr>
          <w:rtl/>
        </w:rPr>
        <w:t xml:space="preserve"> </w:t>
      </w:r>
      <w:r w:rsidRPr="001460DB">
        <w:rPr>
          <w:rFonts w:hint="eastAsia"/>
          <w:rtl/>
        </w:rPr>
        <w:t>מועסקים</w:t>
      </w:r>
      <w:r w:rsidRPr="001460DB">
        <w:rPr>
          <w:rtl/>
        </w:rPr>
        <w:t xml:space="preserve"> </w:t>
      </w:r>
      <w:r w:rsidRPr="001460DB">
        <w:rPr>
          <w:rFonts w:hint="eastAsia"/>
          <w:rtl/>
        </w:rPr>
        <w:t>בחוזה</w:t>
      </w:r>
      <w:r w:rsidRPr="001460DB">
        <w:rPr>
          <w:rtl/>
        </w:rPr>
        <w:t xml:space="preserve"> </w:t>
      </w:r>
      <w:r w:rsidRPr="001460DB">
        <w:rPr>
          <w:rFonts w:hint="eastAsia"/>
          <w:rtl/>
        </w:rPr>
        <w:t>עבודה</w:t>
      </w:r>
      <w:r w:rsidRPr="001460DB">
        <w:rPr>
          <w:rtl/>
        </w:rPr>
        <w:t xml:space="preserve"> </w:t>
      </w:r>
      <w:r w:rsidRPr="001460DB">
        <w:rPr>
          <w:rFonts w:hint="eastAsia"/>
          <w:rtl/>
        </w:rPr>
        <w:t>אישי</w:t>
      </w:r>
      <w:r w:rsidRPr="001460DB">
        <w:rPr>
          <w:rtl/>
        </w:rPr>
        <w:t>.</w:t>
      </w:r>
      <w:r w:rsidR="007E0B4E" w:rsidRPr="008C495A">
        <w:rPr>
          <w:rtl/>
        </w:rPr>
        <w:tab/>
      </w:r>
    </w:p>
    <w:p w:rsidR="007E0B4E" w:rsidRPr="00553226" w:rsidRDefault="007E0B4E" w:rsidP="00553226">
      <w:pPr>
        <w:pStyle w:val="a8"/>
        <w:ind w:left="374"/>
        <w:jc w:val="both"/>
        <w:rPr>
          <w:b/>
          <w:bCs/>
          <w:u w:val="single"/>
          <w:rtl/>
        </w:rPr>
      </w:pPr>
    </w:p>
    <w:p w:rsidR="001460DB" w:rsidRPr="001460DB" w:rsidRDefault="0030545B" w:rsidP="001460DB">
      <w:pPr>
        <w:pStyle w:val="a8"/>
        <w:numPr>
          <w:ilvl w:val="0"/>
          <w:numId w:val="14"/>
        </w:numPr>
        <w:spacing w:line="360" w:lineRule="auto"/>
        <w:ind w:left="374"/>
        <w:jc w:val="both"/>
      </w:pPr>
      <w:r w:rsidRPr="001460DB">
        <w:rPr>
          <w:rFonts w:hint="eastAsia"/>
          <w:b/>
          <w:bCs/>
          <w:u w:val="single"/>
          <w:rtl/>
        </w:rPr>
        <w:t>דיון</w:t>
      </w:r>
      <w:r w:rsidRPr="001460DB">
        <w:rPr>
          <w:b/>
          <w:bCs/>
          <w:u w:val="single"/>
          <w:rtl/>
        </w:rPr>
        <w:t xml:space="preserve"> </w:t>
      </w:r>
      <w:r w:rsidRPr="001460DB">
        <w:rPr>
          <w:rFonts w:hint="eastAsia"/>
          <w:b/>
          <w:bCs/>
          <w:u w:val="single"/>
          <w:rtl/>
        </w:rPr>
        <w:t>בדירקטוריון</w:t>
      </w:r>
    </w:p>
    <w:p w:rsidR="001460DB" w:rsidRDefault="001460DB" w:rsidP="00553226">
      <w:pPr>
        <w:pStyle w:val="a8"/>
        <w:ind w:left="374"/>
        <w:jc w:val="both"/>
        <w:rPr>
          <w:b/>
          <w:bCs/>
          <w:u w:val="single"/>
          <w:rtl/>
        </w:rPr>
      </w:pPr>
    </w:p>
    <w:p w:rsidR="00416771" w:rsidRDefault="007E0B4E" w:rsidP="001460DB">
      <w:pPr>
        <w:pStyle w:val="a8"/>
        <w:spacing w:line="360" w:lineRule="auto"/>
        <w:ind w:left="374"/>
        <w:jc w:val="both"/>
        <w:rPr>
          <w:rtl/>
        </w:rPr>
      </w:pPr>
      <w:r>
        <w:rPr>
          <w:rFonts w:hint="cs"/>
          <w:rtl/>
        </w:rPr>
        <w:t xml:space="preserve">דירקטוריון החברה מתבקש לדון בהוראות חוזר זה בתוך 45 ימים ממועד פרסום החוזר. </w:t>
      </w:r>
      <w:r w:rsidR="00416771" w:rsidRPr="00416771">
        <w:rPr>
          <w:rtl/>
        </w:rPr>
        <w:t xml:space="preserve">על אף האמור </w:t>
      </w:r>
      <w:r w:rsidR="00416771">
        <w:rPr>
          <w:rFonts w:hint="cs"/>
          <w:rtl/>
        </w:rPr>
        <w:t>בסעיף ט</w:t>
      </w:r>
      <w:r w:rsidR="00506FC9">
        <w:rPr>
          <w:rFonts w:hint="cs"/>
          <w:rtl/>
        </w:rPr>
        <w:t>'</w:t>
      </w:r>
      <w:r w:rsidR="00416771">
        <w:rPr>
          <w:rFonts w:hint="cs"/>
          <w:rtl/>
        </w:rPr>
        <w:t xml:space="preserve"> לעיל</w:t>
      </w:r>
      <w:r w:rsidR="00416771" w:rsidRPr="00416771">
        <w:rPr>
          <w:rtl/>
        </w:rPr>
        <w:t xml:space="preserve"> דירקטוריון החברה מתבקש לבחון את האפשרות להחיל את עקרונות החוזר, בכפוף לכל דין, גם על פקידים בכירים המכהנים בתפקיד.</w:t>
      </w:r>
      <w:r w:rsidR="00C04D44">
        <w:rPr>
          <w:rFonts w:hint="cs"/>
          <w:rtl/>
        </w:rPr>
        <w:t xml:space="preserve"> </w:t>
      </w:r>
    </w:p>
    <w:p w:rsidR="007E0B4E" w:rsidRDefault="00416771" w:rsidP="001460DB">
      <w:pPr>
        <w:spacing w:line="360" w:lineRule="auto"/>
        <w:ind w:left="374"/>
        <w:jc w:val="both"/>
        <w:rPr>
          <w:rtl/>
        </w:rPr>
      </w:pPr>
      <w:r>
        <w:rPr>
          <w:rFonts w:hint="cs"/>
          <w:rtl/>
        </w:rPr>
        <w:t>לאחר ה</w:t>
      </w:r>
      <w:r w:rsidR="007E0B4E">
        <w:rPr>
          <w:rFonts w:hint="cs"/>
          <w:rtl/>
        </w:rPr>
        <w:t xml:space="preserve">דיון </w:t>
      </w:r>
      <w:r>
        <w:rPr>
          <w:rFonts w:hint="cs"/>
          <w:rtl/>
        </w:rPr>
        <w:t>בדירקטוריון החברה</w:t>
      </w:r>
      <w:r w:rsidR="007E0B4E">
        <w:rPr>
          <w:rFonts w:hint="cs"/>
          <w:rtl/>
        </w:rPr>
        <w:t>, על החברה לעדכן את רשות החברות בדבר אימוץ ההוראות.</w:t>
      </w:r>
    </w:p>
    <w:p w:rsidR="00737EE9" w:rsidRPr="00553226" w:rsidRDefault="00737EE9" w:rsidP="00553226">
      <w:pPr>
        <w:pStyle w:val="a8"/>
        <w:ind w:left="374"/>
        <w:jc w:val="both"/>
        <w:rPr>
          <w:b/>
          <w:bCs/>
          <w:u w:val="single"/>
          <w:rtl/>
        </w:rPr>
      </w:pPr>
    </w:p>
    <w:p w:rsidR="001F4F39" w:rsidRDefault="0030545B" w:rsidP="001F4F39">
      <w:pPr>
        <w:pStyle w:val="a8"/>
        <w:numPr>
          <w:ilvl w:val="0"/>
          <w:numId w:val="14"/>
        </w:numPr>
        <w:spacing w:line="360" w:lineRule="auto"/>
        <w:ind w:left="374"/>
        <w:jc w:val="both"/>
        <w:rPr>
          <w:b/>
          <w:bCs/>
          <w:u w:val="single"/>
        </w:rPr>
      </w:pPr>
      <w:r w:rsidRPr="001F4F39">
        <w:rPr>
          <w:rFonts w:hint="eastAsia"/>
          <w:b/>
          <w:bCs/>
          <w:u w:val="single"/>
          <w:rtl/>
        </w:rPr>
        <w:t>דיווח</w:t>
      </w:r>
    </w:p>
    <w:p w:rsidR="001F4F39" w:rsidRDefault="001F4F39" w:rsidP="00553226">
      <w:pPr>
        <w:pStyle w:val="a8"/>
        <w:ind w:left="374"/>
        <w:jc w:val="both"/>
        <w:rPr>
          <w:b/>
          <w:bCs/>
          <w:u w:val="single"/>
          <w:rtl/>
        </w:rPr>
      </w:pPr>
    </w:p>
    <w:p w:rsidR="0030545B" w:rsidRPr="001F4F39" w:rsidRDefault="0030545B" w:rsidP="001F4F39">
      <w:pPr>
        <w:pStyle w:val="a8"/>
        <w:spacing w:line="360" w:lineRule="auto"/>
        <w:ind w:left="374"/>
        <w:jc w:val="both"/>
        <w:rPr>
          <w:b/>
          <w:bCs/>
          <w:u w:val="single"/>
          <w:rtl/>
        </w:rPr>
      </w:pPr>
      <w:r>
        <w:rPr>
          <w:rFonts w:hint="cs"/>
          <w:rtl/>
        </w:rPr>
        <w:t>בדין וחשבון שמגיש יושב ראש הדירקטוריון לרשות, לפי סעיף 25 לחוק, תכלול החברה פירוט בדבר תקופות הכהונה של המנהל הכללי ושל העובדים הבכירים.</w:t>
      </w:r>
    </w:p>
    <w:p w:rsidR="0030545B" w:rsidRPr="00553226" w:rsidRDefault="0030545B" w:rsidP="00553226">
      <w:pPr>
        <w:pStyle w:val="a8"/>
        <w:ind w:left="374"/>
        <w:jc w:val="both"/>
        <w:rPr>
          <w:b/>
          <w:bCs/>
          <w:u w:val="single"/>
          <w:rtl/>
        </w:rPr>
      </w:pPr>
    </w:p>
    <w:p w:rsidR="00B446CD" w:rsidRPr="00B446CD" w:rsidRDefault="0030545B" w:rsidP="00B446CD">
      <w:pPr>
        <w:pStyle w:val="a8"/>
        <w:numPr>
          <w:ilvl w:val="0"/>
          <w:numId w:val="14"/>
        </w:numPr>
        <w:spacing w:line="360" w:lineRule="auto"/>
        <w:ind w:left="374"/>
        <w:jc w:val="both"/>
      </w:pPr>
      <w:r>
        <w:rPr>
          <w:rFonts w:hint="cs"/>
          <w:b/>
          <w:bCs/>
          <w:u w:val="single"/>
          <w:rtl/>
        </w:rPr>
        <w:t>בקרה</w:t>
      </w:r>
    </w:p>
    <w:p w:rsidR="00B446CD" w:rsidRDefault="00B446CD" w:rsidP="00553226">
      <w:pPr>
        <w:pStyle w:val="a8"/>
        <w:ind w:left="374"/>
        <w:jc w:val="both"/>
        <w:rPr>
          <w:b/>
          <w:bCs/>
          <w:u w:val="single"/>
          <w:rtl/>
        </w:rPr>
      </w:pPr>
    </w:p>
    <w:p w:rsidR="0030545B" w:rsidRDefault="0030545B" w:rsidP="00B446CD">
      <w:pPr>
        <w:pStyle w:val="a8"/>
        <w:spacing w:line="360" w:lineRule="auto"/>
        <w:ind w:left="374"/>
        <w:jc w:val="both"/>
        <w:rPr>
          <w:rtl/>
        </w:rPr>
      </w:pPr>
      <w:r>
        <w:rPr>
          <w:rFonts w:hint="cs"/>
          <w:rtl/>
        </w:rPr>
        <w:t>רשות החברות הממשלתיות תבצע בקרה לגבי אופן יישום החוזר בחברה לפי שיקול דעתה.</w:t>
      </w:r>
    </w:p>
    <w:p w:rsidR="007E0B4E" w:rsidRDefault="007E0B4E" w:rsidP="007E0B4E">
      <w:pPr>
        <w:spacing w:line="300" w:lineRule="auto"/>
        <w:jc w:val="both"/>
      </w:pPr>
    </w:p>
    <w:p w:rsidR="007E0B4E" w:rsidRDefault="007E0B4E" w:rsidP="007E0B4E">
      <w:pPr>
        <w:tabs>
          <w:tab w:val="left" w:pos="3401"/>
          <w:tab w:val="center" w:pos="6094"/>
        </w:tabs>
        <w:spacing w:line="300" w:lineRule="auto"/>
        <w:rPr>
          <w:rtl/>
        </w:rPr>
      </w:pPr>
    </w:p>
    <w:p w:rsidR="00553226" w:rsidRDefault="00553226" w:rsidP="007E0B4E">
      <w:pPr>
        <w:tabs>
          <w:tab w:val="left" w:pos="3401"/>
          <w:tab w:val="center" w:pos="6094"/>
        </w:tabs>
        <w:spacing w:line="300" w:lineRule="auto"/>
        <w:rPr>
          <w:rtl/>
        </w:rPr>
      </w:pPr>
    </w:p>
    <w:p w:rsidR="007E0B4E" w:rsidRDefault="007E0B4E" w:rsidP="007E0B4E">
      <w:pPr>
        <w:tabs>
          <w:tab w:val="left" w:pos="3401"/>
          <w:tab w:val="center" w:pos="6094"/>
        </w:tabs>
        <w:spacing w:line="300" w:lineRule="auto"/>
        <w:rPr>
          <w:rtl/>
        </w:rPr>
      </w:pPr>
    </w:p>
    <w:p w:rsidR="003E2750" w:rsidRPr="00F1288D" w:rsidRDefault="003E2750" w:rsidP="003E2750">
      <w:pPr>
        <w:spacing w:line="360" w:lineRule="auto"/>
        <w:ind w:left="3600" w:firstLine="720"/>
        <w:jc w:val="center"/>
        <w:rPr>
          <w:rtl/>
        </w:rPr>
      </w:pPr>
      <w:r w:rsidRPr="00F1288D">
        <w:rPr>
          <w:rFonts w:hint="cs"/>
          <w:rtl/>
        </w:rPr>
        <w:t xml:space="preserve">בכבוד רב, </w:t>
      </w:r>
    </w:p>
    <w:p w:rsidR="003E2750" w:rsidRPr="00F1288D" w:rsidRDefault="003E2750" w:rsidP="003E2750">
      <w:pPr>
        <w:spacing w:line="360" w:lineRule="auto"/>
        <w:jc w:val="right"/>
        <w:rPr>
          <w:rtl/>
        </w:rPr>
      </w:pPr>
    </w:p>
    <w:p w:rsidR="003E2750" w:rsidRDefault="00284226" w:rsidP="003E2750">
      <w:pPr>
        <w:spacing w:line="360" w:lineRule="auto"/>
        <w:ind w:left="3600" w:firstLine="720"/>
        <w:jc w:val="center"/>
        <w:rPr>
          <w:rtl/>
        </w:rPr>
      </w:pPr>
      <w:r>
        <w:rPr>
          <w:rFonts w:hint="cs"/>
          <w:rtl/>
        </w:rPr>
        <w:t>אורי יוגב</w:t>
      </w:r>
    </w:p>
    <w:p w:rsidR="003E2750" w:rsidRPr="00F1288D" w:rsidRDefault="003E2750" w:rsidP="003E2750">
      <w:pPr>
        <w:spacing w:line="360" w:lineRule="auto"/>
        <w:ind w:left="3600" w:firstLine="720"/>
        <w:jc w:val="center"/>
        <w:rPr>
          <w:rtl/>
        </w:rPr>
      </w:pPr>
      <w:r>
        <w:rPr>
          <w:rFonts w:hint="cs"/>
          <w:rtl/>
        </w:rPr>
        <w:t>מנהל רשות החברות הממשלתיות</w:t>
      </w:r>
    </w:p>
    <w:p w:rsidR="00553226" w:rsidRDefault="00553226" w:rsidP="007E0B4E">
      <w:pPr>
        <w:tabs>
          <w:tab w:val="left" w:pos="720"/>
        </w:tabs>
        <w:spacing w:line="360" w:lineRule="auto"/>
        <w:jc w:val="both"/>
        <w:rPr>
          <w:rtl/>
        </w:rPr>
      </w:pPr>
    </w:p>
    <w:p w:rsidR="00553226" w:rsidRDefault="00553226" w:rsidP="007E0B4E">
      <w:pPr>
        <w:tabs>
          <w:tab w:val="left" w:pos="720"/>
        </w:tabs>
        <w:spacing w:line="360" w:lineRule="auto"/>
        <w:jc w:val="both"/>
        <w:rPr>
          <w:rtl/>
        </w:rPr>
      </w:pPr>
    </w:p>
    <w:p w:rsidR="00553226" w:rsidRDefault="00553226" w:rsidP="007E0B4E">
      <w:pPr>
        <w:tabs>
          <w:tab w:val="left" w:pos="720"/>
        </w:tabs>
        <w:spacing w:line="360" w:lineRule="auto"/>
        <w:jc w:val="both"/>
        <w:rPr>
          <w:rtl/>
        </w:rPr>
      </w:pPr>
    </w:p>
    <w:p w:rsidR="007E0B4E" w:rsidRDefault="007E0B4E" w:rsidP="007E0B4E">
      <w:pPr>
        <w:tabs>
          <w:tab w:val="left" w:pos="720"/>
        </w:tabs>
        <w:spacing w:line="360" w:lineRule="auto"/>
        <w:jc w:val="both"/>
        <w:rPr>
          <w:rtl/>
        </w:rPr>
      </w:pPr>
      <w:r>
        <w:rPr>
          <w:rFonts w:hint="cs"/>
          <w:rtl/>
        </w:rPr>
        <w:t>העתק:  שר האוצר</w:t>
      </w:r>
    </w:p>
    <w:p w:rsidR="007E0B4E" w:rsidRDefault="007E0B4E" w:rsidP="007E0B4E">
      <w:pPr>
        <w:spacing w:line="360" w:lineRule="auto"/>
        <w:jc w:val="both"/>
        <w:rPr>
          <w:rtl/>
        </w:rPr>
      </w:pPr>
      <w:r>
        <w:rPr>
          <w:rFonts w:hint="cs"/>
          <w:rtl/>
        </w:rPr>
        <w:tab/>
        <w:t>חברי הדירקטוריון (באמצעות מזכיר החברה)</w:t>
      </w:r>
    </w:p>
    <w:p w:rsidR="007E0B4E" w:rsidRDefault="007E0B4E" w:rsidP="007E0B4E">
      <w:pPr>
        <w:spacing w:line="360" w:lineRule="auto"/>
        <w:jc w:val="both"/>
        <w:rPr>
          <w:rtl/>
        </w:rPr>
      </w:pPr>
      <w:r>
        <w:rPr>
          <w:rFonts w:hint="cs"/>
          <w:rtl/>
        </w:rPr>
        <w:tab/>
        <w:t>נציג רשות החברות</w:t>
      </w:r>
    </w:p>
    <w:p w:rsidR="003E2750" w:rsidRPr="00F1288D" w:rsidRDefault="003E2750" w:rsidP="007E0B4E">
      <w:pPr>
        <w:tabs>
          <w:tab w:val="left" w:pos="720"/>
        </w:tabs>
        <w:spacing w:line="360" w:lineRule="auto"/>
        <w:jc w:val="both"/>
        <w:rPr>
          <w:rtl/>
        </w:rPr>
      </w:pPr>
    </w:p>
    <w:sectPr w:rsidR="003E2750" w:rsidRPr="00F1288D" w:rsidSect="003156BA">
      <w:headerReference w:type="even" r:id="rId8"/>
      <w:headerReference w:type="default" r:id="rId9"/>
      <w:footerReference w:type="default" r:id="rId10"/>
      <w:headerReference w:type="first" r:id="rId11"/>
      <w:footerReference w:type="first" r:id="rId12"/>
      <w:pgSz w:w="11906" w:h="16838"/>
      <w:pgMar w:top="1440" w:right="1797" w:bottom="1258" w:left="1797" w:header="720" w:footer="700" w:gutter="0"/>
      <w:pgBorders w:offsetFrom="page">
        <w:top w:val="thinThickSmallGap" w:sz="12" w:space="24" w:color="1F497D"/>
        <w:left w:val="thinThickSmallGap" w:sz="12" w:space="24" w:color="1F497D"/>
        <w:bottom w:val="thickThinSmallGap" w:sz="12" w:space="24" w:color="1F497D"/>
        <w:right w:val="thickThinSmallGap" w:sz="12" w:space="24" w:color="1F497D"/>
      </w:pgBorders>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4955" w:rsidRDefault="00894955">
      <w:r>
        <w:separator/>
      </w:r>
    </w:p>
  </w:endnote>
  <w:endnote w:type="continuationSeparator" w:id="0">
    <w:p w:rsidR="00894955" w:rsidRDefault="00894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C89" w:rsidRDefault="004D4C89" w:rsidP="004D4C89">
    <w:pPr>
      <w:pStyle w:val="a4"/>
      <w:pBdr>
        <w:top w:val="single" w:sz="4" w:space="1" w:color="auto"/>
      </w:pBdr>
      <w:ind w:right="-180"/>
      <w:jc w:val="center"/>
      <w:rPr>
        <w:sz w:val="22"/>
        <w:szCs w:val="22"/>
        <w:rtl/>
      </w:rPr>
    </w:pPr>
    <w:r>
      <w:rPr>
        <w:rFonts w:hint="cs"/>
        <w:sz w:val="22"/>
        <w:szCs w:val="22"/>
        <w:rtl/>
      </w:rPr>
      <w:t>בניין 23 המגדל, קומה 8, הגן הטכנולוגי מלחה, ירושלים 96951, טל':02-5421500, פקס: 02-5695310</w:t>
    </w:r>
  </w:p>
  <w:p w:rsidR="004D4C89" w:rsidRPr="004D4C89" w:rsidRDefault="004D4C89" w:rsidP="004D4C89">
    <w:pPr>
      <w:pStyle w:val="a4"/>
      <w:pBdr>
        <w:top w:val="single" w:sz="4" w:space="1" w:color="auto"/>
      </w:pBdr>
      <w:ind w:right="-180"/>
      <w:jc w:val="center"/>
      <w:rPr>
        <w:b/>
        <w:bCs/>
        <w:sz w:val="22"/>
        <w:szCs w:val="22"/>
      </w:rPr>
    </w:pPr>
    <w:r w:rsidRPr="005D2CD6">
      <w:rPr>
        <w:rFonts w:hint="cs"/>
        <w:b/>
        <w:bCs/>
        <w:sz w:val="22"/>
        <w:szCs w:val="22"/>
        <w:rtl/>
      </w:rPr>
      <w:t>כתובתנו באינטרנט:</w:t>
    </w:r>
    <w:r w:rsidRPr="005D2CD6">
      <w:rPr>
        <w:b/>
        <w:bCs/>
        <w:sz w:val="22"/>
        <w:szCs w:val="22"/>
      </w:rPr>
      <w:t>www.gca.gov.il</w:t>
    </w:r>
    <w:r w:rsidRPr="005D2CD6">
      <w:rPr>
        <w:rFonts w:hint="cs"/>
        <w:b/>
        <w:bCs/>
        <w:sz w:val="22"/>
        <w:szCs w:val="22"/>
        <w:rtl/>
      </w:rPr>
      <w:tab/>
    </w:r>
    <w:r w:rsidR="004E72A4">
      <w:rPr>
        <w:b/>
        <w:bCs/>
        <w:noProof/>
        <w:sz w:val="22"/>
        <w:szCs w:val="22"/>
      </w:rPr>
      <w:drawing>
        <wp:inline distT="0" distB="0" distL="0" distR="0">
          <wp:extent cx="464820" cy="373380"/>
          <wp:effectExtent l="0" t="0" r="0" b="0"/>
          <wp:docPr id="4" name="תמונה 4" descr="logo -111111 reshut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111111 reshut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4820" cy="373380"/>
                  </a:xfrm>
                  <a:prstGeom prst="rect">
                    <a:avLst/>
                  </a:prstGeom>
                  <a:noFill/>
                  <a:ln>
                    <a:noFill/>
                  </a:ln>
                </pic:spPr>
              </pic:pic>
            </a:graphicData>
          </a:graphic>
        </wp:inline>
      </w:drawing>
    </w:r>
    <w:r w:rsidRPr="005D2CD6">
      <w:rPr>
        <w:rFonts w:hint="cs"/>
        <w:b/>
        <w:bCs/>
        <w:sz w:val="22"/>
        <w:szCs w:val="22"/>
        <w:rtl/>
      </w:rPr>
      <w:tab/>
      <w:t xml:space="preserve">שער הממשלה : </w:t>
    </w:r>
    <w:r w:rsidRPr="005D2CD6">
      <w:rPr>
        <w:b/>
        <w:bCs/>
        <w:sz w:val="22"/>
        <w:szCs w:val="22"/>
      </w:rPr>
      <w:t>www.gov.il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3D4" w:rsidRDefault="006213D4" w:rsidP="00B73A99">
    <w:pPr>
      <w:pStyle w:val="a4"/>
      <w:pBdr>
        <w:top w:val="single" w:sz="4" w:space="1" w:color="auto"/>
      </w:pBdr>
      <w:ind w:right="-180"/>
      <w:jc w:val="center"/>
      <w:rPr>
        <w:sz w:val="22"/>
        <w:szCs w:val="22"/>
        <w:rtl/>
      </w:rPr>
    </w:pPr>
    <w:r>
      <w:rPr>
        <w:rFonts w:hint="cs"/>
        <w:sz w:val="22"/>
        <w:szCs w:val="22"/>
        <w:rtl/>
      </w:rPr>
      <w:t>בניין 23 המגדל, קומה 8, הגן הטכנולוגי מלחה, ירושלים 96951, טל':02-5421500, פקס: 02-56953</w:t>
    </w:r>
    <w:r w:rsidR="00B73A99">
      <w:rPr>
        <w:rFonts w:hint="cs"/>
        <w:sz w:val="22"/>
        <w:szCs w:val="22"/>
        <w:rtl/>
      </w:rPr>
      <w:t>10</w:t>
    </w:r>
  </w:p>
  <w:p w:rsidR="006213D4" w:rsidRPr="005D2CD6" w:rsidRDefault="006213D4" w:rsidP="005D2CD6">
    <w:pPr>
      <w:pStyle w:val="a4"/>
      <w:pBdr>
        <w:top w:val="single" w:sz="4" w:space="1" w:color="auto"/>
      </w:pBdr>
      <w:ind w:right="-180"/>
      <w:jc w:val="center"/>
      <w:rPr>
        <w:b/>
        <w:bCs/>
        <w:sz w:val="22"/>
        <w:szCs w:val="22"/>
      </w:rPr>
    </w:pPr>
    <w:r w:rsidRPr="005D2CD6">
      <w:rPr>
        <w:rFonts w:hint="cs"/>
        <w:b/>
        <w:bCs/>
        <w:sz w:val="22"/>
        <w:szCs w:val="22"/>
        <w:rtl/>
      </w:rPr>
      <w:t>כתובתנו באינטרנט:</w:t>
    </w:r>
    <w:r w:rsidRPr="005D2CD6">
      <w:rPr>
        <w:b/>
        <w:bCs/>
        <w:sz w:val="22"/>
        <w:szCs w:val="22"/>
      </w:rPr>
      <w:t>www.gca.gov.il</w:t>
    </w:r>
    <w:r w:rsidRPr="005D2CD6">
      <w:rPr>
        <w:rFonts w:hint="cs"/>
        <w:b/>
        <w:bCs/>
        <w:sz w:val="22"/>
        <w:szCs w:val="22"/>
        <w:rtl/>
      </w:rPr>
      <w:tab/>
    </w:r>
    <w:r w:rsidR="004E72A4">
      <w:rPr>
        <w:b/>
        <w:bCs/>
        <w:noProof/>
        <w:sz w:val="22"/>
        <w:szCs w:val="22"/>
      </w:rPr>
      <w:drawing>
        <wp:inline distT="0" distB="0" distL="0" distR="0">
          <wp:extent cx="464820" cy="373380"/>
          <wp:effectExtent l="0" t="0" r="0" b="0"/>
          <wp:docPr id="2" name="תמונה 2" descr="logo -111111 reshut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111111 reshut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4820" cy="373380"/>
                  </a:xfrm>
                  <a:prstGeom prst="rect">
                    <a:avLst/>
                  </a:prstGeom>
                  <a:noFill/>
                  <a:ln>
                    <a:noFill/>
                  </a:ln>
                </pic:spPr>
              </pic:pic>
            </a:graphicData>
          </a:graphic>
        </wp:inline>
      </w:drawing>
    </w:r>
    <w:r w:rsidRPr="005D2CD6">
      <w:rPr>
        <w:rFonts w:hint="cs"/>
        <w:b/>
        <w:bCs/>
        <w:sz w:val="22"/>
        <w:szCs w:val="22"/>
        <w:rtl/>
      </w:rPr>
      <w:tab/>
      <w:t xml:space="preserve">שער הממשלה : </w:t>
    </w:r>
    <w:r w:rsidRPr="005D2CD6">
      <w:rPr>
        <w:b/>
        <w:bCs/>
        <w:sz w:val="22"/>
        <w:szCs w:val="22"/>
      </w:rPr>
      <w:t>www.gov.il</w:t>
    </w:r>
  </w:p>
  <w:p w:rsidR="006213D4" w:rsidRPr="00F41E01" w:rsidRDefault="006213D4" w:rsidP="00F41E0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4955" w:rsidRDefault="00894955">
      <w:r>
        <w:separator/>
      </w:r>
    </w:p>
  </w:footnote>
  <w:footnote w:type="continuationSeparator" w:id="0">
    <w:p w:rsidR="00894955" w:rsidRDefault="008949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3D4" w:rsidRDefault="006213D4" w:rsidP="00FE0259">
    <w:pPr>
      <w:pStyle w:val="a3"/>
      <w:framePr w:wrap="around" w:vAnchor="text" w:hAnchor="text" w:xAlign="center" w:y="1"/>
      <w:rPr>
        <w:rStyle w:val="a5"/>
      </w:rPr>
    </w:pPr>
    <w:r>
      <w:rPr>
        <w:rStyle w:val="a5"/>
        <w:rtl/>
      </w:rPr>
      <w:fldChar w:fldCharType="begin"/>
    </w:r>
    <w:r>
      <w:rPr>
        <w:rStyle w:val="a5"/>
      </w:rPr>
      <w:instrText xml:space="preserve">PAGE  </w:instrText>
    </w:r>
    <w:r>
      <w:rPr>
        <w:rStyle w:val="a5"/>
        <w:rtl/>
      </w:rPr>
      <w:fldChar w:fldCharType="end"/>
    </w:r>
  </w:p>
  <w:p w:rsidR="006213D4" w:rsidRDefault="006213D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3D4" w:rsidRDefault="006213D4" w:rsidP="00FE0259">
    <w:pPr>
      <w:pStyle w:val="a3"/>
      <w:framePr w:wrap="around" w:vAnchor="text" w:hAnchor="text" w:xAlign="center" w:y="1"/>
      <w:rPr>
        <w:rStyle w:val="a5"/>
      </w:rPr>
    </w:pPr>
    <w:r>
      <w:rPr>
        <w:rStyle w:val="a5"/>
        <w:rtl/>
      </w:rPr>
      <w:fldChar w:fldCharType="begin"/>
    </w:r>
    <w:r>
      <w:rPr>
        <w:rStyle w:val="a5"/>
      </w:rPr>
      <w:instrText xml:space="preserve">PAGE  </w:instrText>
    </w:r>
    <w:r>
      <w:rPr>
        <w:rStyle w:val="a5"/>
        <w:rtl/>
      </w:rPr>
      <w:fldChar w:fldCharType="separate"/>
    </w:r>
    <w:r w:rsidR="00224DA1">
      <w:rPr>
        <w:rStyle w:val="a5"/>
        <w:noProof/>
        <w:rtl/>
      </w:rPr>
      <w:t>2</w:t>
    </w:r>
    <w:r>
      <w:rPr>
        <w:rStyle w:val="a5"/>
        <w:rtl/>
      </w:rPr>
      <w:fldChar w:fldCharType="end"/>
    </w:r>
  </w:p>
  <w:p w:rsidR="006213D4" w:rsidRDefault="006213D4">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3D4" w:rsidRPr="006931FC" w:rsidRDefault="004E72A4" w:rsidP="00AB3778">
    <w:pPr>
      <w:pStyle w:val="a3"/>
      <w:jc w:val="center"/>
      <w:rPr>
        <w:b/>
        <w:bCs/>
        <w:szCs w:val="40"/>
        <w:rtl/>
      </w:rPr>
    </w:pPr>
    <w:r>
      <w:rPr>
        <w:noProof/>
      </w:rPr>
      <w:drawing>
        <wp:anchor distT="0" distB="0" distL="114300" distR="114300" simplePos="0" relativeHeight="251657728" behindDoc="1" locked="0" layoutInCell="1" allowOverlap="1">
          <wp:simplePos x="0" y="0"/>
          <wp:positionH relativeFrom="column">
            <wp:posOffset>4457700</wp:posOffset>
          </wp:positionH>
          <wp:positionV relativeFrom="paragraph">
            <wp:posOffset>0</wp:posOffset>
          </wp:positionV>
          <wp:extent cx="802005" cy="666750"/>
          <wp:effectExtent l="0" t="0" r="0" b="0"/>
          <wp:wrapTight wrapText="bothSides">
            <wp:wrapPolygon edited="0">
              <wp:start x="0" y="0"/>
              <wp:lineTo x="0" y="20983"/>
              <wp:lineTo x="21036" y="20983"/>
              <wp:lineTo x="21036" y="0"/>
              <wp:lineTo x="0" y="0"/>
            </wp:wrapPolygon>
          </wp:wrapTight>
          <wp:docPr id="1" name="תמונה 2" descr="RASH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ASHU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2005"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6213D4" w:rsidRPr="006931FC">
      <w:rPr>
        <w:b/>
        <w:bCs/>
        <w:szCs w:val="40"/>
        <w:rtl/>
      </w:rPr>
      <w:t>מדינת ישראל</w:t>
    </w:r>
  </w:p>
  <w:p w:rsidR="006213D4" w:rsidRDefault="006213D4" w:rsidP="006C0C58">
    <w:pPr>
      <w:pStyle w:val="a3"/>
      <w:tabs>
        <w:tab w:val="clear" w:pos="4153"/>
        <w:tab w:val="left" w:pos="32"/>
        <w:tab w:val="center" w:pos="4156"/>
      </w:tabs>
      <w:ind w:left="32"/>
      <w:rPr>
        <w:b/>
        <w:bCs/>
        <w:sz w:val="32"/>
        <w:szCs w:val="32"/>
        <w:rtl/>
      </w:rPr>
    </w:pPr>
    <w:r>
      <w:rPr>
        <w:b/>
        <w:bCs/>
        <w:sz w:val="32"/>
        <w:szCs w:val="32"/>
        <w:rtl/>
      </w:rPr>
      <w:tab/>
    </w:r>
    <w:r w:rsidRPr="006931FC">
      <w:rPr>
        <w:b/>
        <w:bCs/>
        <w:sz w:val="32"/>
        <w:szCs w:val="32"/>
        <w:rtl/>
      </w:rPr>
      <w:t>רשות החברות הממשלתיות</w:t>
    </w:r>
  </w:p>
  <w:p w:rsidR="006213D4" w:rsidRPr="006931FC" w:rsidRDefault="006213D4" w:rsidP="002634EF">
    <w:pPr>
      <w:pStyle w:val="a3"/>
      <w:tabs>
        <w:tab w:val="clear" w:pos="4153"/>
        <w:tab w:val="left" w:pos="32"/>
        <w:tab w:val="center" w:pos="4156"/>
      </w:tabs>
      <w:ind w:left="32"/>
      <w:jc w:val="center"/>
      <w:rPr>
        <w:sz w:val="32"/>
        <w:szCs w:val="32"/>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24.7pt;height:92.55pt" o:bullet="t">
        <v:imagedata r:id="rId1" o:title="RASHUT"/>
      </v:shape>
    </w:pict>
  </w:numPicBullet>
  <w:abstractNum w:abstractNumId="0">
    <w:nsid w:val="00684214"/>
    <w:multiLevelType w:val="hybridMultilevel"/>
    <w:tmpl w:val="69D8F550"/>
    <w:lvl w:ilvl="0" w:tplc="A0264AD6">
      <w:start w:val="9"/>
      <w:numFmt w:val="hebrew1"/>
      <w:lvlText w:val="%1."/>
      <w:lvlJc w:val="center"/>
      <w:pPr>
        <w:ind w:left="144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E43B0D"/>
    <w:multiLevelType w:val="hybridMultilevel"/>
    <w:tmpl w:val="5E988532"/>
    <w:lvl w:ilvl="0" w:tplc="04090013">
      <w:start w:val="1"/>
      <w:numFmt w:val="hebrew1"/>
      <w:lvlText w:val="%1."/>
      <w:lvlJc w:val="center"/>
      <w:pPr>
        <w:ind w:left="668" w:hanging="360"/>
      </w:pPr>
    </w:lvl>
    <w:lvl w:ilvl="1" w:tplc="04090019" w:tentative="1">
      <w:start w:val="1"/>
      <w:numFmt w:val="lowerLetter"/>
      <w:lvlText w:val="%2."/>
      <w:lvlJc w:val="left"/>
      <w:pPr>
        <w:ind w:left="1388" w:hanging="360"/>
      </w:pPr>
    </w:lvl>
    <w:lvl w:ilvl="2" w:tplc="0409001B" w:tentative="1">
      <w:start w:val="1"/>
      <w:numFmt w:val="lowerRoman"/>
      <w:lvlText w:val="%3."/>
      <w:lvlJc w:val="right"/>
      <w:pPr>
        <w:ind w:left="2108" w:hanging="180"/>
      </w:pPr>
    </w:lvl>
    <w:lvl w:ilvl="3" w:tplc="0409000F" w:tentative="1">
      <w:start w:val="1"/>
      <w:numFmt w:val="decimal"/>
      <w:lvlText w:val="%4."/>
      <w:lvlJc w:val="left"/>
      <w:pPr>
        <w:ind w:left="2828" w:hanging="360"/>
      </w:pPr>
    </w:lvl>
    <w:lvl w:ilvl="4" w:tplc="04090019" w:tentative="1">
      <w:start w:val="1"/>
      <w:numFmt w:val="lowerLetter"/>
      <w:lvlText w:val="%5."/>
      <w:lvlJc w:val="left"/>
      <w:pPr>
        <w:ind w:left="3548" w:hanging="360"/>
      </w:pPr>
    </w:lvl>
    <w:lvl w:ilvl="5" w:tplc="0409001B" w:tentative="1">
      <w:start w:val="1"/>
      <w:numFmt w:val="lowerRoman"/>
      <w:lvlText w:val="%6."/>
      <w:lvlJc w:val="right"/>
      <w:pPr>
        <w:ind w:left="4268" w:hanging="180"/>
      </w:pPr>
    </w:lvl>
    <w:lvl w:ilvl="6" w:tplc="0409000F" w:tentative="1">
      <w:start w:val="1"/>
      <w:numFmt w:val="decimal"/>
      <w:lvlText w:val="%7."/>
      <w:lvlJc w:val="left"/>
      <w:pPr>
        <w:ind w:left="4988" w:hanging="360"/>
      </w:pPr>
    </w:lvl>
    <w:lvl w:ilvl="7" w:tplc="04090019" w:tentative="1">
      <w:start w:val="1"/>
      <w:numFmt w:val="lowerLetter"/>
      <w:lvlText w:val="%8."/>
      <w:lvlJc w:val="left"/>
      <w:pPr>
        <w:ind w:left="5708" w:hanging="360"/>
      </w:pPr>
    </w:lvl>
    <w:lvl w:ilvl="8" w:tplc="0409001B" w:tentative="1">
      <w:start w:val="1"/>
      <w:numFmt w:val="lowerRoman"/>
      <w:lvlText w:val="%9."/>
      <w:lvlJc w:val="right"/>
      <w:pPr>
        <w:ind w:left="6428" w:hanging="180"/>
      </w:pPr>
    </w:lvl>
  </w:abstractNum>
  <w:abstractNum w:abstractNumId="2">
    <w:nsid w:val="0ED8393E"/>
    <w:multiLevelType w:val="hybridMultilevel"/>
    <w:tmpl w:val="D7D6E07E"/>
    <w:lvl w:ilvl="0" w:tplc="5B24D778">
      <w:start w:val="1"/>
      <w:numFmt w:val="decimal"/>
      <w:lvlText w:val="%1."/>
      <w:lvlJc w:val="left"/>
      <w:pPr>
        <w:ind w:left="734" w:hanging="360"/>
      </w:pPr>
      <w:rPr>
        <w:rFonts w:hint="default"/>
      </w:r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3">
    <w:nsid w:val="134333CB"/>
    <w:multiLevelType w:val="hybridMultilevel"/>
    <w:tmpl w:val="A9B40644"/>
    <w:lvl w:ilvl="0" w:tplc="C3F4E16E">
      <w:start w:val="1"/>
      <w:numFmt w:val="decimal"/>
      <w:lvlText w:val="%1."/>
      <w:lvlJc w:val="left"/>
      <w:pPr>
        <w:ind w:left="720" w:hanging="360"/>
      </w:pPr>
      <w:rPr>
        <w:rFonts w:ascii="Times New Roman" w:eastAsia="Times New Roman" w:hAnsi="Times New Roman" w:cs="David"/>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D0658B"/>
    <w:multiLevelType w:val="hybridMultilevel"/>
    <w:tmpl w:val="E8D25CD4"/>
    <w:lvl w:ilvl="0" w:tplc="712E8D32">
      <w:start w:val="1"/>
      <w:numFmt w:val="decimal"/>
      <w:lvlText w:val="%1."/>
      <w:lvlJc w:val="left"/>
      <w:pPr>
        <w:ind w:left="455" w:hanging="360"/>
      </w:pPr>
      <w:rPr>
        <w:rFonts w:hint="default"/>
        <w:b w:val="0"/>
        <w:bCs w:val="0"/>
      </w:rPr>
    </w:lvl>
    <w:lvl w:ilvl="1" w:tplc="04090019">
      <w:start w:val="1"/>
      <w:numFmt w:val="lowerLetter"/>
      <w:lvlText w:val="%2."/>
      <w:lvlJc w:val="left"/>
      <w:pPr>
        <w:ind w:left="1895" w:hanging="360"/>
      </w:pPr>
    </w:lvl>
    <w:lvl w:ilvl="2" w:tplc="0409001B" w:tentative="1">
      <w:start w:val="1"/>
      <w:numFmt w:val="lowerRoman"/>
      <w:lvlText w:val="%3."/>
      <w:lvlJc w:val="right"/>
      <w:pPr>
        <w:ind w:left="2615" w:hanging="180"/>
      </w:pPr>
    </w:lvl>
    <w:lvl w:ilvl="3" w:tplc="0409000F" w:tentative="1">
      <w:start w:val="1"/>
      <w:numFmt w:val="decimal"/>
      <w:lvlText w:val="%4."/>
      <w:lvlJc w:val="left"/>
      <w:pPr>
        <w:ind w:left="3335" w:hanging="360"/>
      </w:pPr>
    </w:lvl>
    <w:lvl w:ilvl="4" w:tplc="04090019" w:tentative="1">
      <w:start w:val="1"/>
      <w:numFmt w:val="lowerLetter"/>
      <w:lvlText w:val="%5."/>
      <w:lvlJc w:val="left"/>
      <w:pPr>
        <w:ind w:left="4055" w:hanging="360"/>
      </w:pPr>
    </w:lvl>
    <w:lvl w:ilvl="5" w:tplc="0409001B" w:tentative="1">
      <w:start w:val="1"/>
      <w:numFmt w:val="lowerRoman"/>
      <w:lvlText w:val="%6."/>
      <w:lvlJc w:val="right"/>
      <w:pPr>
        <w:ind w:left="4775" w:hanging="180"/>
      </w:pPr>
    </w:lvl>
    <w:lvl w:ilvl="6" w:tplc="0409000F" w:tentative="1">
      <w:start w:val="1"/>
      <w:numFmt w:val="decimal"/>
      <w:lvlText w:val="%7."/>
      <w:lvlJc w:val="left"/>
      <w:pPr>
        <w:ind w:left="5495" w:hanging="360"/>
      </w:pPr>
    </w:lvl>
    <w:lvl w:ilvl="7" w:tplc="04090019" w:tentative="1">
      <w:start w:val="1"/>
      <w:numFmt w:val="lowerLetter"/>
      <w:lvlText w:val="%8."/>
      <w:lvlJc w:val="left"/>
      <w:pPr>
        <w:ind w:left="6215" w:hanging="360"/>
      </w:pPr>
    </w:lvl>
    <w:lvl w:ilvl="8" w:tplc="0409001B" w:tentative="1">
      <w:start w:val="1"/>
      <w:numFmt w:val="lowerRoman"/>
      <w:lvlText w:val="%9."/>
      <w:lvlJc w:val="right"/>
      <w:pPr>
        <w:ind w:left="6935" w:hanging="180"/>
      </w:pPr>
    </w:lvl>
  </w:abstractNum>
  <w:abstractNum w:abstractNumId="5">
    <w:nsid w:val="2B7A1A5E"/>
    <w:multiLevelType w:val="hybridMultilevel"/>
    <w:tmpl w:val="81341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C4192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E481A8D"/>
    <w:multiLevelType w:val="hybridMultilevel"/>
    <w:tmpl w:val="872C2CC2"/>
    <w:lvl w:ilvl="0" w:tplc="83E0AD6C">
      <w:start w:val="1"/>
      <w:numFmt w:val="bullet"/>
      <w:lvlText w:val=""/>
      <w:lvlPicBulletId w:val="0"/>
      <w:lvlJc w:val="left"/>
      <w:pPr>
        <w:tabs>
          <w:tab w:val="num" w:pos="720"/>
        </w:tabs>
        <w:ind w:left="720" w:hanging="360"/>
      </w:pPr>
      <w:rPr>
        <w:rFonts w:ascii="Symbol" w:hAnsi="Symbol" w:hint="default"/>
      </w:rPr>
    </w:lvl>
    <w:lvl w:ilvl="1" w:tplc="73DE9FCA" w:tentative="1">
      <w:start w:val="1"/>
      <w:numFmt w:val="bullet"/>
      <w:lvlText w:val=""/>
      <w:lvlJc w:val="left"/>
      <w:pPr>
        <w:tabs>
          <w:tab w:val="num" w:pos="1440"/>
        </w:tabs>
        <w:ind w:left="1440" w:hanging="360"/>
      </w:pPr>
      <w:rPr>
        <w:rFonts w:ascii="Symbol" w:hAnsi="Symbol" w:hint="default"/>
      </w:rPr>
    </w:lvl>
    <w:lvl w:ilvl="2" w:tplc="B96A8A5A" w:tentative="1">
      <w:start w:val="1"/>
      <w:numFmt w:val="bullet"/>
      <w:lvlText w:val=""/>
      <w:lvlJc w:val="left"/>
      <w:pPr>
        <w:tabs>
          <w:tab w:val="num" w:pos="2160"/>
        </w:tabs>
        <w:ind w:left="2160" w:hanging="360"/>
      </w:pPr>
      <w:rPr>
        <w:rFonts w:ascii="Symbol" w:hAnsi="Symbol" w:hint="default"/>
      </w:rPr>
    </w:lvl>
    <w:lvl w:ilvl="3" w:tplc="280A6DCE" w:tentative="1">
      <w:start w:val="1"/>
      <w:numFmt w:val="bullet"/>
      <w:lvlText w:val=""/>
      <w:lvlJc w:val="left"/>
      <w:pPr>
        <w:tabs>
          <w:tab w:val="num" w:pos="2880"/>
        </w:tabs>
        <w:ind w:left="2880" w:hanging="360"/>
      </w:pPr>
      <w:rPr>
        <w:rFonts w:ascii="Symbol" w:hAnsi="Symbol" w:hint="default"/>
      </w:rPr>
    </w:lvl>
    <w:lvl w:ilvl="4" w:tplc="082E3EEC" w:tentative="1">
      <w:start w:val="1"/>
      <w:numFmt w:val="bullet"/>
      <w:lvlText w:val=""/>
      <w:lvlJc w:val="left"/>
      <w:pPr>
        <w:tabs>
          <w:tab w:val="num" w:pos="3600"/>
        </w:tabs>
        <w:ind w:left="3600" w:hanging="360"/>
      </w:pPr>
      <w:rPr>
        <w:rFonts w:ascii="Symbol" w:hAnsi="Symbol" w:hint="default"/>
      </w:rPr>
    </w:lvl>
    <w:lvl w:ilvl="5" w:tplc="731C6C62" w:tentative="1">
      <w:start w:val="1"/>
      <w:numFmt w:val="bullet"/>
      <w:lvlText w:val=""/>
      <w:lvlJc w:val="left"/>
      <w:pPr>
        <w:tabs>
          <w:tab w:val="num" w:pos="4320"/>
        </w:tabs>
        <w:ind w:left="4320" w:hanging="360"/>
      </w:pPr>
      <w:rPr>
        <w:rFonts w:ascii="Symbol" w:hAnsi="Symbol" w:hint="default"/>
      </w:rPr>
    </w:lvl>
    <w:lvl w:ilvl="6" w:tplc="67DE363A" w:tentative="1">
      <w:start w:val="1"/>
      <w:numFmt w:val="bullet"/>
      <w:lvlText w:val=""/>
      <w:lvlJc w:val="left"/>
      <w:pPr>
        <w:tabs>
          <w:tab w:val="num" w:pos="5040"/>
        </w:tabs>
        <w:ind w:left="5040" w:hanging="360"/>
      </w:pPr>
      <w:rPr>
        <w:rFonts w:ascii="Symbol" w:hAnsi="Symbol" w:hint="default"/>
      </w:rPr>
    </w:lvl>
    <w:lvl w:ilvl="7" w:tplc="D2EC21CE" w:tentative="1">
      <w:start w:val="1"/>
      <w:numFmt w:val="bullet"/>
      <w:lvlText w:val=""/>
      <w:lvlJc w:val="left"/>
      <w:pPr>
        <w:tabs>
          <w:tab w:val="num" w:pos="5760"/>
        </w:tabs>
        <w:ind w:left="5760" w:hanging="360"/>
      </w:pPr>
      <w:rPr>
        <w:rFonts w:ascii="Symbol" w:hAnsi="Symbol" w:hint="default"/>
      </w:rPr>
    </w:lvl>
    <w:lvl w:ilvl="8" w:tplc="6696FBE8" w:tentative="1">
      <w:start w:val="1"/>
      <w:numFmt w:val="bullet"/>
      <w:lvlText w:val=""/>
      <w:lvlJc w:val="left"/>
      <w:pPr>
        <w:tabs>
          <w:tab w:val="num" w:pos="6480"/>
        </w:tabs>
        <w:ind w:left="6480" w:hanging="360"/>
      </w:pPr>
      <w:rPr>
        <w:rFonts w:ascii="Symbol" w:hAnsi="Symbol" w:hint="default"/>
      </w:rPr>
    </w:lvl>
  </w:abstractNum>
  <w:abstractNum w:abstractNumId="8">
    <w:nsid w:val="3EE46110"/>
    <w:multiLevelType w:val="multilevel"/>
    <w:tmpl w:val="0CE4C9F2"/>
    <w:lvl w:ilvl="0">
      <w:start w:val="1"/>
      <w:numFmt w:val="decimal"/>
      <w:lvlRestart w:val="0"/>
      <w:lvlText w:val="%1."/>
      <w:lvlJc w:val="left"/>
      <w:pPr>
        <w:tabs>
          <w:tab w:val="num" w:pos="397"/>
        </w:tabs>
        <w:ind w:left="397" w:right="397" w:hanging="397"/>
      </w:pPr>
      <w:rPr>
        <w:rFonts w:hint="default"/>
      </w:rPr>
    </w:lvl>
    <w:lvl w:ilvl="1">
      <w:start w:val="1"/>
      <w:numFmt w:val="decimal"/>
      <w:lvlText w:val="%1.%2."/>
      <w:lvlJc w:val="left"/>
      <w:pPr>
        <w:tabs>
          <w:tab w:val="num" w:pos="1020"/>
        </w:tabs>
        <w:ind w:left="1020" w:right="1020" w:hanging="623"/>
      </w:pPr>
      <w:rPr>
        <w:rFonts w:cs="David" w:hint="cs"/>
        <w:bCs w:val="0"/>
        <w:iCs w:val="0"/>
        <w:szCs w:val="28"/>
      </w:rPr>
    </w:lvl>
    <w:lvl w:ilvl="2">
      <w:start w:val="1"/>
      <w:numFmt w:val="decimal"/>
      <w:lvlText w:val="%1.%2.%3."/>
      <w:lvlJc w:val="left"/>
      <w:pPr>
        <w:tabs>
          <w:tab w:val="num" w:pos="1757"/>
        </w:tabs>
        <w:ind w:left="1757" w:right="1757" w:hanging="737"/>
      </w:pPr>
      <w:rPr>
        <w:rFonts w:hint="default"/>
      </w:rPr>
    </w:lvl>
    <w:lvl w:ilvl="3">
      <w:start w:val="1"/>
      <w:numFmt w:val="decimal"/>
      <w:lvlText w:val="%1.%2.%3.%4."/>
      <w:lvlJc w:val="left"/>
      <w:pPr>
        <w:tabs>
          <w:tab w:val="num" w:pos="2721"/>
        </w:tabs>
        <w:ind w:left="2721" w:right="2721" w:hanging="964"/>
      </w:pPr>
      <w:rPr>
        <w:rFonts w:hint="default"/>
      </w:rPr>
    </w:lvl>
    <w:lvl w:ilvl="4">
      <w:start w:val="1"/>
      <w:numFmt w:val="hebrew1"/>
      <w:lvlText w:val="%5."/>
      <w:lvlJc w:val="left"/>
      <w:pPr>
        <w:tabs>
          <w:tab w:val="num" w:pos="3175"/>
        </w:tabs>
        <w:ind w:left="3175" w:right="3175" w:hanging="454"/>
      </w:pPr>
      <w:rPr>
        <w:rFonts w:hint="default"/>
      </w:rPr>
    </w:lvl>
    <w:lvl w:ilvl="5">
      <w:start w:val="1"/>
      <w:numFmt w:val="decimal"/>
      <w:lvlText w:val="%6)"/>
      <w:lvlJc w:val="left"/>
      <w:pPr>
        <w:tabs>
          <w:tab w:val="num" w:pos="3628"/>
        </w:tabs>
        <w:ind w:left="3628" w:right="3628" w:hanging="453"/>
      </w:pPr>
      <w:rPr>
        <w:rFonts w:hint="default"/>
      </w:rPr>
    </w:lvl>
    <w:lvl w:ilvl="6">
      <w:start w:val="1"/>
      <w:numFmt w:val="hebrew1"/>
      <w:lvlText w:val="%7."/>
      <w:lvlJc w:val="left"/>
      <w:pPr>
        <w:tabs>
          <w:tab w:val="num" w:pos="4082"/>
        </w:tabs>
        <w:ind w:left="4082" w:right="4082" w:hanging="454"/>
      </w:pPr>
      <w:rPr>
        <w:rFonts w:hint="default"/>
      </w:rPr>
    </w:lvl>
    <w:lvl w:ilvl="7">
      <w:start w:val="1"/>
      <w:numFmt w:val="bullet"/>
      <w:lvlText w:val=""/>
      <w:lvlJc w:val="left"/>
      <w:pPr>
        <w:tabs>
          <w:tab w:val="num" w:pos="4535"/>
        </w:tabs>
        <w:ind w:left="4535" w:right="4535" w:hanging="453"/>
      </w:pPr>
      <w:rPr>
        <w:rFonts w:ascii="Wingdings 2" w:hAnsi="Wingdings 2" w:cs="Times New Roman" w:hint="default"/>
      </w:rPr>
    </w:lvl>
    <w:lvl w:ilvl="8">
      <w:start w:val="1"/>
      <w:numFmt w:val="bullet"/>
      <w:lvlText w:val=""/>
      <w:lvlJc w:val="left"/>
      <w:pPr>
        <w:tabs>
          <w:tab w:val="num" w:pos="5102"/>
        </w:tabs>
        <w:ind w:left="5102" w:right="5102" w:hanging="567"/>
      </w:pPr>
      <w:rPr>
        <w:rFonts w:ascii="Wingdings" w:hAnsi="Wingdings" w:cs="Times New Roman" w:hint="default"/>
      </w:rPr>
    </w:lvl>
  </w:abstractNum>
  <w:abstractNum w:abstractNumId="9">
    <w:nsid w:val="4D3E194C"/>
    <w:multiLevelType w:val="hybridMultilevel"/>
    <w:tmpl w:val="8EF61624"/>
    <w:lvl w:ilvl="0" w:tplc="F8C68B6A">
      <w:start w:val="9"/>
      <w:numFmt w:val="hebrew1"/>
      <w:lvlText w:val="%1."/>
      <w:lvlJc w:val="center"/>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BCB5512"/>
    <w:multiLevelType w:val="hybridMultilevel"/>
    <w:tmpl w:val="9E70AF68"/>
    <w:lvl w:ilvl="0" w:tplc="A776F4A4">
      <w:start w:val="4"/>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D234911"/>
    <w:multiLevelType w:val="hybridMultilevel"/>
    <w:tmpl w:val="91643D52"/>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6366115D"/>
    <w:multiLevelType w:val="hybridMultilevel"/>
    <w:tmpl w:val="01B01B26"/>
    <w:lvl w:ilvl="0" w:tplc="567892CC">
      <w:start w:val="1"/>
      <w:numFmt w:val="decimal"/>
      <w:lvlText w:val="%1."/>
      <w:lvlJc w:val="left"/>
      <w:pPr>
        <w:ind w:left="715" w:hanging="375"/>
      </w:pPr>
      <w:rPr>
        <w:rFonts w:hint="default"/>
        <w:sz w:val="26"/>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3">
    <w:nsid w:val="64F5527B"/>
    <w:multiLevelType w:val="hybridMultilevel"/>
    <w:tmpl w:val="48D8EBC4"/>
    <w:lvl w:ilvl="0" w:tplc="61E899EC">
      <w:start w:val="1"/>
      <w:numFmt w:val="decimal"/>
      <w:lvlText w:val="%1."/>
      <w:lvlJc w:val="left"/>
      <w:pPr>
        <w:ind w:left="720" w:hanging="360"/>
      </w:pPr>
      <w:rPr>
        <w:rFonts w:ascii="Times New Roman" w:eastAsia="Times New Roman" w:hAnsi="Times New Roman" w:cs="Davi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EB565B7"/>
    <w:multiLevelType w:val="hybridMultilevel"/>
    <w:tmpl w:val="0C58E75E"/>
    <w:lvl w:ilvl="0" w:tplc="E7D4774A">
      <w:start w:val="1"/>
      <w:numFmt w:val="decimal"/>
      <w:lvlText w:val="%1."/>
      <w:lvlJc w:val="left"/>
      <w:pPr>
        <w:ind w:left="834" w:hanging="360"/>
      </w:pPr>
      <w:rPr>
        <w:rFonts w:hint="default"/>
      </w:rPr>
    </w:lvl>
    <w:lvl w:ilvl="1" w:tplc="A8928B74">
      <w:start w:val="1"/>
      <w:numFmt w:val="hebrew1"/>
      <w:lvlText w:val="(%2)"/>
      <w:lvlJc w:val="left"/>
      <w:pPr>
        <w:ind w:left="1554" w:hanging="360"/>
      </w:pPr>
      <w:rPr>
        <w:rFonts w:ascii="Arial" w:eastAsia="Arial Unicode MS" w:hAnsi="Arial" w:cs="David"/>
      </w:rPr>
    </w:lvl>
    <w:lvl w:ilvl="2" w:tplc="0409001B">
      <w:start w:val="1"/>
      <w:numFmt w:val="lowerRoman"/>
      <w:lvlText w:val="%3."/>
      <w:lvlJc w:val="right"/>
      <w:pPr>
        <w:ind w:left="2274" w:hanging="180"/>
      </w:pPr>
    </w:lvl>
    <w:lvl w:ilvl="3" w:tplc="0409000F" w:tentative="1">
      <w:start w:val="1"/>
      <w:numFmt w:val="decimal"/>
      <w:lvlText w:val="%4."/>
      <w:lvlJc w:val="left"/>
      <w:pPr>
        <w:ind w:left="2994" w:hanging="360"/>
      </w:pPr>
    </w:lvl>
    <w:lvl w:ilvl="4" w:tplc="04090019" w:tentative="1">
      <w:start w:val="1"/>
      <w:numFmt w:val="lowerLetter"/>
      <w:lvlText w:val="%5."/>
      <w:lvlJc w:val="left"/>
      <w:pPr>
        <w:ind w:left="3714" w:hanging="360"/>
      </w:pPr>
    </w:lvl>
    <w:lvl w:ilvl="5" w:tplc="0409001B" w:tentative="1">
      <w:start w:val="1"/>
      <w:numFmt w:val="lowerRoman"/>
      <w:lvlText w:val="%6."/>
      <w:lvlJc w:val="right"/>
      <w:pPr>
        <w:ind w:left="4434" w:hanging="180"/>
      </w:pPr>
    </w:lvl>
    <w:lvl w:ilvl="6" w:tplc="0409000F" w:tentative="1">
      <w:start w:val="1"/>
      <w:numFmt w:val="decimal"/>
      <w:lvlText w:val="%7."/>
      <w:lvlJc w:val="left"/>
      <w:pPr>
        <w:ind w:left="5154" w:hanging="360"/>
      </w:pPr>
    </w:lvl>
    <w:lvl w:ilvl="7" w:tplc="04090019" w:tentative="1">
      <w:start w:val="1"/>
      <w:numFmt w:val="lowerLetter"/>
      <w:lvlText w:val="%8."/>
      <w:lvlJc w:val="left"/>
      <w:pPr>
        <w:ind w:left="5874" w:hanging="360"/>
      </w:pPr>
    </w:lvl>
    <w:lvl w:ilvl="8" w:tplc="0409001B" w:tentative="1">
      <w:start w:val="1"/>
      <w:numFmt w:val="lowerRoman"/>
      <w:lvlText w:val="%9."/>
      <w:lvlJc w:val="right"/>
      <w:pPr>
        <w:ind w:left="6594" w:hanging="180"/>
      </w:pPr>
    </w:lvl>
  </w:abstractNum>
  <w:abstractNum w:abstractNumId="15">
    <w:nsid w:val="6FD51C43"/>
    <w:multiLevelType w:val="hybridMultilevel"/>
    <w:tmpl w:val="EA2894A6"/>
    <w:lvl w:ilvl="0" w:tplc="CE2AB80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7B2360A"/>
    <w:multiLevelType w:val="hybridMultilevel"/>
    <w:tmpl w:val="A91404B8"/>
    <w:lvl w:ilvl="0" w:tplc="866092AC">
      <w:start w:val="1"/>
      <w:numFmt w:val="hebrew1"/>
      <w:lvlText w:val="(%1)"/>
      <w:lvlJc w:val="left"/>
      <w:pPr>
        <w:ind w:left="1440" w:hanging="360"/>
      </w:pPr>
      <w:rPr>
        <w:rFonts w:ascii="Times New Roman" w:eastAsia="Times New Roman" w:hAnsi="Times New Roman" w:cs="David"/>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11"/>
  </w:num>
  <w:num w:numId="3">
    <w:abstractNumId w:val="8"/>
  </w:num>
  <w:num w:numId="4">
    <w:abstractNumId w:val="6"/>
  </w:num>
  <w:num w:numId="5">
    <w:abstractNumId w:val="5"/>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9"/>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094"/>
    <w:rsid w:val="00002FB5"/>
    <w:rsid w:val="00063536"/>
    <w:rsid w:val="000C1E46"/>
    <w:rsid w:val="00125BB9"/>
    <w:rsid w:val="00132954"/>
    <w:rsid w:val="001460DB"/>
    <w:rsid w:val="001E6CAD"/>
    <w:rsid w:val="001F4F39"/>
    <w:rsid w:val="00224DA1"/>
    <w:rsid w:val="002634EF"/>
    <w:rsid w:val="00272401"/>
    <w:rsid w:val="00284226"/>
    <w:rsid w:val="0030164C"/>
    <w:rsid w:val="0030545B"/>
    <w:rsid w:val="003156BA"/>
    <w:rsid w:val="003362BB"/>
    <w:rsid w:val="00376D9C"/>
    <w:rsid w:val="003A0A84"/>
    <w:rsid w:val="003B010B"/>
    <w:rsid w:val="003E2750"/>
    <w:rsid w:val="004020E0"/>
    <w:rsid w:val="004065CC"/>
    <w:rsid w:val="00416771"/>
    <w:rsid w:val="00477967"/>
    <w:rsid w:val="00495A32"/>
    <w:rsid w:val="004D4C89"/>
    <w:rsid w:val="004E72A4"/>
    <w:rsid w:val="00506FC9"/>
    <w:rsid w:val="005100FD"/>
    <w:rsid w:val="00517B9D"/>
    <w:rsid w:val="00533A36"/>
    <w:rsid w:val="00553226"/>
    <w:rsid w:val="0058648C"/>
    <w:rsid w:val="00591E27"/>
    <w:rsid w:val="005D2CD6"/>
    <w:rsid w:val="005D583E"/>
    <w:rsid w:val="005E7344"/>
    <w:rsid w:val="00606952"/>
    <w:rsid w:val="006213D4"/>
    <w:rsid w:val="00641535"/>
    <w:rsid w:val="00672A76"/>
    <w:rsid w:val="006815C0"/>
    <w:rsid w:val="006931FC"/>
    <w:rsid w:val="006A633E"/>
    <w:rsid w:val="006A6A89"/>
    <w:rsid w:val="006A7242"/>
    <w:rsid w:val="006C0C58"/>
    <w:rsid w:val="006F7734"/>
    <w:rsid w:val="00737EE9"/>
    <w:rsid w:val="00742A62"/>
    <w:rsid w:val="00776A71"/>
    <w:rsid w:val="00787AA7"/>
    <w:rsid w:val="007C5976"/>
    <w:rsid w:val="007E0B4E"/>
    <w:rsid w:val="007F1318"/>
    <w:rsid w:val="00874C9B"/>
    <w:rsid w:val="00892CAF"/>
    <w:rsid w:val="00894955"/>
    <w:rsid w:val="008C495A"/>
    <w:rsid w:val="008E5286"/>
    <w:rsid w:val="009047E1"/>
    <w:rsid w:val="00954FD1"/>
    <w:rsid w:val="00961140"/>
    <w:rsid w:val="00965681"/>
    <w:rsid w:val="00A44557"/>
    <w:rsid w:val="00A51A16"/>
    <w:rsid w:val="00AB3778"/>
    <w:rsid w:val="00AC4094"/>
    <w:rsid w:val="00B02C95"/>
    <w:rsid w:val="00B40E94"/>
    <w:rsid w:val="00B446CD"/>
    <w:rsid w:val="00B67AE8"/>
    <w:rsid w:val="00B73A99"/>
    <w:rsid w:val="00B92C42"/>
    <w:rsid w:val="00BA3D82"/>
    <w:rsid w:val="00BA5E36"/>
    <w:rsid w:val="00BD2D2D"/>
    <w:rsid w:val="00C04D44"/>
    <w:rsid w:val="00C463DE"/>
    <w:rsid w:val="00C878EC"/>
    <w:rsid w:val="00C929B4"/>
    <w:rsid w:val="00D91311"/>
    <w:rsid w:val="00DA451B"/>
    <w:rsid w:val="00DC3344"/>
    <w:rsid w:val="00DF412A"/>
    <w:rsid w:val="00E0247F"/>
    <w:rsid w:val="00E137B7"/>
    <w:rsid w:val="00E156DE"/>
    <w:rsid w:val="00E331F3"/>
    <w:rsid w:val="00E5469E"/>
    <w:rsid w:val="00E571A0"/>
    <w:rsid w:val="00E62C85"/>
    <w:rsid w:val="00E92663"/>
    <w:rsid w:val="00EA7DC7"/>
    <w:rsid w:val="00EB3C9B"/>
    <w:rsid w:val="00ED664D"/>
    <w:rsid w:val="00F41E01"/>
    <w:rsid w:val="00F454DB"/>
    <w:rsid w:val="00F46785"/>
    <w:rsid w:val="00F66BE2"/>
    <w:rsid w:val="00F830B2"/>
    <w:rsid w:val="00FE0259"/>
    <w:rsid w:val="00FF72A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6BE2"/>
    <w:pPr>
      <w:widowControl w:val="0"/>
      <w:bidi/>
    </w:pPr>
    <w:rPr>
      <w:rFonts w:cs="David"/>
      <w:sz w:val="24"/>
      <w:szCs w:val="24"/>
    </w:rPr>
  </w:style>
  <w:style w:type="paragraph" w:styleId="1">
    <w:name w:val="heading 1"/>
    <w:basedOn w:val="a"/>
    <w:next w:val="a"/>
    <w:qFormat/>
    <w:rsid w:val="00F66BE2"/>
    <w:pPr>
      <w:spacing w:before="240" w:after="60"/>
      <w:outlineLvl w:val="0"/>
    </w:pPr>
    <w:rPr>
      <w:b/>
      <w:bCs/>
      <w:kern w:val="32"/>
      <w:sz w:val="36"/>
      <w:szCs w:val="36"/>
    </w:rPr>
  </w:style>
  <w:style w:type="paragraph" w:styleId="2">
    <w:name w:val="heading 2"/>
    <w:basedOn w:val="a"/>
    <w:next w:val="a"/>
    <w:qFormat/>
    <w:rsid w:val="00F66BE2"/>
    <w:pPr>
      <w:spacing w:before="240" w:after="60"/>
      <w:outlineLvl w:val="1"/>
    </w:pPr>
    <w:rPr>
      <w:b/>
      <w:bCs/>
      <w:sz w:val="32"/>
      <w:szCs w:val="32"/>
    </w:rPr>
  </w:style>
  <w:style w:type="paragraph" w:styleId="3">
    <w:name w:val="heading 3"/>
    <w:basedOn w:val="a"/>
    <w:next w:val="a"/>
    <w:qFormat/>
    <w:rsid w:val="00F66BE2"/>
    <w:pPr>
      <w:spacing w:before="240" w:after="60"/>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66BE2"/>
    <w:pPr>
      <w:tabs>
        <w:tab w:val="center" w:pos="4153"/>
        <w:tab w:val="right" w:pos="8306"/>
      </w:tabs>
    </w:pPr>
  </w:style>
  <w:style w:type="paragraph" w:styleId="a4">
    <w:name w:val="footer"/>
    <w:basedOn w:val="a"/>
    <w:rsid w:val="00F66BE2"/>
    <w:pPr>
      <w:tabs>
        <w:tab w:val="center" w:pos="4153"/>
        <w:tab w:val="right" w:pos="8306"/>
      </w:tabs>
    </w:pPr>
  </w:style>
  <w:style w:type="character" w:styleId="a5">
    <w:name w:val="page number"/>
    <w:basedOn w:val="a0"/>
    <w:rsid w:val="00FE0259"/>
  </w:style>
  <w:style w:type="paragraph" w:customStyle="1" w:styleId="20">
    <w:name w:val="תו תו תו2 תו תו תו תו תו תו תו תו תו"/>
    <w:basedOn w:val="a"/>
    <w:rsid w:val="00F41E01"/>
    <w:pPr>
      <w:widowControl/>
      <w:bidi w:val="0"/>
      <w:spacing w:after="160" w:line="240" w:lineRule="exact"/>
    </w:pPr>
    <w:rPr>
      <w:rFonts w:ascii="Tahoma" w:hAnsi="Tahoma" w:cs="Tahoma"/>
      <w:sz w:val="20"/>
      <w:szCs w:val="20"/>
      <w:lang w:bidi="ar-SA"/>
    </w:rPr>
  </w:style>
  <w:style w:type="paragraph" w:styleId="a6">
    <w:name w:val="Balloon Text"/>
    <w:basedOn w:val="a"/>
    <w:link w:val="a7"/>
    <w:uiPriority w:val="99"/>
    <w:semiHidden/>
    <w:unhideWhenUsed/>
    <w:rsid w:val="00284226"/>
    <w:rPr>
      <w:rFonts w:ascii="Tahoma" w:hAnsi="Tahoma" w:cs="Tahoma"/>
      <w:sz w:val="16"/>
      <w:szCs w:val="16"/>
    </w:rPr>
  </w:style>
  <w:style w:type="character" w:customStyle="1" w:styleId="a7">
    <w:name w:val="טקסט בלונים תו"/>
    <w:basedOn w:val="a0"/>
    <w:link w:val="a6"/>
    <w:uiPriority w:val="99"/>
    <w:semiHidden/>
    <w:rsid w:val="00284226"/>
    <w:rPr>
      <w:rFonts w:ascii="Tahoma" w:hAnsi="Tahoma" w:cs="Tahoma"/>
      <w:sz w:val="16"/>
      <w:szCs w:val="16"/>
    </w:rPr>
  </w:style>
  <w:style w:type="paragraph" w:customStyle="1" w:styleId="Hesber">
    <w:name w:val="Hesber"/>
    <w:basedOn w:val="a"/>
    <w:rsid w:val="007E0B4E"/>
    <w:pPr>
      <w:autoSpaceDE w:val="0"/>
      <w:autoSpaceDN w:val="0"/>
      <w:adjustRightInd w:val="0"/>
      <w:snapToGrid w:val="0"/>
      <w:spacing w:line="360" w:lineRule="auto"/>
      <w:ind w:firstLine="340"/>
      <w:jc w:val="both"/>
      <w:textAlignment w:val="center"/>
    </w:pPr>
    <w:rPr>
      <w:rFonts w:ascii="Arial" w:eastAsia="Arial Unicode MS" w:hAnsi="Arial"/>
      <w:snapToGrid w:val="0"/>
      <w:color w:val="000000"/>
      <w:sz w:val="20"/>
      <w:szCs w:val="26"/>
      <w:lang w:eastAsia="ja-JP"/>
    </w:rPr>
  </w:style>
  <w:style w:type="paragraph" w:styleId="a8">
    <w:name w:val="List Paragraph"/>
    <w:basedOn w:val="a"/>
    <w:uiPriority w:val="34"/>
    <w:qFormat/>
    <w:rsid w:val="007E0B4E"/>
    <w:pPr>
      <w:ind w:left="720"/>
      <w:contextualSpacing/>
    </w:pPr>
  </w:style>
  <w:style w:type="character" w:styleId="a9">
    <w:name w:val="annotation reference"/>
    <w:basedOn w:val="a0"/>
    <w:uiPriority w:val="99"/>
    <w:semiHidden/>
    <w:unhideWhenUsed/>
    <w:rsid w:val="00D91311"/>
    <w:rPr>
      <w:sz w:val="16"/>
      <w:szCs w:val="16"/>
    </w:rPr>
  </w:style>
  <w:style w:type="paragraph" w:styleId="aa">
    <w:name w:val="annotation text"/>
    <w:basedOn w:val="a"/>
    <w:link w:val="ab"/>
    <w:uiPriority w:val="99"/>
    <w:semiHidden/>
    <w:unhideWhenUsed/>
    <w:rsid w:val="00D91311"/>
    <w:rPr>
      <w:sz w:val="20"/>
      <w:szCs w:val="20"/>
    </w:rPr>
  </w:style>
  <w:style w:type="character" w:customStyle="1" w:styleId="ab">
    <w:name w:val="טקסט הערה תו"/>
    <w:basedOn w:val="a0"/>
    <w:link w:val="aa"/>
    <w:uiPriority w:val="99"/>
    <w:semiHidden/>
    <w:rsid w:val="00D91311"/>
    <w:rPr>
      <w:rFonts w:cs="David"/>
    </w:rPr>
  </w:style>
  <w:style w:type="paragraph" w:styleId="ac">
    <w:name w:val="annotation subject"/>
    <w:basedOn w:val="aa"/>
    <w:next w:val="aa"/>
    <w:link w:val="ad"/>
    <w:uiPriority w:val="99"/>
    <w:semiHidden/>
    <w:unhideWhenUsed/>
    <w:rsid w:val="00D91311"/>
    <w:rPr>
      <w:b/>
      <w:bCs/>
    </w:rPr>
  </w:style>
  <w:style w:type="character" w:customStyle="1" w:styleId="ad">
    <w:name w:val="נושא הערה תו"/>
    <w:basedOn w:val="ab"/>
    <w:link w:val="ac"/>
    <w:uiPriority w:val="99"/>
    <w:semiHidden/>
    <w:rsid w:val="00D91311"/>
    <w:rPr>
      <w:rFonts w:cs="David"/>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6BE2"/>
    <w:pPr>
      <w:widowControl w:val="0"/>
      <w:bidi/>
    </w:pPr>
    <w:rPr>
      <w:rFonts w:cs="David"/>
      <w:sz w:val="24"/>
      <w:szCs w:val="24"/>
    </w:rPr>
  </w:style>
  <w:style w:type="paragraph" w:styleId="1">
    <w:name w:val="heading 1"/>
    <w:basedOn w:val="a"/>
    <w:next w:val="a"/>
    <w:qFormat/>
    <w:rsid w:val="00F66BE2"/>
    <w:pPr>
      <w:spacing w:before="240" w:after="60"/>
      <w:outlineLvl w:val="0"/>
    </w:pPr>
    <w:rPr>
      <w:b/>
      <w:bCs/>
      <w:kern w:val="32"/>
      <w:sz w:val="36"/>
      <w:szCs w:val="36"/>
    </w:rPr>
  </w:style>
  <w:style w:type="paragraph" w:styleId="2">
    <w:name w:val="heading 2"/>
    <w:basedOn w:val="a"/>
    <w:next w:val="a"/>
    <w:qFormat/>
    <w:rsid w:val="00F66BE2"/>
    <w:pPr>
      <w:spacing w:before="240" w:after="60"/>
      <w:outlineLvl w:val="1"/>
    </w:pPr>
    <w:rPr>
      <w:b/>
      <w:bCs/>
      <w:sz w:val="32"/>
      <w:szCs w:val="32"/>
    </w:rPr>
  </w:style>
  <w:style w:type="paragraph" w:styleId="3">
    <w:name w:val="heading 3"/>
    <w:basedOn w:val="a"/>
    <w:next w:val="a"/>
    <w:qFormat/>
    <w:rsid w:val="00F66BE2"/>
    <w:pPr>
      <w:spacing w:before="240" w:after="60"/>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66BE2"/>
    <w:pPr>
      <w:tabs>
        <w:tab w:val="center" w:pos="4153"/>
        <w:tab w:val="right" w:pos="8306"/>
      </w:tabs>
    </w:pPr>
  </w:style>
  <w:style w:type="paragraph" w:styleId="a4">
    <w:name w:val="footer"/>
    <w:basedOn w:val="a"/>
    <w:rsid w:val="00F66BE2"/>
    <w:pPr>
      <w:tabs>
        <w:tab w:val="center" w:pos="4153"/>
        <w:tab w:val="right" w:pos="8306"/>
      </w:tabs>
    </w:pPr>
  </w:style>
  <w:style w:type="character" w:styleId="a5">
    <w:name w:val="page number"/>
    <w:basedOn w:val="a0"/>
    <w:rsid w:val="00FE0259"/>
  </w:style>
  <w:style w:type="paragraph" w:customStyle="1" w:styleId="20">
    <w:name w:val="תו תו תו2 תו תו תו תו תו תו תו תו תו"/>
    <w:basedOn w:val="a"/>
    <w:rsid w:val="00F41E01"/>
    <w:pPr>
      <w:widowControl/>
      <w:bidi w:val="0"/>
      <w:spacing w:after="160" w:line="240" w:lineRule="exact"/>
    </w:pPr>
    <w:rPr>
      <w:rFonts w:ascii="Tahoma" w:hAnsi="Tahoma" w:cs="Tahoma"/>
      <w:sz w:val="20"/>
      <w:szCs w:val="20"/>
      <w:lang w:bidi="ar-SA"/>
    </w:rPr>
  </w:style>
  <w:style w:type="paragraph" w:styleId="a6">
    <w:name w:val="Balloon Text"/>
    <w:basedOn w:val="a"/>
    <w:link w:val="a7"/>
    <w:uiPriority w:val="99"/>
    <w:semiHidden/>
    <w:unhideWhenUsed/>
    <w:rsid w:val="00284226"/>
    <w:rPr>
      <w:rFonts w:ascii="Tahoma" w:hAnsi="Tahoma" w:cs="Tahoma"/>
      <w:sz w:val="16"/>
      <w:szCs w:val="16"/>
    </w:rPr>
  </w:style>
  <w:style w:type="character" w:customStyle="1" w:styleId="a7">
    <w:name w:val="טקסט בלונים תו"/>
    <w:basedOn w:val="a0"/>
    <w:link w:val="a6"/>
    <w:uiPriority w:val="99"/>
    <w:semiHidden/>
    <w:rsid w:val="00284226"/>
    <w:rPr>
      <w:rFonts w:ascii="Tahoma" w:hAnsi="Tahoma" w:cs="Tahoma"/>
      <w:sz w:val="16"/>
      <w:szCs w:val="16"/>
    </w:rPr>
  </w:style>
  <w:style w:type="paragraph" w:customStyle="1" w:styleId="Hesber">
    <w:name w:val="Hesber"/>
    <w:basedOn w:val="a"/>
    <w:rsid w:val="007E0B4E"/>
    <w:pPr>
      <w:autoSpaceDE w:val="0"/>
      <w:autoSpaceDN w:val="0"/>
      <w:adjustRightInd w:val="0"/>
      <w:snapToGrid w:val="0"/>
      <w:spacing w:line="360" w:lineRule="auto"/>
      <w:ind w:firstLine="340"/>
      <w:jc w:val="both"/>
      <w:textAlignment w:val="center"/>
    </w:pPr>
    <w:rPr>
      <w:rFonts w:ascii="Arial" w:eastAsia="Arial Unicode MS" w:hAnsi="Arial"/>
      <w:snapToGrid w:val="0"/>
      <w:color w:val="000000"/>
      <w:sz w:val="20"/>
      <w:szCs w:val="26"/>
      <w:lang w:eastAsia="ja-JP"/>
    </w:rPr>
  </w:style>
  <w:style w:type="paragraph" w:styleId="a8">
    <w:name w:val="List Paragraph"/>
    <w:basedOn w:val="a"/>
    <w:uiPriority w:val="34"/>
    <w:qFormat/>
    <w:rsid w:val="007E0B4E"/>
    <w:pPr>
      <w:ind w:left="720"/>
      <w:contextualSpacing/>
    </w:pPr>
  </w:style>
  <w:style w:type="character" w:styleId="a9">
    <w:name w:val="annotation reference"/>
    <w:basedOn w:val="a0"/>
    <w:uiPriority w:val="99"/>
    <w:semiHidden/>
    <w:unhideWhenUsed/>
    <w:rsid w:val="00D91311"/>
    <w:rPr>
      <w:sz w:val="16"/>
      <w:szCs w:val="16"/>
    </w:rPr>
  </w:style>
  <w:style w:type="paragraph" w:styleId="aa">
    <w:name w:val="annotation text"/>
    <w:basedOn w:val="a"/>
    <w:link w:val="ab"/>
    <w:uiPriority w:val="99"/>
    <w:semiHidden/>
    <w:unhideWhenUsed/>
    <w:rsid w:val="00D91311"/>
    <w:rPr>
      <w:sz w:val="20"/>
      <w:szCs w:val="20"/>
    </w:rPr>
  </w:style>
  <w:style w:type="character" w:customStyle="1" w:styleId="ab">
    <w:name w:val="טקסט הערה תו"/>
    <w:basedOn w:val="a0"/>
    <w:link w:val="aa"/>
    <w:uiPriority w:val="99"/>
    <w:semiHidden/>
    <w:rsid w:val="00D91311"/>
    <w:rPr>
      <w:rFonts w:cs="David"/>
    </w:rPr>
  </w:style>
  <w:style w:type="paragraph" w:styleId="ac">
    <w:name w:val="annotation subject"/>
    <w:basedOn w:val="aa"/>
    <w:next w:val="aa"/>
    <w:link w:val="ad"/>
    <w:uiPriority w:val="99"/>
    <w:semiHidden/>
    <w:unhideWhenUsed/>
    <w:rsid w:val="00D91311"/>
    <w:rPr>
      <w:b/>
      <w:bCs/>
    </w:rPr>
  </w:style>
  <w:style w:type="character" w:customStyle="1" w:styleId="ad">
    <w:name w:val="נושא הערה תו"/>
    <w:basedOn w:val="ab"/>
    <w:link w:val="ac"/>
    <w:uiPriority w:val="99"/>
    <w:semiHidden/>
    <w:rsid w:val="00D91311"/>
    <w:rPr>
      <w:rFonts w:cs="David"/>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2</Pages>
  <Words>946</Words>
  <Characters>4731</Characters>
  <Application>Microsoft Office Word</Application>
  <DocSecurity>0</DocSecurity>
  <Lines>39</Lines>
  <Paragraphs>11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ירושלים</vt:lpstr>
      <vt:lpstr>ירושלים</vt:lpstr>
    </vt:vector>
  </TitlesOfParts>
  <Company>OZAR</Company>
  <LinksUpToDate>false</LinksUpToDate>
  <CharactersWithSpaces>5666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ירושלים</dc:title>
  <dc:creator>MAOR</dc:creator>
  <cp:lastModifiedBy>דנה מזרחי</cp:lastModifiedBy>
  <cp:revision>38</cp:revision>
  <cp:lastPrinted>2015-10-11T05:51:00Z</cp:lastPrinted>
  <dcterms:created xsi:type="dcterms:W3CDTF">2013-02-27T14:49:00Z</dcterms:created>
  <dcterms:modified xsi:type="dcterms:W3CDTF">2015-10-11T06:10:00Z</dcterms:modified>
</cp:coreProperties>
</file>