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ACC" w:rsidRDefault="00633ACC" w:rsidP="00213284">
      <w:pPr>
        <w:ind w:left="7371"/>
        <w:jc w:val="left"/>
        <w:rPr>
          <w:sz w:val="24"/>
          <w:rtl/>
        </w:rPr>
      </w:pPr>
      <w:bookmarkStart w:id="0" w:name="Date"/>
      <w:bookmarkEnd w:id="0"/>
      <w:r>
        <w:rPr>
          <w:rFonts w:hint="eastAsia"/>
          <w:sz w:val="24"/>
          <w:rtl/>
        </w:rPr>
        <w:t>כ</w:t>
      </w:r>
      <w:r>
        <w:rPr>
          <w:sz w:val="24"/>
          <w:rtl/>
        </w:rPr>
        <w:t>"</w:t>
      </w:r>
      <w:r>
        <w:rPr>
          <w:rFonts w:hint="eastAsia"/>
          <w:sz w:val="24"/>
          <w:rtl/>
        </w:rPr>
        <w:t>ה</w:t>
      </w:r>
      <w:r>
        <w:rPr>
          <w:sz w:val="24"/>
          <w:rtl/>
        </w:rPr>
        <w:t xml:space="preserve"> </w:t>
      </w:r>
      <w:r>
        <w:rPr>
          <w:rFonts w:hint="eastAsia"/>
          <w:sz w:val="24"/>
          <w:rtl/>
        </w:rPr>
        <w:t>בתשרי</w:t>
      </w:r>
      <w:r>
        <w:rPr>
          <w:sz w:val="24"/>
          <w:rtl/>
        </w:rPr>
        <w:t xml:space="preserve"> </w:t>
      </w:r>
      <w:proofErr w:type="spellStart"/>
      <w:r>
        <w:rPr>
          <w:rFonts w:hint="eastAsia"/>
          <w:sz w:val="24"/>
          <w:rtl/>
        </w:rPr>
        <w:t>התשע</w:t>
      </w:r>
      <w:r>
        <w:rPr>
          <w:sz w:val="24"/>
          <w:rtl/>
        </w:rPr>
        <w:t>"</w:t>
      </w:r>
      <w:r>
        <w:rPr>
          <w:rFonts w:hint="eastAsia"/>
          <w:sz w:val="24"/>
          <w:rtl/>
        </w:rPr>
        <w:t>ח</w:t>
      </w:r>
      <w:proofErr w:type="spellEnd"/>
      <w:r>
        <w:rPr>
          <w:sz w:val="24"/>
          <w:rtl/>
        </w:rPr>
        <w:br/>
        <w:t xml:space="preserve">15 </w:t>
      </w:r>
      <w:r>
        <w:rPr>
          <w:rFonts w:hint="eastAsia"/>
          <w:sz w:val="24"/>
          <w:rtl/>
        </w:rPr>
        <w:t>באוקטובר</w:t>
      </w:r>
      <w:r>
        <w:rPr>
          <w:sz w:val="24"/>
          <w:rtl/>
        </w:rPr>
        <w:t xml:space="preserve"> 2017</w:t>
      </w:r>
    </w:p>
    <w:p w:rsidR="00633ACC" w:rsidRDefault="00633ACC" w:rsidP="00213284">
      <w:pPr>
        <w:ind w:left="7371"/>
        <w:jc w:val="left"/>
        <w:rPr>
          <w:sz w:val="24"/>
          <w:rtl/>
        </w:rPr>
      </w:pPr>
      <w:bookmarkStart w:id="1" w:name="DocNum"/>
      <w:bookmarkEnd w:id="1"/>
      <w:r>
        <w:rPr>
          <w:rFonts w:hint="eastAsia"/>
          <w:sz w:val="24"/>
          <w:rtl/>
        </w:rPr>
        <w:t>שה</w:t>
      </w:r>
      <w:r>
        <w:rPr>
          <w:sz w:val="24"/>
          <w:rtl/>
        </w:rPr>
        <w:t>. 2017-20378</w:t>
      </w:r>
    </w:p>
    <w:p w:rsidR="00C3464B" w:rsidRDefault="00C3464B" w:rsidP="00213284">
      <w:pPr>
        <w:spacing w:line="360" w:lineRule="auto"/>
        <w:ind w:left="7371"/>
        <w:jc w:val="left"/>
        <w:rPr>
          <w:sz w:val="24"/>
          <w:rtl/>
        </w:rPr>
      </w:pPr>
    </w:p>
    <w:p w:rsidR="00C3464B" w:rsidRDefault="00C3464B" w:rsidP="00C3464B">
      <w:pPr>
        <w:spacing w:line="360" w:lineRule="auto"/>
        <w:jc w:val="left"/>
        <w:rPr>
          <w:sz w:val="24"/>
          <w:rtl/>
        </w:rPr>
      </w:pPr>
      <w:r>
        <w:rPr>
          <w:sz w:val="24"/>
          <w:rtl/>
        </w:rPr>
        <w:t>אל:</w:t>
      </w:r>
      <w:r>
        <w:rPr>
          <w:rFonts w:hint="cs"/>
          <w:sz w:val="24"/>
          <w:rtl/>
        </w:rPr>
        <w:t xml:space="preserve"> </w:t>
      </w:r>
    </w:p>
    <w:p w:rsidR="002349AF" w:rsidRDefault="002349AF" w:rsidP="00C3464B">
      <w:pPr>
        <w:tabs>
          <w:tab w:val="left" w:pos="3486"/>
          <w:tab w:val="left" w:pos="4353"/>
        </w:tabs>
        <w:spacing w:line="360" w:lineRule="auto"/>
        <w:jc w:val="left"/>
        <w:rPr>
          <w:sz w:val="24"/>
          <w:rtl/>
        </w:rPr>
      </w:pPr>
      <w:bookmarkStart w:id="2" w:name="MainToEl"/>
      <w:bookmarkStart w:id="3" w:name="_GoBack"/>
      <w:bookmarkEnd w:id="2"/>
      <w:bookmarkEnd w:id="3"/>
    </w:p>
    <w:p w:rsidR="00C3464B" w:rsidRDefault="00C3464B" w:rsidP="00633ACC">
      <w:pPr>
        <w:spacing w:line="360" w:lineRule="auto"/>
        <w:ind w:left="651" w:hanging="651"/>
        <w:jc w:val="center"/>
        <w:rPr>
          <w:b/>
          <w:bCs/>
          <w:sz w:val="24"/>
          <w:u w:val="single"/>
          <w:rtl/>
        </w:rPr>
      </w:pPr>
      <w:r>
        <w:rPr>
          <w:sz w:val="24"/>
          <w:rtl/>
        </w:rPr>
        <w:t>הנדון:</w:t>
      </w:r>
      <w:r w:rsidRPr="002960DC">
        <w:rPr>
          <w:b/>
          <w:bCs/>
          <w:sz w:val="24"/>
          <w:u w:val="single"/>
          <w:rtl/>
        </w:rPr>
        <w:tab/>
      </w:r>
      <w:bookmarkStart w:id="4" w:name="About"/>
      <w:bookmarkEnd w:id="4"/>
      <w:r w:rsidR="00633ACC">
        <w:rPr>
          <w:rFonts w:hint="eastAsia"/>
          <w:b/>
          <w:bCs/>
          <w:sz w:val="24"/>
          <w:u w:val="single"/>
          <w:rtl/>
        </w:rPr>
        <w:t>מענה</w:t>
      </w:r>
      <w:r w:rsidR="00633ACC">
        <w:rPr>
          <w:b/>
          <w:bCs/>
          <w:sz w:val="24"/>
          <w:u w:val="single"/>
          <w:rtl/>
        </w:rPr>
        <w:t xml:space="preserve"> </w:t>
      </w:r>
      <w:r w:rsidR="00633ACC">
        <w:rPr>
          <w:rFonts w:hint="eastAsia"/>
          <w:b/>
          <w:bCs/>
          <w:sz w:val="24"/>
          <w:u w:val="single"/>
          <w:rtl/>
        </w:rPr>
        <w:t>לפניית</w:t>
      </w:r>
      <w:r w:rsidR="00633ACC">
        <w:rPr>
          <w:b/>
          <w:bCs/>
          <w:sz w:val="24"/>
          <w:u w:val="single"/>
          <w:rtl/>
        </w:rPr>
        <w:t xml:space="preserve"> </w:t>
      </w:r>
      <w:r w:rsidR="00633ACC">
        <w:rPr>
          <w:rFonts w:hint="eastAsia"/>
          <w:b/>
          <w:bCs/>
          <w:sz w:val="24"/>
          <w:u w:val="single"/>
          <w:rtl/>
        </w:rPr>
        <w:t>חופש</w:t>
      </w:r>
      <w:r w:rsidR="00633ACC">
        <w:rPr>
          <w:b/>
          <w:bCs/>
          <w:sz w:val="24"/>
          <w:u w:val="single"/>
          <w:rtl/>
        </w:rPr>
        <w:t xml:space="preserve"> </w:t>
      </w:r>
      <w:r w:rsidR="00633ACC">
        <w:rPr>
          <w:rFonts w:hint="eastAsia"/>
          <w:b/>
          <w:bCs/>
          <w:sz w:val="24"/>
          <w:u w:val="single"/>
          <w:rtl/>
        </w:rPr>
        <w:t>מידע</w:t>
      </w:r>
      <w:r w:rsidR="00633ACC">
        <w:rPr>
          <w:b/>
          <w:bCs/>
          <w:sz w:val="24"/>
          <w:u w:val="single"/>
          <w:rtl/>
        </w:rPr>
        <w:t xml:space="preserve"> </w:t>
      </w:r>
      <w:r w:rsidR="00633ACC">
        <w:rPr>
          <w:rFonts w:hint="eastAsia"/>
          <w:b/>
          <w:bCs/>
          <w:sz w:val="24"/>
          <w:u w:val="single"/>
          <w:rtl/>
        </w:rPr>
        <w:t>לגבי</w:t>
      </w:r>
      <w:r w:rsidR="00633ACC">
        <w:rPr>
          <w:b/>
          <w:bCs/>
          <w:sz w:val="24"/>
          <w:u w:val="single"/>
          <w:rtl/>
        </w:rPr>
        <w:t xml:space="preserve"> </w:t>
      </w:r>
      <w:r w:rsidR="00633ACC">
        <w:rPr>
          <w:rFonts w:hint="eastAsia"/>
          <w:b/>
          <w:bCs/>
          <w:sz w:val="24"/>
          <w:u w:val="single"/>
          <w:rtl/>
        </w:rPr>
        <w:t>ביטוח</w:t>
      </w:r>
      <w:r w:rsidR="00633ACC">
        <w:rPr>
          <w:b/>
          <w:bCs/>
          <w:sz w:val="24"/>
          <w:u w:val="single"/>
          <w:rtl/>
        </w:rPr>
        <w:t xml:space="preserve"> </w:t>
      </w:r>
      <w:r w:rsidR="00633ACC">
        <w:rPr>
          <w:rFonts w:hint="eastAsia"/>
          <w:b/>
          <w:bCs/>
          <w:sz w:val="24"/>
          <w:u w:val="single"/>
          <w:rtl/>
        </w:rPr>
        <w:t>סיעודי</w:t>
      </w:r>
      <w:r w:rsidR="00633ACC">
        <w:rPr>
          <w:b/>
          <w:bCs/>
          <w:sz w:val="24"/>
          <w:u w:val="single"/>
          <w:rtl/>
        </w:rPr>
        <w:t xml:space="preserve"> </w:t>
      </w:r>
      <w:r w:rsidR="00633ACC">
        <w:rPr>
          <w:rFonts w:hint="eastAsia"/>
          <w:b/>
          <w:bCs/>
          <w:sz w:val="24"/>
          <w:u w:val="single"/>
          <w:rtl/>
        </w:rPr>
        <w:t>קולקטיבי</w:t>
      </w:r>
    </w:p>
    <w:p w:rsidR="00C3464B" w:rsidRDefault="00633ACC" w:rsidP="002349AF">
      <w:pPr>
        <w:spacing w:line="360" w:lineRule="auto"/>
        <w:ind w:left="651"/>
        <w:jc w:val="center"/>
        <w:rPr>
          <w:sz w:val="24"/>
          <w:rtl/>
        </w:rPr>
      </w:pPr>
      <w:bookmarkStart w:id="5" w:name="reference"/>
      <w:bookmarkEnd w:id="5"/>
      <w:r>
        <w:rPr>
          <w:rFonts w:hint="eastAsia"/>
          <w:sz w:val="24"/>
          <w:rtl/>
        </w:rPr>
        <w:t>פנייתכם</w:t>
      </w:r>
      <w:r>
        <w:rPr>
          <w:sz w:val="24"/>
          <w:rtl/>
        </w:rPr>
        <w:t xml:space="preserve"> </w:t>
      </w:r>
      <w:r>
        <w:rPr>
          <w:rFonts w:hint="eastAsia"/>
          <w:sz w:val="24"/>
          <w:rtl/>
        </w:rPr>
        <w:t>מיום</w:t>
      </w:r>
      <w:r>
        <w:rPr>
          <w:sz w:val="24"/>
          <w:rtl/>
        </w:rPr>
        <w:t xml:space="preserve"> 14.9.17</w:t>
      </w:r>
    </w:p>
    <w:p w:rsidR="002349AF" w:rsidRPr="002349AF" w:rsidRDefault="002349AF" w:rsidP="002349AF">
      <w:pPr>
        <w:overflowPunct w:val="0"/>
        <w:autoSpaceDE w:val="0"/>
        <w:autoSpaceDN w:val="0"/>
        <w:adjustRightInd w:val="0"/>
        <w:spacing w:line="360" w:lineRule="auto"/>
        <w:jc w:val="left"/>
        <w:textAlignment w:val="baseline"/>
        <w:rPr>
          <w:rFonts w:ascii="David" w:hAnsi="David"/>
          <w:sz w:val="24"/>
          <w:rtl/>
        </w:rPr>
      </w:pPr>
      <w:bookmarkStart w:id="6" w:name="start"/>
      <w:bookmarkEnd w:id="6"/>
    </w:p>
    <w:p w:rsidR="002349AF" w:rsidRPr="002349AF" w:rsidRDefault="002349AF" w:rsidP="002349AF">
      <w:pPr>
        <w:overflowPunct w:val="0"/>
        <w:autoSpaceDE w:val="0"/>
        <w:autoSpaceDN w:val="0"/>
        <w:adjustRightInd w:val="0"/>
        <w:spacing w:line="300" w:lineRule="auto"/>
        <w:jc w:val="left"/>
        <w:textAlignment w:val="baseline"/>
        <w:rPr>
          <w:rFonts w:ascii="David" w:hAnsi="David"/>
          <w:sz w:val="24"/>
          <w:rtl/>
        </w:rPr>
      </w:pPr>
    </w:p>
    <w:p w:rsidR="002349AF" w:rsidRPr="002349AF" w:rsidRDefault="002349AF" w:rsidP="002349AF">
      <w:pPr>
        <w:numPr>
          <w:ilvl w:val="0"/>
          <w:numId w:val="8"/>
        </w:numPr>
        <w:overflowPunct w:val="0"/>
        <w:autoSpaceDE w:val="0"/>
        <w:autoSpaceDN w:val="0"/>
        <w:adjustRightInd w:val="0"/>
        <w:spacing w:before="120" w:after="120" w:line="360" w:lineRule="auto"/>
        <w:contextualSpacing/>
        <w:textAlignment w:val="baseline"/>
        <w:rPr>
          <w:rFonts w:ascii="David" w:eastAsiaTheme="minorHAnsi" w:hAnsi="David"/>
          <w:sz w:val="24"/>
          <w:lang w:eastAsia="en-US"/>
        </w:rPr>
      </w:pPr>
      <w:r w:rsidRPr="002349AF">
        <w:rPr>
          <w:rFonts w:ascii="David" w:eastAsiaTheme="minorHAnsi" w:hAnsi="David" w:hint="cs"/>
          <w:sz w:val="24"/>
          <w:rtl/>
          <w:lang w:eastAsia="en-US"/>
        </w:rPr>
        <w:t>ב</w:t>
      </w:r>
      <w:r w:rsidRPr="002349AF">
        <w:rPr>
          <w:rFonts w:ascii="David" w:eastAsiaTheme="minorHAnsi" w:hAnsi="David"/>
          <w:sz w:val="24"/>
          <w:rtl/>
          <w:lang w:eastAsia="en-US"/>
        </w:rPr>
        <w:t>פניית</w:t>
      </w:r>
      <w:r w:rsidRPr="002349AF">
        <w:rPr>
          <w:rFonts w:ascii="David" w:eastAsiaTheme="minorHAnsi" w:hAnsi="David" w:hint="cs"/>
          <w:sz w:val="24"/>
          <w:rtl/>
          <w:lang w:eastAsia="en-US"/>
        </w:rPr>
        <w:t>כם</w:t>
      </w:r>
      <w:r w:rsidRPr="002349AF">
        <w:rPr>
          <w:rFonts w:ascii="David" w:eastAsiaTheme="minorHAnsi" w:hAnsi="David"/>
          <w:sz w:val="24"/>
          <w:rtl/>
          <w:lang w:eastAsia="en-US"/>
        </w:rPr>
        <w:t xml:space="preserve"> שבסימוכין ביקשת</w:t>
      </w:r>
      <w:r w:rsidRPr="002349AF">
        <w:rPr>
          <w:rFonts w:ascii="David" w:eastAsiaTheme="minorHAnsi" w:hAnsi="David" w:hint="cs"/>
          <w:sz w:val="24"/>
          <w:rtl/>
          <w:lang w:eastAsia="en-US"/>
        </w:rPr>
        <w:t>ם</w:t>
      </w:r>
      <w:r w:rsidRPr="002349AF">
        <w:rPr>
          <w:rFonts w:ascii="David" w:eastAsiaTheme="minorHAnsi" w:hAnsi="David"/>
          <w:sz w:val="24"/>
          <w:rtl/>
          <w:lang w:eastAsia="en-US"/>
        </w:rPr>
        <w:t xml:space="preserve"> לקבל </w:t>
      </w:r>
      <w:r w:rsidRPr="002349AF">
        <w:rPr>
          <w:rFonts w:ascii="David" w:eastAsiaTheme="minorHAnsi" w:hAnsi="David" w:hint="cs"/>
          <w:sz w:val="24"/>
          <w:rtl/>
          <w:lang w:eastAsia="en-US"/>
        </w:rPr>
        <w:t>את המידע הבא, הנוגע לביטוח סיעודי קבוצתי ותוך הפניה להוראות חוזר</w:t>
      </w:r>
      <w:r w:rsidRPr="002349AF">
        <w:rPr>
          <w:rFonts w:ascii="David" w:eastAsiaTheme="minorHAnsi" w:hAnsi="David"/>
          <w:sz w:val="24"/>
          <w:rtl/>
          <w:lang w:eastAsia="en-US"/>
        </w:rPr>
        <w:t xml:space="preserve"> ביטוח מספר </w:t>
      </w:r>
      <w:r w:rsidRPr="002349AF">
        <w:rPr>
          <w:rFonts w:ascii="David" w:eastAsiaTheme="minorHAnsi" w:hAnsi="David" w:hint="cs"/>
          <w:sz w:val="24"/>
          <w:rtl/>
          <w:lang w:eastAsia="en-US"/>
        </w:rPr>
        <w:t>2017-1-8</w:t>
      </w:r>
      <w:r w:rsidRPr="002349AF">
        <w:rPr>
          <w:rFonts w:ascii="David" w:eastAsiaTheme="minorHAnsi" w:hAnsi="David"/>
          <w:sz w:val="24"/>
          <w:rtl/>
          <w:lang w:eastAsia="en-US"/>
        </w:rPr>
        <w:t xml:space="preserve"> –</w:t>
      </w:r>
      <w:r w:rsidRPr="002349AF">
        <w:rPr>
          <w:rFonts w:ascii="David" w:eastAsiaTheme="minorHAnsi" w:hAnsi="David" w:hint="cs"/>
          <w:sz w:val="24"/>
          <w:rtl/>
          <w:lang w:eastAsia="en-US"/>
        </w:rPr>
        <w:t xml:space="preserve"> </w:t>
      </w:r>
      <w:r w:rsidRPr="002349AF">
        <w:rPr>
          <w:rFonts w:ascii="David" w:eastAsiaTheme="minorHAnsi" w:hAnsi="David" w:hint="eastAsia"/>
          <w:sz w:val="24"/>
          <w:rtl/>
          <w:lang w:eastAsia="en-US"/>
        </w:rPr>
        <w:t>מיום</w:t>
      </w:r>
      <w:r w:rsidRPr="002349AF">
        <w:rPr>
          <w:rFonts w:ascii="David" w:eastAsiaTheme="minorHAnsi" w:hAnsi="David"/>
          <w:sz w:val="24"/>
          <w:rtl/>
          <w:lang w:eastAsia="en-US"/>
        </w:rPr>
        <w:t xml:space="preserve"> </w:t>
      </w:r>
      <w:r w:rsidRPr="002349AF">
        <w:rPr>
          <w:rFonts w:ascii="David" w:eastAsiaTheme="minorHAnsi" w:hAnsi="David" w:hint="cs"/>
          <w:sz w:val="24"/>
          <w:rtl/>
          <w:lang w:eastAsia="en-US"/>
        </w:rPr>
        <w:t>21</w:t>
      </w:r>
      <w:r w:rsidRPr="002349AF">
        <w:rPr>
          <w:rFonts w:ascii="David" w:eastAsiaTheme="minorHAnsi" w:hAnsi="David"/>
          <w:sz w:val="24"/>
          <w:rtl/>
          <w:lang w:eastAsia="en-US"/>
        </w:rPr>
        <w:t>.</w:t>
      </w:r>
      <w:r w:rsidRPr="002349AF">
        <w:rPr>
          <w:rFonts w:ascii="David" w:eastAsiaTheme="minorHAnsi" w:hAnsi="David" w:hint="cs"/>
          <w:sz w:val="24"/>
          <w:rtl/>
          <w:lang w:eastAsia="en-US"/>
        </w:rPr>
        <w:t>5</w:t>
      </w:r>
      <w:r w:rsidRPr="002349AF">
        <w:rPr>
          <w:rFonts w:ascii="David" w:eastAsiaTheme="minorHAnsi" w:hAnsi="David"/>
          <w:sz w:val="24"/>
          <w:rtl/>
          <w:lang w:eastAsia="en-US"/>
        </w:rPr>
        <w:t>.</w:t>
      </w:r>
      <w:r w:rsidRPr="002349AF">
        <w:rPr>
          <w:rFonts w:ascii="David" w:eastAsiaTheme="minorHAnsi" w:hAnsi="David" w:hint="cs"/>
          <w:sz w:val="24"/>
          <w:rtl/>
          <w:lang w:eastAsia="en-US"/>
        </w:rPr>
        <w:t>2017</w:t>
      </w:r>
      <w:r w:rsidRPr="002349AF">
        <w:rPr>
          <w:rFonts w:ascii="David" w:eastAsiaTheme="minorHAnsi" w:hAnsi="David"/>
          <w:sz w:val="24"/>
          <w:rtl/>
          <w:lang w:eastAsia="en-US"/>
        </w:rPr>
        <w:t xml:space="preserve">, שעניינו </w:t>
      </w:r>
      <w:r w:rsidRPr="002349AF">
        <w:rPr>
          <w:rFonts w:ascii="David" w:eastAsiaTheme="minorHAnsi" w:hAnsi="David" w:hint="cs"/>
          <w:sz w:val="24"/>
          <w:rtl/>
          <w:lang w:eastAsia="en-US"/>
        </w:rPr>
        <w:t>"</w:t>
      </w:r>
      <w:r w:rsidRPr="002349AF">
        <w:rPr>
          <w:rFonts w:ascii="Times New Roman" w:eastAsiaTheme="minorHAnsi" w:hAnsi="Times New Roman"/>
          <w:sz w:val="24"/>
          <w:rtl/>
          <w:lang w:eastAsia="en-US"/>
        </w:rPr>
        <w:t>תיקונים לגבי ביטוח סיעודי</w:t>
      </w:r>
      <w:r w:rsidRPr="002349AF">
        <w:rPr>
          <w:rFonts w:ascii="David" w:eastAsiaTheme="minorHAnsi" w:hAnsi="David" w:hint="cs"/>
          <w:sz w:val="24"/>
          <w:rtl/>
          <w:lang w:eastAsia="en-US"/>
        </w:rPr>
        <w:t xml:space="preserve">" (להלן </w:t>
      </w:r>
      <w:r w:rsidRPr="002349AF">
        <w:rPr>
          <w:rFonts w:ascii="David" w:eastAsiaTheme="minorHAnsi" w:hAnsi="David"/>
          <w:sz w:val="24"/>
          <w:rtl/>
          <w:lang w:eastAsia="en-US"/>
        </w:rPr>
        <w:t>–</w:t>
      </w:r>
      <w:r w:rsidRPr="002349AF">
        <w:rPr>
          <w:rFonts w:ascii="David" w:eastAsiaTheme="minorHAnsi" w:hAnsi="David" w:hint="cs"/>
          <w:sz w:val="24"/>
          <w:rtl/>
          <w:lang w:eastAsia="en-US"/>
        </w:rPr>
        <w:t xml:space="preserve"> </w:t>
      </w:r>
      <w:r w:rsidRPr="002349AF">
        <w:rPr>
          <w:rFonts w:ascii="David" w:eastAsiaTheme="minorHAnsi" w:hAnsi="David" w:hint="cs"/>
          <w:b/>
          <w:bCs/>
          <w:sz w:val="24"/>
          <w:rtl/>
          <w:lang w:eastAsia="en-US"/>
        </w:rPr>
        <w:t>חוזר הממונה</w:t>
      </w:r>
      <w:r w:rsidRPr="002349AF">
        <w:rPr>
          <w:rFonts w:ascii="David" w:eastAsiaTheme="minorHAnsi" w:hAnsi="David" w:hint="cs"/>
          <w:sz w:val="24"/>
          <w:rtl/>
          <w:lang w:eastAsia="en-US"/>
        </w:rPr>
        <w:t>):</w:t>
      </w:r>
    </w:p>
    <w:p w:rsidR="002349AF" w:rsidRPr="002349AF" w:rsidRDefault="002349AF" w:rsidP="002349AF">
      <w:pPr>
        <w:numPr>
          <w:ilvl w:val="1"/>
          <w:numId w:val="8"/>
        </w:numPr>
        <w:overflowPunct w:val="0"/>
        <w:autoSpaceDE w:val="0"/>
        <w:autoSpaceDN w:val="0"/>
        <w:adjustRightInd w:val="0"/>
        <w:spacing w:before="120" w:after="120" w:line="360" w:lineRule="auto"/>
        <w:contextualSpacing/>
        <w:textAlignment w:val="baseline"/>
        <w:rPr>
          <w:rFonts w:ascii="David" w:eastAsiaTheme="minorHAnsi" w:hAnsi="David"/>
          <w:sz w:val="24"/>
          <w:lang w:eastAsia="en-US"/>
        </w:rPr>
      </w:pPr>
      <w:r w:rsidRPr="002349AF">
        <w:rPr>
          <w:rFonts w:ascii="David" w:eastAsiaTheme="minorHAnsi" w:hAnsi="David" w:hint="cs"/>
          <w:sz w:val="24"/>
          <w:rtl/>
          <w:lang w:eastAsia="en-US"/>
        </w:rPr>
        <w:t>בקשות לאישור תכניות לפי סעיף 4ב לחוזר הממונה, שהוגשו לממונה בכתב או בעל פה.</w:t>
      </w:r>
    </w:p>
    <w:p w:rsidR="002349AF" w:rsidRPr="002349AF" w:rsidRDefault="002349AF" w:rsidP="002349AF">
      <w:pPr>
        <w:numPr>
          <w:ilvl w:val="1"/>
          <w:numId w:val="8"/>
        </w:numPr>
        <w:overflowPunct w:val="0"/>
        <w:autoSpaceDE w:val="0"/>
        <w:autoSpaceDN w:val="0"/>
        <w:adjustRightInd w:val="0"/>
        <w:spacing w:before="120" w:after="120" w:line="360" w:lineRule="auto"/>
        <w:contextualSpacing/>
        <w:textAlignment w:val="baseline"/>
        <w:rPr>
          <w:rFonts w:ascii="David" w:eastAsiaTheme="minorHAnsi" w:hAnsi="David"/>
          <w:sz w:val="24"/>
          <w:lang w:eastAsia="en-US"/>
        </w:rPr>
      </w:pPr>
      <w:r w:rsidRPr="002349AF">
        <w:rPr>
          <w:rFonts w:ascii="David" w:eastAsiaTheme="minorHAnsi" w:hAnsi="David" w:hint="cs"/>
          <w:sz w:val="24"/>
          <w:rtl/>
          <w:lang w:eastAsia="en-US"/>
        </w:rPr>
        <w:t xml:space="preserve">פניות יזומות של נציגי רשות שוק ההון, ביטוח וחסכון (להלן </w:t>
      </w:r>
      <w:r w:rsidRPr="002349AF">
        <w:rPr>
          <w:rFonts w:ascii="David" w:eastAsiaTheme="minorHAnsi" w:hAnsi="David"/>
          <w:sz w:val="24"/>
          <w:rtl/>
          <w:lang w:eastAsia="en-US"/>
        </w:rPr>
        <w:t>–</w:t>
      </w:r>
      <w:r w:rsidRPr="002349AF">
        <w:rPr>
          <w:rFonts w:ascii="David" w:eastAsiaTheme="minorHAnsi" w:hAnsi="David" w:hint="cs"/>
          <w:sz w:val="24"/>
          <w:rtl/>
          <w:lang w:eastAsia="en-US"/>
        </w:rPr>
        <w:t xml:space="preserve"> </w:t>
      </w:r>
      <w:r w:rsidRPr="002349AF">
        <w:rPr>
          <w:rFonts w:ascii="David" w:eastAsiaTheme="minorHAnsi" w:hAnsi="David" w:hint="cs"/>
          <w:b/>
          <w:bCs/>
          <w:sz w:val="24"/>
          <w:rtl/>
          <w:lang w:eastAsia="en-US"/>
        </w:rPr>
        <w:t>רשות</w:t>
      </w:r>
      <w:r w:rsidR="00316ECD">
        <w:rPr>
          <w:rFonts w:ascii="David" w:eastAsiaTheme="minorHAnsi" w:hAnsi="David" w:hint="cs"/>
          <w:b/>
          <w:bCs/>
          <w:sz w:val="24"/>
          <w:rtl/>
          <w:lang w:eastAsia="en-US"/>
        </w:rPr>
        <w:t xml:space="preserve"> שוק ההון</w:t>
      </w:r>
      <w:r w:rsidRPr="002349AF">
        <w:rPr>
          <w:rFonts w:ascii="David" w:eastAsiaTheme="minorHAnsi" w:hAnsi="David" w:hint="cs"/>
          <w:sz w:val="24"/>
          <w:rtl/>
          <w:lang w:eastAsia="en-US"/>
        </w:rPr>
        <w:t>), בכתב או בעל פה, אל כל גוף במטרה לגבש תכניות לפי סעיף 4.ב לחוזר הממונה.</w:t>
      </w:r>
    </w:p>
    <w:p w:rsidR="002349AF" w:rsidRPr="002349AF" w:rsidRDefault="002349AF" w:rsidP="00316ECD">
      <w:pPr>
        <w:numPr>
          <w:ilvl w:val="1"/>
          <w:numId w:val="8"/>
        </w:numPr>
        <w:overflowPunct w:val="0"/>
        <w:autoSpaceDE w:val="0"/>
        <w:autoSpaceDN w:val="0"/>
        <w:adjustRightInd w:val="0"/>
        <w:spacing w:before="120" w:after="120" w:line="360" w:lineRule="auto"/>
        <w:contextualSpacing/>
        <w:textAlignment w:val="baseline"/>
        <w:rPr>
          <w:rFonts w:ascii="David" w:eastAsiaTheme="minorHAnsi" w:hAnsi="David"/>
          <w:sz w:val="24"/>
          <w:lang w:eastAsia="en-US"/>
        </w:rPr>
      </w:pPr>
      <w:r w:rsidRPr="002349AF">
        <w:rPr>
          <w:rFonts w:ascii="David" w:eastAsiaTheme="minorHAnsi" w:hAnsi="David" w:hint="cs"/>
          <w:sz w:val="24"/>
          <w:rtl/>
          <w:lang w:eastAsia="en-US"/>
        </w:rPr>
        <w:t>פגישות, התכתבויות ומגעים אחרים שקיימו נציגי רשות</w:t>
      </w:r>
      <w:r w:rsidR="00316ECD">
        <w:rPr>
          <w:rFonts w:ascii="David" w:eastAsiaTheme="minorHAnsi" w:hAnsi="David" w:hint="cs"/>
          <w:sz w:val="24"/>
          <w:rtl/>
          <w:lang w:eastAsia="en-US"/>
        </w:rPr>
        <w:t xml:space="preserve"> שוק ההון</w:t>
      </w:r>
      <w:r w:rsidRPr="002349AF">
        <w:rPr>
          <w:rFonts w:ascii="David" w:eastAsiaTheme="minorHAnsi" w:hAnsi="David" w:hint="cs"/>
          <w:sz w:val="24"/>
          <w:rtl/>
          <w:lang w:eastAsia="en-US"/>
        </w:rPr>
        <w:t xml:space="preserve"> עם כל גוף, שהגיש בקשה לפי סעיף 4.ב לחוזר הממונה, או כל גוף שנדונה עמו האפשרות לגבש תכנית לפי סעיף 4.ב או כל גוף שנדונה עמו האפשרות לקיים ביטוח סיעודי קבוצתי בהתאם להוראות החוזר ושלא לפי סעיף 4.ב לחוזר.</w:t>
      </w:r>
    </w:p>
    <w:p w:rsidR="002349AF" w:rsidRPr="002349AF" w:rsidRDefault="002349AF" w:rsidP="002349AF">
      <w:pPr>
        <w:numPr>
          <w:ilvl w:val="0"/>
          <w:numId w:val="8"/>
        </w:numPr>
        <w:overflowPunct w:val="0"/>
        <w:autoSpaceDE w:val="0"/>
        <w:autoSpaceDN w:val="0"/>
        <w:adjustRightInd w:val="0"/>
        <w:spacing w:before="120" w:after="120" w:line="360" w:lineRule="auto"/>
        <w:contextualSpacing/>
        <w:textAlignment w:val="baseline"/>
        <w:rPr>
          <w:rFonts w:ascii="David" w:eastAsiaTheme="minorHAnsi" w:hAnsi="David"/>
          <w:sz w:val="24"/>
          <w:rtl/>
          <w:lang w:eastAsia="en-US"/>
        </w:rPr>
      </w:pPr>
      <w:r w:rsidRPr="002349AF">
        <w:rPr>
          <w:rFonts w:ascii="David" w:eastAsiaTheme="minorHAnsi" w:hAnsi="David"/>
          <w:sz w:val="24"/>
          <w:rtl/>
          <w:lang w:eastAsia="en-US"/>
        </w:rPr>
        <w:t>הריני להשיב</w:t>
      </w:r>
      <w:r w:rsidRPr="002349AF">
        <w:rPr>
          <w:rFonts w:ascii="David" w:eastAsiaTheme="minorHAnsi" w:hAnsi="David" w:hint="cs"/>
          <w:sz w:val="24"/>
          <w:rtl/>
          <w:lang w:eastAsia="en-US"/>
        </w:rPr>
        <w:t>כם</w:t>
      </w:r>
      <w:r w:rsidRPr="002349AF">
        <w:rPr>
          <w:rFonts w:ascii="David" w:eastAsiaTheme="minorHAnsi" w:hAnsi="David"/>
          <w:sz w:val="24"/>
          <w:rtl/>
          <w:lang w:eastAsia="en-US"/>
        </w:rPr>
        <w:t xml:space="preserve"> כי</w:t>
      </w:r>
      <w:r w:rsidRPr="002349AF">
        <w:rPr>
          <w:rFonts w:ascii="David" w:eastAsiaTheme="minorHAnsi" w:hAnsi="David" w:hint="cs"/>
          <w:sz w:val="24"/>
          <w:rtl/>
          <w:lang w:eastAsia="en-US"/>
        </w:rPr>
        <w:t xml:space="preserve"> בהתאם להוראות סעיף 7(ב) לחוק חופש המידע התשנ"ח-1998 ולאור העובדה שבמהלך 30 הימים שחלפו מבקשתכם ועד מענה זה היו מספר חגים ומועדים ובשים לב לעומס שמוטל על גורמי המקצוע הרלבנטיים לטיפול בבקשה, הרי שהטיפול בבקשתכם שבסימוכין יידחה לעת עתה ב- 30 יום נוספים, קרי עד ליום 13.11.17.</w:t>
      </w:r>
    </w:p>
    <w:p w:rsidR="00C3464B" w:rsidRDefault="00C3464B" w:rsidP="00C3464B">
      <w:pPr>
        <w:spacing w:line="300" w:lineRule="auto"/>
        <w:rPr>
          <w:sz w:val="24"/>
          <w:rtl/>
        </w:rPr>
      </w:pPr>
    </w:p>
    <w:p w:rsidR="00C3464B" w:rsidRDefault="00C3464B" w:rsidP="00C3464B">
      <w:pPr>
        <w:spacing w:line="300" w:lineRule="auto"/>
        <w:rPr>
          <w:sz w:val="24"/>
          <w:rtl/>
        </w:rPr>
      </w:pPr>
    </w:p>
    <w:p w:rsidR="00213284" w:rsidRDefault="00213284" w:rsidP="00C3464B">
      <w:pPr>
        <w:spacing w:line="300" w:lineRule="auto"/>
        <w:rPr>
          <w:sz w:val="24"/>
          <w:rtl/>
        </w:rPr>
      </w:pPr>
    </w:p>
    <w:p w:rsidR="00213284" w:rsidRDefault="00213284" w:rsidP="00C3464B">
      <w:pPr>
        <w:spacing w:line="300" w:lineRule="auto"/>
        <w:rPr>
          <w:sz w:val="24"/>
          <w:rtl/>
        </w:rPr>
      </w:pPr>
    </w:p>
    <w:p w:rsidR="00C3464B" w:rsidRDefault="00C3464B" w:rsidP="00344163">
      <w:pPr>
        <w:tabs>
          <w:tab w:val="center" w:pos="3093"/>
          <w:tab w:val="center" w:pos="7654"/>
        </w:tabs>
        <w:spacing w:line="360" w:lineRule="auto"/>
        <w:jc w:val="left"/>
        <w:rPr>
          <w:sz w:val="24"/>
          <w:rtl/>
        </w:rPr>
      </w:pPr>
      <w:r>
        <w:rPr>
          <w:sz w:val="24"/>
          <w:rtl/>
        </w:rPr>
        <w:tab/>
      </w:r>
      <w:r>
        <w:rPr>
          <w:sz w:val="24"/>
          <w:rtl/>
        </w:rPr>
        <w:tab/>
        <w:t>ב</w:t>
      </w:r>
      <w:r>
        <w:rPr>
          <w:sz w:val="24"/>
        </w:rPr>
        <w:t xml:space="preserve"> </w:t>
      </w:r>
      <w:proofErr w:type="spellStart"/>
      <w:r>
        <w:rPr>
          <w:sz w:val="24"/>
          <w:rtl/>
        </w:rPr>
        <w:t>ב</w:t>
      </w:r>
      <w:proofErr w:type="spellEnd"/>
      <w:r>
        <w:rPr>
          <w:sz w:val="24"/>
        </w:rPr>
        <w:t xml:space="preserve"> </w:t>
      </w:r>
      <w:r>
        <w:rPr>
          <w:sz w:val="24"/>
          <w:rtl/>
        </w:rPr>
        <w:t>ר</w:t>
      </w:r>
      <w:r>
        <w:rPr>
          <w:sz w:val="24"/>
        </w:rPr>
        <w:t xml:space="preserve"> </w:t>
      </w:r>
      <w:r>
        <w:rPr>
          <w:sz w:val="24"/>
          <w:rtl/>
        </w:rPr>
        <w:t>כ</w:t>
      </w:r>
      <w:r>
        <w:rPr>
          <w:sz w:val="24"/>
        </w:rPr>
        <w:t xml:space="preserve"> </w:t>
      </w:r>
      <w:r>
        <w:rPr>
          <w:sz w:val="24"/>
          <w:rtl/>
        </w:rPr>
        <w:t>ה,</w:t>
      </w:r>
    </w:p>
    <w:p w:rsidR="00C3464B" w:rsidRDefault="00856D48" w:rsidP="00856D48">
      <w:pPr>
        <w:tabs>
          <w:tab w:val="center" w:pos="7654"/>
        </w:tabs>
        <w:spacing w:line="360" w:lineRule="auto"/>
        <w:jc w:val="left"/>
        <w:rPr>
          <w:sz w:val="24"/>
        </w:rPr>
      </w:pPr>
      <w:r>
        <w:rPr>
          <w:sz w:val="24"/>
          <w:rtl/>
        </w:rPr>
        <w:tab/>
      </w:r>
    </w:p>
    <w:p w:rsidR="003C43FC" w:rsidRDefault="003C43FC" w:rsidP="002349AF">
      <w:pPr>
        <w:tabs>
          <w:tab w:val="center" w:pos="3093"/>
          <w:tab w:val="center" w:pos="7654"/>
        </w:tabs>
        <w:spacing w:line="360" w:lineRule="auto"/>
        <w:jc w:val="left"/>
        <w:rPr>
          <w:sz w:val="24"/>
          <w:rtl/>
        </w:rPr>
      </w:pPr>
      <w:r>
        <w:rPr>
          <w:sz w:val="24"/>
          <w:rtl/>
        </w:rPr>
        <w:tab/>
      </w:r>
      <w:r>
        <w:rPr>
          <w:sz w:val="24"/>
          <w:rtl/>
        </w:rPr>
        <w:tab/>
      </w:r>
      <w:r w:rsidR="002349AF">
        <w:rPr>
          <w:rFonts w:hint="cs"/>
          <w:sz w:val="24"/>
          <w:rtl/>
        </w:rPr>
        <w:t xml:space="preserve">דורית סלינגר </w:t>
      </w:r>
      <w:r>
        <w:rPr>
          <w:sz w:val="24"/>
          <w:rtl/>
        </w:rPr>
        <w:tab/>
      </w:r>
      <w:r w:rsidR="002349AF">
        <w:rPr>
          <w:sz w:val="24"/>
          <w:rtl/>
        </w:rPr>
        <w:tab/>
      </w:r>
      <w:r w:rsidR="002349AF">
        <w:rPr>
          <w:sz w:val="24"/>
          <w:rtl/>
        </w:rPr>
        <w:tab/>
      </w:r>
      <w:r>
        <w:rPr>
          <w:sz w:val="24"/>
          <w:rtl/>
        </w:rPr>
        <w:tab/>
      </w:r>
      <w:r w:rsidR="002E310F">
        <w:rPr>
          <w:rFonts w:hint="cs"/>
          <w:sz w:val="24"/>
          <w:rtl/>
        </w:rPr>
        <w:t xml:space="preserve">הממונה על </w:t>
      </w:r>
      <w:r w:rsidR="002349AF">
        <w:rPr>
          <w:rFonts w:hint="cs"/>
          <w:sz w:val="24"/>
          <w:rtl/>
        </w:rPr>
        <w:t>שוק ההון, ביטוח וחיסכון</w:t>
      </w:r>
    </w:p>
    <w:p w:rsidR="00344163" w:rsidRDefault="00344163" w:rsidP="00213284">
      <w:pPr>
        <w:tabs>
          <w:tab w:val="center" w:pos="3093"/>
          <w:tab w:val="center" w:pos="7654"/>
        </w:tabs>
        <w:spacing w:line="360" w:lineRule="auto"/>
        <w:jc w:val="left"/>
        <w:rPr>
          <w:sz w:val="24"/>
          <w:rtl/>
        </w:rPr>
      </w:pPr>
    </w:p>
    <w:p w:rsidR="007775FD" w:rsidRDefault="007775FD" w:rsidP="00213284">
      <w:pPr>
        <w:jc w:val="left"/>
        <w:rPr>
          <w:sz w:val="24"/>
          <w:rtl/>
        </w:rPr>
      </w:pPr>
    </w:p>
    <w:p w:rsidR="007775FD" w:rsidRDefault="007775FD" w:rsidP="00213284">
      <w:pPr>
        <w:jc w:val="left"/>
        <w:rPr>
          <w:sz w:val="24"/>
          <w:rtl/>
        </w:rPr>
      </w:pPr>
    </w:p>
    <w:p w:rsidR="007775FD" w:rsidRDefault="007775FD" w:rsidP="00213284">
      <w:pPr>
        <w:jc w:val="left"/>
        <w:rPr>
          <w:sz w:val="24"/>
          <w:rtl/>
        </w:rPr>
      </w:pPr>
    </w:p>
    <w:p w:rsidR="00C3464B" w:rsidRDefault="00C3464B" w:rsidP="00213284">
      <w:pPr>
        <w:jc w:val="left"/>
        <w:rPr>
          <w:sz w:val="24"/>
          <w:rtl/>
        </w:rPr>
      </w:pPr>
      <w:r>
        <w:rPr>
          <w:sz w:val="24"/>
          <w:rtl/>
        </w:rPr>
        <w:t>העתק:</w:t>
      </w:r>
      <w:r>
        <w:rPr>
          <w:sz w:val="24"/>
          <w:rtl/>
        </w:rPr>
        <w:tab/>
      </w:r>
    </w:p>
    <w:p w:rsidR="002349AF" w:rsidRDefault="002349AF" w:rsidP="00213284">
      <w:pPr>
        <w:jc w:val="left"/>
        <w:rPr>
          <w:sz w:val="24"/>
          <w:rtl/>
        </w:rPr>
      </w:pPr>
      <w:r>
        <w:rPr>
          <w:rFonts w:hint="cs"/>
          <w:sz w:val="24"/>
          <w:rtl/>
        </w:rPr>
        <w:t>רונן ליבוביץ, הממונה על חופש המידע, רשות שוק ההון, ביטוח וחיסכון</w:t>
      </w:r>
      <w:r w:rsidR="007775FD">
        <w:rPr>
          <w:rFonts w:hint="cs"/>
          <w:sz w:val="24"/>
          <w:rtl/>
        </w:rPr>
        <w:t>.</w:t>
      </w:r>
    </w:p>
    <w:p w:rsidR="002349AF" w:rsidRDefault="002349AF" w:rsidP="00213284">
      <w:pPr>
        <w:jc w:val="left"/>
        <w:rPr>
          <w:sz w:val="24"/>
          <w:rtl/>
        </w:rPr>
      </w:pPr>
      <w:r>
        <w:rPr>
          <w:rFonts w:hint="cs"/>
          <w:sz w:val="24"/>
          <w:rtl/>
        </w:rPr>
        <w:t>ירון גולן, סגן בכיר ליועץ המשפטי, רשות שוק ההון, ביטוח וחיסכון</w:t>
      </w:r>
      <w:r w:rsidR="007775FD">
        <w:rPr>
          <w:rFonts w:hint="cs"/>
          <w:sz w:val="24"/>
          <w:rtl/>
        </w:rPr>
        <w:t>.</w:t>
      </w:r>
    </w:p>
    <w:p w:rsidR="00633ACC" w:rsidRDefault="002349AF" w:rsidP="007775FD">
      <w:pPr>
        <w:jc w:val="left"/>
        <w:rPr>
          <w:sz w:val="24"/>
          <w:rtl/>
        </w:rPr>
      </w:pPr>
      <w:r>
        <w:rPr>
          <w:rFonts w:hint="cs"/>
          <w:sz w:val="24"/>
          <w:rtl/>
        </w:rPr>
        <w:t>ירון אבני, הלשכה המשפטית, רשות שוק ההון, ביטוח וחיסכון</w:t>
      </w:r>
      <w:r w:rsidR="007775FD">
        <w:rPr>
          <w:rFonts w:hint="cs"/>
          <w:sz w:val="24"/>
          <w:rtl/>
        </w:rPr>
        <w:t>.</w:t>
      </w:r>
      <w:bookmarkStart w:id="7" w:name="OtherTo"/>
      <w:bookmarkEnd w:id="7"/>
    </w:p>
    <w:sectPr w:rsidR="00633ACC" w:rsidSect="00184BCF">
      <w:headerReference w:type="even" r:id="rId8"/>
      <w:headerReference w:type="default" r:id="rId9"/>
      <w:footerReference w:type="default" r:id="rId10"/>
      <w:headerReference w:type="first" r:id="rId11"/>
      <w:footerReference w:type="first" r:id="rId12"/>
      <w:pgSz w:w="11907" w:h="16840" w:code="9"/>
      <w:pgMar w:top="1418" w:right="1134" w:bottom="1418" w:left="1134" w:header="142" w:footer="235"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554" w:rsidRDefault="00DF2554">
      <w:r>
        <w:separator/>
      </w:r>
    </w:p>
  </w:endnote>
  <w:endnote w:type="continuationSeparator" w:id="0">
    <w:p w:rsidR="00DF2554" w:rsidRDefault="00DF2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Pr="00060494" w:rsidRDefault="00184BCF" w:rsidP="00184BCF">
    <w:pPr>
      <w:pStyle w:val="aa"/>
      <w:pBdr>
        <w:top w:val="single" w:sz="4" w:space="1" w:color="auto"/>
      </w:pBdr>
      <w:tabs>
        <w:tab w:val="center" w:pos="4780"/>
        <w:tab w:val="right" w:pos="9666"/>
      </w:tabs>
      <w:spacing w:line="480" w:lineRule="auto"/>
      <w:rPr>
        <w:rFonts w:cs="Times New Roman"/>
        <w:b w:val="0"/>
        <w:bCs w:val="0"/>
        <w:sz w:val="24"/>
        <w:u w:val="single"/>
        <w:rtl/>
      </w:rPr>
    </w:pPr>
    <w:r w:rsidRPr="00060494">
      <w:rPr>
        <w:rFonts w:hint="cs"/>
        <w:rtl/>
      </w:rPr>
      <w:t xml:space="preserve">רח' עם ועולמו 4 ירושלים </w:t>
    </w:r>
    <w:r w:rsidRPr="00060494">
      <w:rPr>
        <w:rtl/>
      </w:rPr>
      <w:t>9546304</w:t>
    </w:r>
    <w:r w:rsidRPr="00060494">
      <w:rPr>
        <w:rFonts w:hint="cs"/>
        <w:rtl/>
      </w:rPr>
      <w:t xml:space="preserve"> טל': 02-5317248 פקס': 02-5695342 </w:t>
    </w:r>
    <w:r w:rsidRPr="00060494">
      <w:rPr>
        <w:rtl/>
      </w:rPr>
      <w:br/>
    </w:r>
    <w:r>
      <w:rPr>
        <w:b w:val="0"/>
        <w:bCs w:val="0"/>
      </w:rPr>
      <w:tab/>
    </w:r>
    <w:hyperlink r:id="rId1" w:history="1">
      <w:r w:rsidRPr="00435323">
        <w:rPr>
          <w:rStyle w:val="Hyperlink"/>
        </w:rPr>
        <w:t>www.mof.gov.il/hon</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Pr="00060494" w:rsidRDefault="00184BCF" w:rsidP="00184BCF">
    <w:pPr>
      <w:pStyle w:val="aa"/>
      <w:pBdr>
        <w:top w:val="single" w:sz="4" w:space="1" w:color="auto"/>
      </w:pBdr>
      <w:tabs>
        <w:tab w:val="center" w:pos="4780"/>
        <w:tab w:val="right" w:pos="9666"/>
      </w:tabs>
      <w:spacing w:line="480" w:lineRule="auto"/>
      <w:rPr>
        <w:rFonts w:cs="Times New Roman"/>
        <w:b w:val="0"/>
        <w:bCs w:val="0"/>
        <w:sz w:val="24"/>
        <w:u w:val="single"/>
        <w:rtl/>
      </w:rPr>
    </w:pPr>
    <w:r w:rsidRPr="00060494">
      <w:rPr>
        <w:rFonts w:hint="cs"/>
        <w:rtl/>
      </w:rPr>
      <w:t xml:space="preserve">רח' עם ועולמו 4 ירושלים </w:t>
    </w:r>
    <w:r w:rsidRPr="00060494">
      <w:rPr>
        <w:rtl/>
      </w:rPr>
      <w:t>9546304</w:t>
    </w:r>
    <w:r w:rsidRPr="00060494">
      <w:rPr>
        <w:rFonts w:hint="cs"/>
        <w:rtl/>
      </w:rPr>
      <w:t xml:space="preserve"> טל': 02-5317248 פקס': 02-5695342 </w:t>
    </w:r>
    <w:r w:rsidRPr="00060494">
      <w:rPr>
        <w:rtl/>
      </w:rPr>
      <w:br/>
    </w:r>
    <w:r>
      <w:rPr>
        <w:b w:val="0"/>
        <w:bCs w:val="0"/>
      </w:rPr>
      <w:tab/>
    </w:r>
    <w:hyperlink r:id="rId1" w:history="1">
      <w:r w:rsidRPr="00435323">
        <w:rPr>
          <w:rStyle w:val="Hyperlink"/>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554" w:rsidRDefault="00DF2554">
      <w:r>
        <w:separator/>
      </w:r>
    </w:p>
  </w:footnote>
  <w:footnote w:type="continuationSeparator" w:id="0">
    <w:p w:rsidR="00DF2554" w:rsidRDefault="00DF2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FFD" w:rsidRDefault="00C3464B">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624FFD" w:rsidRDefault="00DF2554">
    <w:pPr>
      <w:pStyle w:val="a8"/>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60516531"/>
      <w:docPartObj>
        <w:docPartGallery w:val="Page Numbers (Top of Page)"/>
        <w:docPartUnique/>
      </w:docPartObj>
    </w:sdtPr>
    <w:sdtEndPr>
      <w:rPr>
        <w:cs/>
      </w:rPr>
    </w:sdtEndPr>
    <w:sdtContent>
      <w:p w:rsidR="004C64D8" w:rsidRDefault="00C3464B">
        <w:pPr>
          <w:pStyle w:val="a8"/>
          <w:jc w:val="center"/>
          <w:rPr>
            <w:rtl/>
            <w:cs/>
          </w:rPr>
        </w:pPr>
        <w:r>
          <w:fldChar w:fldCharType="begin"/>
        </w:r>
        <w:r>
          <w:rPr>
            <w:rtl/>
            <w:cs/>
          </w:rPr>
          <w:instrText>PAGE   \* MERGEFORMAT</w:instrText>
        </w:r>
        <w:r>
          <w:fldChar w:fldCharType="separate"/>
        </w:r>
        <w:r w:rsidR="00AB378E" w:rsidRPr="00AB378E">
          <w:rPr>
            <w:noProof/>
            <w:rtl/>
            <w:lang w:val="he-IL"/>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BCF" w:rsidRDefault="00184BCF" w:rsidP="00184BCF">
    <w:pPr>
      <w:pStyle w:val="a8"/>
      <w:jc w:val="center"/>
      <w:rPr>
        <w:b w:val="0"/>
        <w:bCs w:val="0"/>
        <w:szCs w:val="36"/>
        <w:rtl/>
      </w:rPr>
    </w:pPr>
    <w:r>
      <w:rPr>
        <w:rFonts w:hint="cs"/>
        <w:b w:val="0"/>
        <w:bCs w:val="0"/>
        <w:noProof/>
        <w:szCs w:val="36"/>
        <w:lang w:eastAsia="en-US"/>
      </w:rPr>
      <w:drawing>
        <wp:inline distT="0" distB="0" distL="0" distR="0" wp14:anchorId="2AC1AC00" wp14:editId="62F03B8A">
          <wp:extent cx="563056" cy="446228"/>
          <wp:effectExtent l="0" t="0" r="0" b="0"/>
          <wp:docPr id="10" name="תמונה 10" descr="C:\Users\Shabed\Desktop\לוגו-ללא-טקסט.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DF5FA4" w:rsidRDefault="00DF5FA4" w:rsidP="00184BCF">
    <w:pPr>
      <w:pStyle w:val="a8"/>
      <w:pBdr>
        <w:bottom w:val="single" w:sz="12" w:space="1" w:color="auto"/>
      </w:pBdr>
      <w:jc w:val="center"/>
      <w:rPr>
        <w:szCs w:val="32"/>
        <w:rtl/>
      </w:rPr>
    </w:pPr>
    <w:r>
      <w:rPr>
        <w:rFonts w:hint="cs"/>
        <w:szCs w:val="32"/>
        <w:rtl/>
      </w:rPr>
      <w:t>מדינת ישראל</w:t>
    </w:r>
  </w:p>
  <w:p w:rsidR="00184BCF" w:rsidRDefault="00184BCF" w:rsidP="00184BCF">
    <w:pPr>
      <w:pStyle w:val="a8"/>
      <w:pBdr>
        <w:bottom w:val="single" w:sz="12" w:space="1" w:color="auto"/>
      </w:pBdr>
      <w:jc w:val="center"/>
      <w:rPr>
        <w:b w:val="0"/>
        <w:bCs w:val="0"/>
        <w:szCs w:val="32"/>
        <w:rtl/>
      </w:rPr>
    </w:pPr>
    <w:r>
      <w:rPr>
        <w:rFonts w:hint="cs"/>
        <w:szCs w:val="32"/>
        <w:rtl/>
      </w:rPr>
      <w:t>רשות</w:t>
    </w:r>
    <w:r>
      <w:rPr>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3F95C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4"/>
  </w:num>
  <w:num w:numId="2">
    <w:abstractNumId w:val="7"/>
  </w:num>
  <w:num w:numId="3">
    <w:abstractNumId w:val="1"/>
  </w:num>
  <w:num w:numId="4">
    <w:abstractNumId w:val="3"/>
  </w:num>
  <w:num w:numId="5">
    <w:abstractNumId w:val="0"/>
  </w:num>
  <w:num w:numId="6">
    <w:abstractNumId w:val="5"/>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64B"/>
    <w:rsid w:val="00014182"/>
    <w:rsid w:val="00047C97"/>
    <w:rsid w:val="000520B7"/>
    <w:rsid w:val="000568CE"/>
    <w:rsid w:val="00066383"/>
    <w:rsid w:val="00093B9D"/>
    <w:rsid w:val="000C04AE"/>
    <w:rsid w:val="000C1905"/>
    <w:rsid w:val="000E6098"/>
    <w:rsid w:val="000E632C"/>
    <w:rsid w:val="0010326C"/>
    <w:rsid w:val="001611C6"/>
    <w:rsid w:val="00164B30"/>
    <w:rsid w:val="0018292D"/>
    <w:rsid w:val="00184BCF"/>
    <w:rsid w:val="001A7C42"/>
    <w:rsid w:val="001C4F6D"/>
    <w:rsid w:val="001D55DD"/>
    <w:rsid w:val="001E548A"/>
    <w:rsid w:val="00213284"/>
    <w:rsid w:val="002349AF"/>
    <w:rsid w:val="00275887"/>
    <w:rsid w:val="002A54A3"/>
    <w:rsid w:val="002A7FEA"/>
    <w:rsid w:val="002E310F"/>
    <w:rsid w:val="002E38F4"/>
    <w:rsid w:val="002F197C"/>
    <w:rsid w:val="00302D89"/>
    <w:rsid w:val="00316ECD"/>
    <w:rsid w:val="00325E01"/>
    <w:rsid w:val="00334E05"/>
    <w:rsid w:val="00344163"/>
    <w:rsid w:val="00350397"/>
    <w:rsid w:val="00361114"/>
    <w:rsid w:val="003840FE"/>
    <w:rsid w:val="00393C6A"/>
    <w:rsid w:val="003A1D7A"/>
    <w:rsid w:val="003C3A5C"/>
    <w:rsid w:val="003C43FC"/>
    <w:rsid w:val="003F1396"/>
    <w:rsid w:val="0040055E"/>
    <w:rsid w:val="00422A0D"/>
    <w:rsid w:val="00423D6A"/>
    <w:rsid w:val="00426E0E"/>
    <w:rsid w:val="004323EF"/>
    <w:rsid w:val="004410DE"/>
    <w:rsid w:val="0044663B"/>
    <w:rsid w:val="00451F2E"/>
    <w:rsid w:val="004523EB"/>
    <w:rsid w:val="00452D7A"/>
    <w:rsid w:val="004A1FE1"/>
    <w:rsid w:val="004C127D"/>
    <w:rsid w:val="004C5538"/>
    <w:rsid w:val="004D65A1"/>
    <w:rsid w:val="004E479D"/>
    <w:rsid w:val="004F3773"/>
    <w:rsid w:val="005028F9"/>
    <w:rsid w:val="00505D36"/>
    <w:rsid w:val="00515321"/>
    <w:rsid w:val="00515E5C"/>
    <w:rsid w:val="00534452"/>
    <w:rsid w:val="005371D8"/>
    <w:rsid w:val="00555180"/>
    <w:rsid w:val="00556BE2"/>
    <w:rsid w:val="0059318B"/>
    <w:rsid w:val="005D42E4"/>
    <w:rsid w:val="00600BFA"/>
    <w:rsid w:val="00600F1F"/>
    <w:rsid w:val="00602DAD"/>
    <w:rsid w:val="006309B0"/>
    <w:rsid w:val="00633ACC"/>
    <w:rsid w:val="0066664E"/>
    <w:rsid w:val="00692C69"/>
    <w:rsid w:val="006952CA"/>
    <w:rsid w:val="006A13C9"/>
    <w:rsid w:val="006A2503"/>
    <w:rsid w:val="006A5446"/>
    <w:rsid w:val="006B352E"/>
    <w:rsid w:val="006C55AF"/>
    <w:rsid w:val="006D0744"/>
    <w:rsid w:val="006D686D"/>
    <w:rsid w:val="006E5942"/>
    <w:rsid w:val="006F2DA7"/>
    <w:rsid w:val="00706164"/>
    <w:rsid w:val="00735D55"/>
    <w:rsid w:val="00743847"/>
    <w:rsid w:val="00751B50"/>
    <w:rsid w:val="00757313"/>
    <w:rsid w:val="00757879"/>
    <w:rsid w:val="007611DA"/>
    <w:rsid w:val="007775FD"/>
    <w:rsid w:val="00793E5C"/>
    <w:rsid w:val="007A373A"/>
    <w:rsid w:val="007D4118"/>
    <w:rsid w:val="007E2692"/>
    <w:rsid w:val="0080160A"/>
    <w:rsid w:val="0082739B"/>
    <w:rsid w:val="00856D48"/>
    <w:rsid w:val="00864DB3"/>
    <w:rsid w:val="00867AE5"/>
    <w:rsid w:val="00870D8A"/>
    <w:rsid w:val="008B39D7"/>
    <w:rsid w:val="008E77BE"/>
    <w:rsid w:val="00910BC9"/>
    <w:rsid w:val="00915C9A"/>
    <w:rsid w:val="00935E81"/>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B378E"/>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464B"/>
    <w:rsid w:val="00C37F33"/>
    <w:rsid w:val="00C84ABA"/>
    <w:rsid w:val="00CA61AF"/>
    <w:rsid w:val="00CB40A4"/>
    <w:rsid w:val="00CC356E"/>
    <w:rsid w:val="00CD6DB8"/>
    <w:rsid w:val="00CE0517"/>
    <w:rsid w:val="00CF44BB"/>
    <w:rsid w:val="00D0325E"/>
    <w:rsid w:val="00D33979"/>
    <w:rsid w:val="00D66453"/>
    <w:rsid w:val="00D731DA"/>
    <w:rsid w:val="00D969C1"/>
    <w:rsid w:val="00DD5320"/>
    <w:rsid w:val="00DE069A"/>
    <w:rsid w:val="00DE7CC8"/>
    <w:rsid w:val="00DF2554"/>
    <w:rsid w:val="00DF5FA4"/>
    <w:rsid w:val="00DF73FF"/>
    <w:rsid w:val="00E41B31"/>
    <w:rsid w:val="00E56588"/>
    <w:rsid w:val="00E95EEF"/>
    <w:rsid w:val="00EA6729"/>
    <w:rsid w:val="00EC303E"/>
    <w:rsid w:val="00EF71D7"/>
    <w:rsid w:val="00F00D41"/>
    <w:rsid w:val="00F0592A"/>
    <w:rsid w:val="00F25ABF"/>
    <w:rsid w:val="00F509E4"/>
    <w:rsid w:val="00F74EF7"/>
    <w:rsid w:val="00F80DA7"/>
    <w:rsid w:val="00F959D9"/>
    <w:rsid w:val="00F975CB"/>
    <w:rsid w:val="00FD7A7E"/>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07C368"/>
  <w15:docId w15:val="{19724535-037C-43C1-B336-7F17DA92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64B"/>
    <w:pPr>
      <w:bidi/>
      <w:spacing w:before="0" w:after="0" w:line="240" w:lineRule="auto"/>
      <w:jc w:val="both"/>
    </w:pPr>
    <w:rPr>
      <w:rFonts w:ascii="Arial Narrow" w:eastAsia="Times New Roman" w:hAnsi="Arial Narrow" w:cs="David"/>
      <w:sz w:val="26"/>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ascii="Times New Roman" w:eastAsiaTheme="minorHAnsi" w:hAnsi="Times New Roman"/>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ascii="Times New Roman" w:eastAsiaTheme="minorHAnsi" w:hAnsi="Times New Roman"/>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ascii="Times New Roman" w:eastAsiaTheme="minorHAnsi" w:hAnsi="Times New Roman"/>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ascii="Times New Roman" w:eastAsiaTheme="minorHAnsi" w:hAnsi="Times New Roman"/>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ascii="Times New Roman" w:eastAsiaTheme="minorHAnsi" w:hAnsi="Times New Roman"/>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ascii="Times New Roman" w:eastAsiaTheme="minorHAnsi" w:hAnsi="Times New Roman"/>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ascii="Times New Roman" w:eastAsiaTheme="minorHAnsi" w:hAnsi="Times New Roman"/>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ascii="Times New Roman" w:eastAsiaTheme="minorHAnsi" w:hAnsi="Times New Roman"/>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ascii="Times New Roman" w:eastAsiaTheme="minorHAnsi" w:hAnsi="Times New Roman"/>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ascii="Times New Roman" w:eastAsiaTheme="minorHAnsi" w:hAnsi="Times New Roman"/>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ascii="Times New Roman" w:eastAsiaTheme="minorHAnsi" w:hAnsi="Times New Roman"/>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ascii="Times New Roman" w:eastAsiaTheme="minorHAnsi" w:hAnsi="Times New Roman"/>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ascii="Times New Roman" w:eastAsiaTheme="minorHAnsi" w:hAnsi="Times New Roman"/>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ascii="Times New Roman" w:eastAsiaTheme="minorHAnsi" w:hAnsi="Times New Roman"/>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ascii="Times New Roman" w:eastAsiaTheme="minorHAnsi" w:hAnsi="Times New Roman"/>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ascii="Times New Roman" w:eastAsiaTheme="minorHAnsi" w:hAnsi="Times New Roman"/>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ascii="Times New Roman" w:eastAsiaTheme="minorHAnsi" w:hAnsi="Times New Roman"/>
      <w:sz w:val="24"/>
      <w:lang w:eastAsia="en-US"/>
    </w:rPr>
  </w:style>
  <w:style w:type="paragraph" w:styleId="TOC4">
    <w:name w:val="toc 4"/>
    <w:basedOn w:val="a"/>
    <w:next w:val="a"/>
    <w:autoRedefine/>
    <w:uiPriority w:val="39"/>
    <w:unhideWhenUsed/>
    <w:rsid w:val="00600BFA"/>
    <w:pPr>
      <w:widowControl w:val="0"/>
      <w:spacing w:before="100" w:after="100"/>
      <w:ind w:left="720"/>
    </w:pPr>
    <w:rPr>
      <w:rFonts w:ascii="Times New Roman" w:eastAsiaTheme="minorHAnsi" w:hAnsi="Times New Roman"/>
      <w:sz w:val="24"/>
      <w:lang w:eastAsia="en-US"/>
    </w:rPr>
  </w:style>
  <w:style w:type="paragraph" w:styleId="a7">
    <w:name w:val="List Paragraph"/>
    <w:basedOn w:val="a"/>
    <w:uiPriority w:val="34"/>
    <w:rsid w:val="00FE3193"/>
    <w:pPr>
      <w:spacing w:before="120" w:after="120" w:line="360" w:lineRule="auto"/>
      <w:ind w:left="720"/>
      <w:contextualSpacing/>
    </w:pPr>
    <w:rPr>
      <w:rFonts w:ascii="Times New Roman" w:eastAsiaTheme="minorHAnsi" w:hAnsi="Times New Roman"/>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C3464B"/>
    <w:pPr>
      <w:tabs>
        <w:tab w:val="center" w:pos="4320"/>
        <w:tab w:val="right" w:pos="8640"/>
      </w:tabs>
      <w:overflowPunct w:val="0"/>
      <w:autoSpaceDE w:val="0"/>
      <w:autoSpaceDN w:val="0"/>
      <w:adjustRightInd w:val="0"/>
      <w:spacing w:line="360" w:lineRule="auto"/>
      <w:textAlignment w:val="baseline"/>
    </w:pPr>
    <w:rPr>
      <w:rFonts w:ascii="Times New Roman" w:hAnsi="Times New Roman"/>
      <w:b/>
      <w:bCs/>
      <w:sz w:val="22"/>
    </w:rPr>
  </w:style>
  <w:style w:type="character" w:customStyle="1" w:styleId="a9">
    <w:name w:val="כותרת עליונה תו"/>
    <w:basedOn w:val="a0"/>
    <w:link w:val="a8"/>
    <w:uiPriority w:val="99"/>
    <w:rsid w:val="00C3464B"/>
    <w:rPr>
      <w:rFonts w:ascii="Times New Roman" w:eastAsia="Times New Roman" w:hAnsi="Times New Roman" w:cs="David"/>
      <w:b/>
      <w:bCs/>
      <w:szCs w:val="24"/>
      <w:lang w:eastAsia="he-IL"/>
    </w:rPr>
  </w:style>
  <w:style w:type="paragraph" w:styleId="aa">
    <w:name w:val="footer"/>
    <w:basedOn w:val="a"/>
    <w:link w:val="ab"/>
    <w:rsid w:val="00C3464B"/>
    <w:pPr>
      <w:tabs>
        <w:tab w:val="center" w:pos="4320"/>
        <w:tab w:val="right" w:pos="8640"/>
      </w:tabs>
      <w:overflowPunct w:val="0"/>
      <w:autoSpaceDE w:val="0"/>
      <w:autoSpaceDN w:val="0"/>
      <w:adjustRightInd w:val="0"/>
      <w:spacing w:line="360" w:lineRule="auto"/>
      <w:textAlignment w:val="baseline"/>
    </w:pPr>
    <w:rPr>
      <w:rFonts w:ascii="Times New Roman" w:hAnsi="Times New Roman"/>
      <w:b/>
      <w:bCs/>
      <w:sz w:val="22"/>
    </w:rPr>
  </w:style>
  <w:style w:type="character" w:customStyle="1" w:styleId="ab">
    <w:name w:val="כותרת תחתונה תו"/>
    <w:basedOn w:val="a0"/>
    <w:link w:val="aa"/>
    <w:rsid w:val="00C3464B"/>
    <w:rPr>
      <w:rFonts w:ascii="Times New Roman" w:eastAsia="Times New Roman" w:hAnsi="Times New Roman" w:cs="David"/>
      <w:b/>
      <w:bCs/>
      <w:szCs w:val="24"/>
      <w:lang w:eastAsia="he-IL"/>
    </w:rPr>
  </w:style>
  <w:style w:type="character" w:styleId="ac">
    <w:name w:val="page number"/>
    <w:basedOn w:val="a0"/>
    <w:rsid w:val="00C3464B"/>
  </w:style>
  <w:style w:type="character" w:styleId="Hyperlink">
    <w:name w:val="Hyperlink"/>
    <w:rsid w:val="00C3464B"/>
    <w:rPr>
      <w:color w:val="0000FF"/>
      <w:u w:val="single"/>
    </w:rPr>
  </w:style>
  <w:style w:type="paragraph" w:styleId="ad">
    <w:name w:val="Balloon Text"/>
    <w:basedOn w:val="a"/>
    <w:link w:val="ae"/>
    <w:uiPriority w:val="99"/>
    <w:semiHidden/>
    <w:unhideWhenUsed/>
    <w:rsid w:val="00C3464B"/>
    <w:rPr>
      <w:rFonts w:ascii="Tahoma" w:hAnsi="Tahoma" w:cs="Tahoma"/>
      <w:sz w:val="16"/>
      <w:szCs w:val="16"/>
    </w:rPr>
  </w:style>
  <w:style w:type="character" w:customStyle="1" w:styleId="ae">
    <w:name w:val="טקסט בלונים תו"/>
    <w:basedOn w:val="a0"/>
    <w:link w:val="ad"/>
    <w:uiPriority w:val="99"/>
    <w:semiHidden/>
    <w:rsid w:val="00C3464B"/>
    <w:rPr>
      <w:rFonts w:ascii="Tahoma" w:eastAsia="Times New Roman" w:hAnsi="Tahoma" w:cs="Tahoma"/>
      <w:sz w:val="16"/>
      <w:szCs w:val="16"/>
      <w:lang w:eastAsia="he-IL"/>
    </w:rPr>
  </w:style>
  <w:style w:type="table" w:styleId="af">
    <w:name w:val="Table Grid"/>
    <w:basedOn w:val="a1"/>
    <w:uiPriority w:val="59"/>
    <w:rsid w:val="002349A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80DEE-9E0C-4DFD-9E54-F2F81B44F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228</Words>
  <Characters>1140</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תומר כהן</cp:lastModifiedBy>
  <cp:revision>4</cp:revision>
  <dcterms:created xsi:type="dcterms:W3CDTF">2018-01-01T10:48:00Z</dcterms:created>
  <dcterms:modified xsi:type="dcterms:W3CDTF">2018-01-02T08:19:00Z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notes://MAOR2/Doc/Shuk_hon/hondocNew3.nsf/0/53E345D5F9A93F51C22581BA005089C5/?OpenDocument</vt:lpwstr>
  </property>
  <property fmtid="{D5CDD505-2E9C-101B-9397-08002B2CF9AE}" pid="3" name="MaorRecipients0">
    <vt:lpwstr>ronenl@mof.gov.il</vt:lpwstr>
  </property>
</Properties>
</file>