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755825" w:rsidRDefault="00755825" w:rsidP="00755825">
      <w:pPr>
        <w:ind w:left="7370"/>
        <w:rPr>
          <w:sz w:val="24"/>
          <w:rtl/>
        </w:rPr>
      </w:pPr>
      <w:r>
        <w:rPr>
          <w:rFonts w:hint="eastAsia"/>
          <w:sz w:val="24"/>
          <w:rtl/>
        </w:rPr>
        <w:t>ד</w:t>
      </w:r>
      <w:r>
        <w:rPr>
          <w:sz w:val="24"/>
          <w:rtl/>
        </w:rPr>
        <w:t>' בתשרי התשע"ט</w:t>
      </w:r>
      <w:r>
        <w:rPr>
          <w:sz w:val="24"/>
          <w:rtl/>
        </w:rPr>
        <w:br/>
        <w:t>13 בספטמבר 2018</w:t>
      </w:r>
    </w:p>
    <w:p w:rsidR="00ED5F66" w:rsidRPr="00ED5F66" w:rsidRDefault="00755825" w:rsidP="00755825">
      <w:pPr>
        <w:ind w:left="7370"/>
        <w:rPr>
          <w:b/>
          <w:bCs/>
          <w:rtl/>
        </w:rPr>
      </w:pPr>
      <w:bookmarkStart w:id="0" w:name="DocNum"/>
      <w:bookmarkEnd w:id="0"/>
      <w:r>
        <w:rPr>
          <w:rtl/>
        </w:rPr>
        <w:t>שה. 2018-14172</w:t>
      </w:r>
    </w:p>
    <w:p w:rsidR="00755825" w:rsidRDefault="00755825" w:rsidP="00ED5F66">
      <w:pPr>
        <w:spacing w:line="25" w:lineRule="atLeast"/>
        <w:jc w:val="center"/>
        <w:rPr>
          <w:b/>
          <w:bCs/>
          <w:rtl/>
        </w:rPr>
      </w:pPr>
    </w:p>
    <w:p w:rsidR="00ED5F66" w:rsidRPr="00ED5F66" w:rsidRDefault="00ED5F66" w:rsidP="00ED5F66">
      <w:pPr>
        <w:spacing w:line="25" w:lineRule="atLeast"/>
        <w:jc w:val="center"/>
        <w:rPr>
          <w:rtl/>
        </w:rPr>
      </w:pPr>
      <w:r w:rsidRPr="00ED5F66">
        <w:rPr>
          <w:rFonts w:hint="cs"/>
          <w:b/>
          <w:bCs/>
          <w:rtl/>
        </w:rPr>
        <w:t xml:space="preserve">הנדון: </w:t>
      </w:r>
      <w:r w:rsidRPr="00ED5F66">
        <w:rPr>
          <w:b/>
          <w:bCs/>
          <w:u w:val="single"/>
          <w:rtl/>
        </w:rPr>
        <w:t xml:space="preserve">פניה לקבלת מידע אודות </w:t>
      </w:r>
      <w:r w:rsidRPr="00ED5F66">
        <w:rPr>
          <w:rFonts w:hint="cs"/>
          <w:b/>
          <w:bCs/>
          <w:u w:val="single"/>
          <w:rtl/>
        </w:rPr>
        <w:t>חשבונות מעבר</w:t>
      </w:r>
    </w:p>
    <w:p w:rsidR="00ED5F66" w:rsidRPr="00ED5F66" w:rsidRDefault="00ED5F66" w:rsidP="00ED5F66">
      <w:pPr>
        <w:spacing w:line="25" w:lineRule="atLeast"/>
        <w:jc w:val="center"/>
        <w:rPr>
          <w:rtl/>
        </w:rPr>
      </w:pPr>
      <w:r w:rsidRPr="00ED5F66">
        <w:rPr>
          <w:rFonts w:hint="cs"/>
          <w:rtl/>
        </w:rPr>
        <w:t>סימוכין: פנייתך מיום 13.8.18</w:t>
      </w:r>
    </w:p>
    <w:p w:rsidR="00ED5F66" w:rsidRPr="00ED5F66" w:rsidRDefault="00ED5F66" w:rsidP="00ED5F66">
      <w:pPr>
        <w:spacing w:line="25" w:lineRule="atLeast"/>
        <w:jc w:val="center"/>
        <w:rPr>
          <w:rtl/>
        </w:rPr>
      </w:pP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ascii="David" w:eastAsiaTheme="minorHAnsi" w:hAnsi="David"/>
          <w:sz w:val="24"/>
          <w:rtl/>
          <w:lang w:eastAsia="en-US"/>
        </w:rPr>
        <w:t>בפנייתך שבנדון ביקשת</w:t>
      </w:r>
      <w:r w:rsidRPr="00ED5F66">
        <w:rPr>
          <w:rFonts w:ascii="David" w:eastAsiaTheme="minorHAnsi" w:hAnsi="David" w:hint="cs"/>
          <w:sz w:val="24"/>
          <w:rtl/>
          <w:lang w:eastAsia="en-US"/>
        </w:rPr>
        <w:t xml:space="preserve"> </w:t>
      </w:r>
      <w:r w:rsidRPr="00ED5F66">
        <w:rPr>
          <w:rFonts w:ascii="David" w:eastAsiaTheme="minorHAnsi" w:hAnsi="David"/>
          <w:sz w:val="24"/>
          <w:rtl/>
          <w:lang w:eastAsia="en-US"/>
        </w:rPr>
        <w:t>לקבל, בהתאם לחוק חופש המידע, התשנ"ח-1998 (להלן</w:t>
      </w:r>
      <w:r w:rsidRPr="00ED5F66">
        <w:rPr>
          <w:rFonts w:ascii="David" w:eastAsiaTheme="minorHAnsi" w:hAnsi="David" w:hint="cs"/>
          <w:sz w:val="24"/>
          <w:rtl/>
          <w:lang w:eastAsia="en-US"/>
        </w:rPr>
        <w:t xml:space="preserve"> </w:t>
      </w:r>
      <w:r w:rsidRPr="00ED5F66">
        <w:rPr>
          <w:rFonts w:ascii="David" w:eastAsiaTheme="minorHAnsi" w:hAnsi="David"/>
          <w:sz w:val="24"/>
          <w:rtl/>
          <w:lang w:eastAsia="en-US"/>
        </w:rPr>
        <w:t xml:space="preserve">- </w:t>
      </w:r>
      <w:r w:rsidRPr="00ED5F66">
        <w:rPr>
          <w:rFonts w:ascii="David" w:eastAsiaTheme="minorHAnsi" w:hAnsi="David"/>
          <w:b/>
          <w:bCs/>
          <w:sz w:val="24"/>
          <w:rtl/>
          <w:lang w:eastAsia="en-US"/>
        </w:rPr>
        <w:t>חוק חופש המידע</w:t>
      </w:r>
      <w:r w:rsidRPr="00ED5F66">
        <w:rPr>
          <w:rFonts w:ascii="David" w:eastAsiaTheme="minorHAnsi" w:hAnsi="David"/>
          <w:sz w:val="24"/>
          <w:lang w:eastAsia="en-US"/>
        </w:rPr>
        <w:t>(</w:t>
      </w:r>
      <w:r w:rsidRPr="00ED5F66">
        <w:rPr>
          <w:rFonts w:ascii="David" w:eastAsiaTheme="minorHAnsi" w:hAnsi="David"/>
          <w:sz w:val="24"/>
          <w:rtl/>
          <w:lang w:eastAsia="en-US"/>
        </w:rPr>
        <w:t>,</w:t>
      </w:r>
      <w:r w:rsidRPr="00ED5F66">
        <w:rPr>
          <w:rFonts w:ascii="David" w:eastAsiaTheme="minorHAnsi" w:hAnsi="David" w:hint="cs"/>
          <w:sz w:val="24"/>
          <w:rtl/>
          <w:lang w:eastAsia="en-US"/>
        </w:rPr>
        <w:t xml:space="preserve"> מידעים שונים בנוגע לחשבונות מעבר בגופים המחזיקים או מנהלים קופות גמל וקרנות פנסיה. ראשית, נציין כי </w:t>
      </w:r>
      <w:r w:rsidRPr="00ED5F66">
        <w:rPr>
          <w:rFonts w:eastAsiaTheme="minorHAnsi" w:hint="eastAsia"/>
          <w:sz w:val="24"/>
          <w:rtl/>
          <w:lang w:eastAsia="en-US"/>
        </w:rPr>
        <w:t>בפנייתך</w:t>
      </w:r>
      <w:r w:rsidRPr="00ED5F66">
        <w:rPr>
          <w:rFonts w:eastAsiaTheme="minorHAnsi"/>
          <w:sz w:val="24"/>
          <w:rtl/>
          <w:lang w:eastAsia="en-US"/>
        </w:rPr>
        <w:t xml:space="preserve">, נכללות גם בקשות שאינן בקשות לקבלת מידע כהגדרתו בחוק חופש המידע. אף על פי כן, </w:t>
      </w:r>
      <w:r w:rsidRPr="00ED5F66">
        <w:rPr>
          <w:rFonts w:eastAsiaTheme="minorHAnsi" w:hint="eastAsia"/>
          <w:sz w:val="24"/>
          <w:rtl/>
          <w:lang w:eastAsia="en-US"/>
        </w:rPr>
        <w:t>נתייחס</w:t>
      </w:r>
      <w:r w:rsidRPr="00ED5F66">
        <w:rPr>
          <w:rFonts w:eastAsiaTheme="minorHAnsi"/>
          <w:sz w:val="24"/>
          <w:rtl/>
          <w:lang w:eastAsia="en-US"/>
        </w:rPr>
        <w:t xml:space="preserve"> </w:t>
      </w:r>
      <w:r w:rsidRPr="00ED5F66">
        <w:rPr>
          <w:rFonts w:eastAsiaTheme="minorHAnsi" w:hint="eastAsia"/>
          <w:sz w:val="24"/>
          <w:rtl/>
          <w:lang w:eastAsia="en-US"/>
        </w:rPr>
        <w:t>להלן</w:t>
      </w:r>
      <w:r w:rsidRPr="00ED5F66">
        <w:rPr>
          <w:rFonts w:eastAsiaTheme="minorHAnsi"/>
          <w:sz w:val="24"/>
          <w:rtl/>
          <w:lang w:eastAsia="en-US"/>
        </w:rPr>
        <w:t xml:space="preserve"> לכל אחת משאלותיך</w:t>
      </w:r>
      <w:r w:rsidRPr="00ED5F66">
        <w:rPr>
          <w:rFonts w:eastAsiaTheme="minorHAnsi" w:hint="cs"/>
          <w:sz w:val="24"/>
          <w:rtl/>
          <w:lang w:eastAsia="en-US"/>
        </w:rPr>
        <w:t xml:space="preserve">. נבקש לציין כי להבא ניתן לפנות לרשות שוק ההון, ביטוח וחיסכון (להלן </w:t>
      </w:r>
      <w:r w:rsidRPr="00ED5F66">
        <w:rPr>
          <w:rFonts w:eastAsiaTheme="minorHAnsi"/>
          <w:sz w:val="24"/>
          <w:rtl/>
          <w:lang w:eastAsia="en-US"/>
        </w:rPr>
        <w:t>–</w:t>
      </w:r>
      <w:r w:rsidRPr="00ED5F66">
        <w:rPr>
          <w:rFonts w:eastAsiaTheme="minorHAnsi" w:hint="cs"/>
          <w:sz w:val="24"/>
          <w:rtl/>
          <w:lang w:eastAsia="en-US"/>
        </w:rPr>
        <w:t xml:space="preserve"> </w:t>
      </w:r>
      <w:r w:rsidRPr="00ED5F66">
        <w:rPr>
          <w:rFonts w:eastAsiaTheme="minorHAnsi" w:hint="eastAsia"/>
          <w:b/>
          <w:bCs/>
          <w:sz w:val="24"/>
          <w:rtl/>
          <w:lang w:eastAsia="en-US"/>
        </w:rPr>
        <w:t>הרשות</w:t>
      </w:r>
      <w:r w:rsidRPr="00ED5F66">
        <w:rPr>
          <w:rFonts w:eastAsiaTheme="minorHAnsi" w:hint="cs"/>
          <w:sz w:val="24"/>
          <w:rtl/>
          <w:lang w:eastAsia="en-US"/>
        </w:rPr>
        <w:t>) בפניות שאלה באתר הרשות.</w:t>
      </w: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t xml:space="preserve">בסעיף 1 לבקשתך, ביקשת לקבל את כל החוקים, התקנות וההוראות שהוציא הממונה על שוק ההון בנושא חשבונות מעבר. במענה לסעיף זה, נבקש להפנותך לאתר האינטרנט של הרשות, בו ניתן לאתר המידע המבוקש.  </w:t>
      </w:r>
    </w:p>
    <w:p w:rsidR="00ED5F66" w:rsidRPr="00ED5F66" w:rsidRDefault="00ED5F66" w:rsidP="00ED5F66">
      <w:pPr>
        <w:overflowPunct/>
        <w:autoSpaceDE/>
        <w:autoSpaceDN/>
        <w:adjustRightInd/>
        <w:spacing w:before="120" w:after="120" w:line="360" w:lineRule="auto"/>
        <w:ind w:left="720"/>
        <w:contextualSpacing/>
        <w:jc w:val="both"/>
        <w:textAlignment w:val="auto"/>
        <w:rPr>
          <w:rFonts w:eastAsiaTheme="minorHAnsi"/>
          <w:sz w:val="24"/>
          <w:rtl/>
          <w:lang w:eastAsia="en-US"/>
        </w:rPr>
      </w:pPr>
      <w:r w:rsidRPr="00ED5F66">
        <w:rPr>
          <w:rFonts w:eastAsiaTheme="minorHAnsi" w:hint="cs"/>
          <w:sz w:val="24"/>
          <w:rtl/>
          <w:lang w:eastAsia="en-US"/>
        </w:rPr>
        <w:t xml:space="preserve">להלן קישור לנושא הסדרה וחקיקה שבאתר הרשות: </w:t>
      </w:r>
    </w:p>
    <w:p w:rsidR="00ED5F66" w:rsidRPr="00ED5F66" w:rsidRDefault="00A14A38" w:rsidP="00ED5F66">
      <w:pPr>
        <w:overflowPunct/>
        <w:autoSpaceDE/>
        <w:autoSpaceDN/>
        <w:adjustRightInd/>
        <w:spacing w:before="120" w:after="120" w:line="360" w:lineRule="auto"/>
        <w:ind w:left="720"/>
        <w:contextualSpacing/>
        <w:jc w:val="both"/>
        <w:textAlignment w:val="auto"/>
        <w:rPr>
          <w:rFonts w:eastAsiaTheme="minorHAnsi"/>
          <w:sz w:val="24"/>
          <w:rtl/>
          <w:lang w:eastAsia="en-US"/>
        </w:rPr>
      </w:pPr>
      <w:hyperlink r:id="rId8" w:tooltip="קישור לנושא הסדרה וחקיקה שמפורסם באתר רשות שוק ההון ביטוח וחיסכון" w:history="1">
        <w:r w:rsidR="00ED5F66" w:rsidRPr="00ED5F66">
          <w:rPr>
            <w:rFonts w:eastAsiaTheme="minorHAnsi"/>
            <w:color w:val="0000FF"/>
            <w:sz w:val="24"/>
            <w:u w:val="single"/>
            <w:lang w:eastAsia="en-US"/>
          </w:rPr>
          <w:t>https://mof.gov.il/hon/Regulations</w:t>
        </w:r>
      </w:hyperlink>
    </w:p>
    <w:p w:rsidR="00ED5F66" w:rsidRPr="00ED5F66" w:rsidRDefault="00ED5F66" w:rsidP="00ED5F66">
      <w:pPr>
        <w:overflowPunct/>
        <w:autoSpaceDE/>
        <w:autoSpaceDN/>
        <w:adjustRightInd/>
        <w:spacing w:before="120" w:after="120" w:line="360" w:lineRule="auto"/>
        <w:ind w:left="720"/>
        <w:contextualSpacing/>
        <w:jc w:val="both"/>
        <w:textAlignment w:val="auto"/>
        <w:rPr>
          <w:rFonts w:eastAsiaTheme="minorHAnsi"/>
          <w:sz w:val="24"/>
          <w:rtl/>
          <w:lang w:eastAsia="en-US"/>
        </w:rPr>
      </w:pPr>
      <w:r w:rsidRPr="00ED5F66">
        <w:rPr>
          <w:rFonts w:eastAsiaTheme="minorHAnsi" w:hint="cs"/>
          <w:sz w:val="24"/>
          <w:rtl/>
          <w:lang w:eastAsia="en-US"/>
        </w:rPr>
        <w:t xml:space="preserve">לנוכח האמור, ומאחר שהמידע מפורסם </w:t>
      </w:r>
      <w:r w:rsidRPr="00ED5F66">
        <w:rPr>
          <w:rFonts w:eastAsiaTheme="minorHAnsi" w:hint="eastAsia"/>
          <w:sz w:val="24"/>
          <w:rtl/>
          <w:lang w:eastAsia="en-US"/>
        </w:rPr>
        <w:t>ועומד</w:t>
      </w:r>
      <w:r w:rsidRPr="00ED5F66">
        <w:rPr>
          <w:rFonts w:eastAsiaTheme="minorHAnsi"/>
          <w:sz w:val="24"/>
          <w:rtl/>
          <w:lang w:eastAsia="en-US"/>
        </w:rPr>
        <w:t xml:space="preserve"> </w:t>
      </w:r>
      <w:r w:rsidRPr="00ED5F66">
        <w:rPr>
          <w:rFonts w:eastAsiaTheme="minorHAnsi" w:hint="eastAsia"/>
          <w:sz w:val="24"/>
          <w:rtl/>
          <w:lang w:eastAsia="en-US"/>
        </w:rPr>
        <w:t>לרשות</w:t>
      </w:r>
      <w:r w:rsidRPr="00ED5F66">
        <w:rPr>
          <w:rFonts w:eastAsiaTheme="minorHAnsi"/>
          <w:sz w:val="24"/>
          <w:rtl/>
          <w:lang w:eastAsia="en-US"/>
        </w:rPr>
        <w:t xml:space="preserve"> </w:t>
      </w:r>
      <w:r w:rsidRPr="00ED5F66">
        <w:rPr>
          <w:rFonts w:eastAsiaTheme="minorHAnsi" w:hint="eastAsia"/>
          <w:sz w:val="24"/>
          <w:rtl/>
          <w:lang w:eastAsia="en-US"/>
        </w:rPr>
        <w:t>הציבור</w:t>
      </w:r>
      <w:r w:rsidRPr="00ED5F66">
        <w:rPr>
          <w:rFonts w:eastAsiaTheme="minorHAnsi"/>
          <w:sz w:val="24"/>
          <w:rtl/>
          <w:lang w:eastAsia="en-US"/>
        </w:rPr>
        <w:t xml:space="preserve"> </w:t>
      </w:r>
      <w:r w:rsidRPr="00ED5F66">
        <w:rPr>
          <w:rFonts w:eastAsiaTheme="minorHAnsi" w:hint="eastAsia"/>
          <w:sz w:val="24"/>
          <w:rtl/>
          <w:lang w:eastAsia="en-US"/>
        </w:rPr>
        <w:t>או</w:t>
      </w:r>
      <w:r w:rsidRPr="00ED5F66">
        <w:rPr>
          <w:rFonts w:eastAsiaTheme="minorHAnsi"/>
          <w:sz w:val="24"/>
          <w:rtl/>
          <w:lang w:eastAsia="en-US"/>
        </w:rPr>
        <w:t xml:space="preserve"> </w:t>
      </w:r>
      <w:r w:rsidRPr="00ED5F66">
        <w:rPr>
          <w:rFonts w:eastAsiaTheme="minorHAnsi" w:hint="eastAsia"/>
          <w:sz w:val="24"/>
          <w:rtl/>
          <w:lang w:eastAsia="en-US"/>
        </w:rPr>
        <w:t>לעיונו</w:t>
      </w:r>
      <w:r w:rsidRPr="00ED5F66">
        <w:rPr>
          <w:rFonts w:eastAsiaTheme="minorHAnsi" w:hint="cs"/>
          <w:sz w:val="24"/>
          <w:rtl/>
          <w:lang w:eastAsia="en-US"/>
        </w:rPr>
        <w:t xml:space="preserve">, הרינו לדחות את בקשתך, בהתאם להוראת סעיף 8(4) לחוק חופש המידע. </w:t>
      </w: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t xml:space="preserve">בסעיף 2 לבקשתך, ביקשת לדעת האם בשבע השנים האחרונות ערכה הרשות ביקורות בנושא חשבונות מעבר, וכן ביקשת לקבל את ממצאי הביקורת. במענה לבקשתך זו, נבהיר כי הרשות ערכה ביקורות בנושא חשבונות מעבר. עם זאת, </w:t>
      </w:r>
      <w:r w:rsidRPr="00ED5F66">
        <w:rPr>
          <w:rFonts w:eastAsiaTheme="minorHAnsi" w:hint="eastAsia"/>
          <w:sz w:val="24"/>
          <w:rtl/>
          <w:lang w:eastAsia="en-US"/>
        </w:rPr>
        <w:t>לאחר</w:t>
      </w:r>
      <w:r w:rsidRPr="00ED5F66">
        <w:rPr>
          <w:rFonts w:eastAsiaTheme="minorHAnsi"/>
          <w:sz w:val="24"/>
          <w:rtl/>
          <w:lang w:eastAsia="en-US"/>
        </w:rPr>
        <w:t xml:space="preserve"> </w:t>
      </w:r>
      <w:r w:rsidRPr="00ED5F66">
        <w:rPr>
          <w:rFonts w:eastAsiaTheme="minorHAnsi" w:hint="eastAsia"/>
          <w:sz w:val="24"/>
          <w:rtl/>
          <w:lang w:eastAsia="en-US"/>
        </w:rPr>
        <w:t>בחינת</w:t>
      </w:r>
      <w:r w:rsidRPr="00ED5F66">
        <w:rPr>
          <w:rFonts w:eastAsiaTheme="minorHAnsi"/>
          <w:sz w:val="24"/>
          <w:rtl/>
          <w:lang w:eastAsia="en-US"/>
        </w:rPr>
        <w:t xml:space="preserve"> </w:t>
      </w:r>
      <w:r w:rsidRPr="00ED5F66">
        <w:rPr>
          <w:rFonts w:eastAsiaTheme="minorHAnsi" w:hint="eastAsia"/>
          <w:sz w:val="24"/>
          <w:rtl/>
          <w:lang w:eastAsia="en-US"/>
        </w:rPr>
        <w:t>בקשתך</w:t>
      </w:r>
      <w:r w:rsidRPr="00ED5F66">
        <w:rPr>
          <w:rFonts w:eastAsiaTheme="minorHAnsi"/>
          <w:sz w:val="24"/>
          <w:rtl/>
          <w:lang w:eastAsia="en-US"/>
        </w:rPr>
        <w:t xml:space="preserve"> וזאת בשים לב, בין היתר, לפסק הדין שניתן </w:t>
      </w:r>
      <w:r w:rsidRPr="00ED5F66">
        <w:rPr>
          <w:rFonts w:eastAsiaTheme="minorHAnsi" w:hint="cs"/>
          <w:sz w:val="24"/>
          <w:rtl/>
          <w:lang w:eastAsia="en-US"/>
        </w:rPr>
        <w:t xml:space="preserve">לאחרונה </w:t>
      </w:r>
      <w:r w:rsidRPr="00ED5F66">
        <w:rPr>
          <w:rFonts w:eastAsiaTheme="minorHAnsi" w:hint="eastAsia"/>
          <w:sz w:val="24"/>
          <w:rtl/>
          <w:lang w:eastAsia="en-US"/>
        </w:rPr>
        <w:t>על</w:t>
      </w:r>
      <w:r w:rsidRPr="00ED5F66">
        <w:rPr>
          <w:rFonts w:eastAsiaTheme="minorHAnsi"/>
          <w:sz w:val="24"/>
          <w:rtl/>
          <w:lang w:eastAsia="en-US"/>
        </w:rPr>
        <w:t xml:space="preserve"> ידי בית המשפט העליון בעע"מ 5089/16 התנועה למען איכות השלטון בישראל נ' בנק ישראל</w:t>
      </w:r>
      <w:r w:rsidRPr="00ED5F66">
        <w:rPr>
          <w:rFonts w:eastAsiaTheme="minorHAnsi" w:hint="cs"/>
          <w:sz w:val="24"/>
          <w:rtl/>
          <w:lang w:eastAsia="en-US"/>
        </w:rPr>
        <w:t xml:space="preserve"> (פורסם בנבו) (להלן </w:t>
      </w:r>
      <w:r w:rsidRPr="00ED5F66">
        <w:rPr>
          <w:rFonts w:eastAsiaTheme="minorHAnsi"/>
          <w:sz w:val="24"/>
          <w:rtl/>
          <w:lang w:eastAsia="en-US"/>
        </w:rPr>
        <w:t>–</w:t>
      </w:r>
      <w:r w:rsidRPr="00ED5F66">
        <w:rPr>
          <w:rFonts w:eastAsiaTheme="minorHAnsi" w:hint="cs"/>
          <w:sz w:val="24"/>
          <w:rtl/>
          <w:lang w:eastAsia="en-US"/>
        </w:rPr>
        <w:t xml:space="preserve"> </w:t>
      </w:r>
      <w:r w:rsidRPr="00ED5F66">
        <w:rPr>
          <w:rFonts w:eastAsiaTheme="minorHAnsi" w:hint="eastAsia"/>
          <w:b/>
          <w:bCs/>
          <w:sz w:val="24"/>
          <w:rtl/>
          <w:lang w:eastAsia="en-US"/>
        </w:rPr>
        <w:t>פסק</w:t>
      </w:r>
      <w:r w:rsidRPr="00ED5F66">
        <w:rPr>
          <w:rFonts w:eastAsiaTheme="minorHAnsi"/>
          <w:b/>
          <w:bCs/>
          <w:sz w:val="24"/>
          <w:rtl/>
          <w:lang w:eastAsia="en-US"/>
        </w:rPr>
        <w:t xml:space="preserve"> </w:t>
      </w:r>
      <w:r w:rsidRPr="00ED5F66">
        <w:rPr>
          <w:rFonts w:eastAsiaTheme="minorHAnsi" w:hint="eastAsia"/>
          <w:b/>
          <w:bCs/>
          <w:sz w:val="24"/>
          <w:rtl/>
          <w:lang w:eastAsia="en-US"/>
        </w:rPr>
        <w:t>הדין</w:t>
      </w:r>
      <w:r w:rsidRPr="00ED5F66">
        <w:rPr>
          <w:rFonts w:eastAsiaTheme="minorHAnsi" w:hint="cs"/>
          <w:sz w:val="24"/>
          <w:rtl/>
          <w:lang w:eastAsia="en-US"/>
        </w:rPr>
        <w:t>)</w:t>
      </w:r>
      <w:r w:rsidRPr="00ED5F66">
        <w:rPr>
          <w:rFonts w:eastAsiaTheme="minorHAnsi"/>
          <w:sz w:val="24"/>
          <w:rtl/>
          <w:lang w:eastAsia="en-US"/>
        </w:rPr>
        <w:t xml:space="preserve">, הרינו להשיבך כי </w:t>
      </w:r>
      <w:r w:rsidRPr="00ED5F66">
        <w:rPr>
          <w:rFonts w:eastAsiaTheme="minorHAnsi" w:hint="eastAsia"/>
          <w:sz w:val="24"/>
          <w:rtl/>
          <w:lang w:eastAsia="en-US"/>
        </w:rPr>
        <w:t>לא</w:t>
      </w:r>
      <w:r w:rsidRPr="00ED5F66">
        <w:rPr>
          <w:rFonts w:eastAsiaTheme="minorHAnsi"/>
          <w:sz w:val="24"/>
          <w:rtl/>
          <w:lang w:eastAsia="en-US"/>
        </w:rPr>
        <w:t xml:space="preserve"> מצאנו מקום למסור את </w:t>
      </w:r>
      <w:r w:rsidRPr="00ED5F66">
        <w:rPr>
          <w:rFonts w:eastAsiaTheme="minorHAnsi" w:hint="cs"/>
          <w:sz w:val="24"/>
          <w:rtl/>
          <w:lang w:eastAsia="en-US"/>
        </w:rPr>
        <w:t>ממצאי הביקורת</w:t>
      </w:r>
      <w:r w:rsidRPr="00ED5F66">
        <w:rPr>
          <w:rFonts w:eastAsiaTheme="minorHAnsi"/>
          <w:sz w:val="24"/>
          <w:rtl/>
          <w:lang w:eastAsia="en-US"/>
        </w:rPr>
        <w:t xml:space="preserve"> וזאת </w:t>
      </w:r>
      <w:r w:rsidRPr="00ED5F66">
        <w:rPr>
          <w:rFonts w:eastAsiaTheme="minorHAnsi" w:hint="eastAsia"/>
          <w:sz w:val="24"/>
          <w:rtl/>
          <w:lang w:eastAsia="en-US"/>
        </w:rPr>
        <w:t>מהטעמים</w:t>
      </w:r>
      <w:r w:rsidRPr="00ED5F66">
        <w:rPr>
          <w:rFonts w:eastAsiaTheme="minorHAnsi"/>
          <w:sz w:val="24"/>
          <w:rtl/>
          <w:lang w:eastAsia="en-US"/>
        </w:rPr>
        <w:t xml:space="preserve"> </w:t>
      </w:r>
      <w:r w:rsidRPr="00ED5F66">
        <w:rPr>
          <w:rFonts w:eastAsiaTheme="minorHAnsi" w:hint="eastAsia"/>
          <w:sz w:val="24"/>
          <w:rtl/>
          <w:lang w:eastAsia="en-US"/>
        </w:rPr>
        <w:t>הבאים</w:t>
      </w:r>
      <w:r w:rsidRPr="00ED5F66">
        <w:rPr>
          <w:rFonts w:eastAsiaTheme="minorHAnsi"/>
          <w:sz w:val="24"/>
          <w:rtl/>
          <w:lang w:eastAsia="en-US"/>
        </w:rPr>
        <w:t>:</w:t>
      </w:r>
    </w:p>
    <w:p w:rsidR="00ED5F66" w:rsidRPr="00ED5F66" w:rsidRDefault="00ED5F66" w:rsidP="00ED5F66">
      <w:pPr>
        <w:numPr>
          <w:ilvl w:val="1"/>
          <w:numId w:val="8"/>
        </w:numPr>
        <w:overflowPunct/>
        <w:autoSpaceDE/>
        <w:autoSpaceDN/>
        <w:adjustRightInd/>
        <w:spacing w:before="120" w:after="120" w:line="360" w:lineRule="auto"/>
        <w:contextualSpacing/>
        <w:jc w:val="both"/>
        <w:textAlignment w:val="auto"/>
        <w:rPr>
          <w:rFonts w:ascii="David" w:eastAsiaTheme="minorHAnsi" w:hAnsi="David"/>
          <w:sz w:val="24"/>
          <w:lang w:eastAsia="en-US"/>
        </w:rPr>
      </w:pPr>
      <w:r w:rsidRPr="00ED5F66">
        <w:rPr>
          <w:rFonts w:ascii="David" w:eastAsiaTheme="minorHAnsi" w:hAnsi="David" w:hint="eastAsia"/>
          <w:sz w:val="24"/>
          <w:rtl/>
          <w:lang w:eastAsia="en-US"/>
        </w:rPr>
        <w:t>סעיף</w:t>
      </w:r>
      <w:r w:rsidRPr="00ED5F66">
        <w:rPr>
          <w:rFonts w:ascii="David" w:eastAsiaTheme="minorHAnsi" w:hAnsi="David"/>
          <w:sz w:val="24"/>
          <w:rtl/>
          <w:lang w:eastAsia="en-US"/>
        </w:rPr>
        <w:t xml:space="preserve"> 50</w:t>
      </w:r>
      <w:r w:rsidRPr="00ED5F66">
        <w:rPr>
          <w:rFonts w:ascii="David" w:eastAsiaTheme="minorHAnsi" w:hAnsi="David" w:hint="eastAsia"/>
          <w:sz w:val="24"/>
          <w:rtl/>
          <w:lang w:eastAsia="en-US"/>
        </w:rPr>
        <w:t>א</w:t>
      </w:r>
      <w:r w:rsidRPr="00ED5F66">
        <w:rPr>
          <w:rFonts w:ascii="David" w:eastAsiaTheme="minorHAnsi" w:hAnsi="David"/>
          <w:sz w:val="24"/>
          <w:rtl/>
          <w:lang w:eastAsia="en-US"/>
        </w:rPr>
        <w:t xml:space="preserve"> לחוק הפיקוח על הביטוח </w:t>
      </w:r>
      <w:r w:rsidRPr="00ED5F66">
        <w:rPr>
          <w:rFonts w:ascii="David" w:eastAsiaTheme="minorHAnsi" w:hAnsi="David" w:hint="eastAsia"/>
          <w:sz w:val="24"/>
          <w:rtl/>
          <w:lang w:eastAsia="en-US"/>
        </w:rPr>
        <w:t>קובע</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הוראת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סודיות</w:t>
      </w:r>
      <w:r w:rsidRPr="00ED5F66">
        <w:rPr>
          <w:rFonts w:ascii="David" w:eastAsiaTheme="minorHAnsi" w:hAnsi="David"/>
          <w:sz w:val="24"/>
          <w:rtl/>
          <w:lang w:eastAsia="en-US"/>
        </w:rPr>
        <w:t xml:space="preserve"> מוחלטת לפיה</w:t>
      </w:r>
      <w:r w:rsidRPr="00ED5F66">
        <w:rPr>
          <w:rFonts w:ascii="David" w:eastAsiaTheme="minorHAnsi" w:hAnsi="David" w:hint="cs"/>
          <w:sz w:val="24"/>
          <w:rtl/>
          <w:lang w:eastAsia="en-US"/>
        </w:rPr>
        <w:t>:</w:t>
      </w:r>
    </w:p>
    <w:p w:rsidR="00ED5F66" w:rsidRPr="00ED5F66" w:rsidRDefault="00ED5F66" w:rsidP="00ED5F66">
      <w:pPr>
        <w:overflowPunct/>
        <w:autoSpaceDE/>
        <w:autoSpaceDN/>
        <w:adjustRightInd/>
        <w:spacing w:before="120" w:after="120" w:line="360" w:lineRule="auto"/>
        <w:ind w:left="1080"/>
        <w:contextualSpacing/>
        <w:jc w:val="both"/>
        <w:textAlignment w:val="auto"/>
        <w:rPr>
          <w:rFonts w:ascii="David" w:eastAsiaTheme="minorHAnsi" w:hAnsi="David"/>
          <w:sz w:val="24"/>
          <w:rtl/>
          <w:lang w:eastAsia="en-US"/>
        </w:rPr>
      </w:pPr>
      <w:r w:rsidRPr="00ED5F66">
        <w:rPr>
          <w:rFonts w:ascii="David" w:eastAsiaTheme="minorHAnsi" w:hAnsi="David"/>
          <w:sz w:val="24"/>
          <w:rtl/>
          <w:lang w:eastAsia="en-US"/>
        </w:rPr>
        <w:t>"</w:t>
      </w:r>
      <w:r w:rsidRPr="00ED5F66">
        <w:rPr>
          <w:rFonts w:ascii="David" w:eastAsiaTheme="minorHAnsi" w:hAnsi="David" w:hint="eastAsia"/>
          <w:b/>
          <w:bCs/>
          <w:sz w:val="24"/>
          <w:rtl/>
          <w:lang w:eastAsia="en-US"/>
        </w:rPr>
        <w:t>הממונה</w:t>
      </w:r>
      <w:r w:rsidRPr="00ED5F66">
        <w:rPr>
          <w:rFonts w:ascii="David" w:eastAsiaTheme="minorHAnsi" w:hAnsi="David"/>
          <w:b/>
          <w:bCs/>
          <w:sz w:val="24"/>
          <w:rtl/>
          <w:lang w:eastAsia="en-US"/>
        </w:rPr>
        <w:t xml:space="preserve">,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r w:rsidRPr="00ED5F66">
        <w:rPr>
          <w:rFonts w:ascii="David" w:eastAsiaTheme="minorHAnsi" w:hAnsi="David" w:hint="eastAsia"/>
          <w:b/>
          <w:bCs/>
          <w:sz w:val="24"/>
          <w:rtl/>
          <w:lang w:eastAsia="en-US"/>
        </w:rPr>
        <w:t>בו</w:t>
      </w:r>
      <w:r w:rsidRPr="00ED5F66">
        <w:rPr>
          <w:rFonts w:ascii="David" w:eastAsiaTheme="minorHAnsi" w:hAnsi="David" w:hint="cs"/>
          <w:b/>
          <w:bCs/>
          <w:sz w:val="24"/>
          <w:rtl/>
          <w:lang w:eastAsia="en-US"/>
        </w:rPr>
        <w:t>ו</w:t>
      </w:r>
      <w:r w:rsidRPr="00ED5F66">
        <w:rPr>
          <w:rFonts w:ascii="David" w:eastAsiaTheme="minorHAnsi" w:hAnsi="David" w:hint="eastAsia"/>
          <w:b/>
          <w:bCs/>
          <w:sz w:val="24"/>
          <w:rtl/>
          <w:lang w:eastAsia="en-US"/>
        </w:rPr>
        <w:t>עדה</w:t>
      </w:r>
      <w:r w:rsidRPr="00ED5F66">
        <w:rPr>
          <w:rFonts w:ascii="David" w:eastAsiaTheme="minorHAnsi" w:hAnsi="David"/>
          <w:sz w:val="24"/>
          <w:lang w:eastAsia="en-US"/>
        </w:rPr>
        <w:t>.</w:t>
      </w:r>
      <w:r w:rsidRPr="00ED5F66">
        <w:rPr>
          <w:rFonts w:ascii="David" w:eastAsiaTheme="minorHAnsi" w:hAnsi="David"/>
          <w:sz w:val="24"/>
          <w:rtl/>
          <w:lang w:eastAsia="en-US"/>
        </w:rPr>
        <w:t>"</w:t>
      </w:r>
    </w:p>
    <w:p w:rsidR="00ED5F66" w:rsidRPr="00ED5F66" w:rsidRDefault="00ED5F66" w:rsidP="00ED5F66">
      <w:pPr>
        <w:overflowPunct/>
        <w:autoSpaceDE/>
        <w:autoSpaceDN/>
        <w:adjustRightInd/>
        <w:spacing w:before="120" w:after="120" w:line="360" w:lineRule="auto"/>
        <w:ind w:left="1080"/>
        <w:contextualSpacing/>
        <w:jc w:val="both"/>
        <w:textAlignment w:val="auto"/>
        <w:rPr>
          <w:rFonts w:ascii="David" w:eastAsiaTheme="minorHAnsi" w:hAnsi="David"/>
          <w:sz w:val="24"/>
          <w:lang w:eastAsia="en-US"/>
        </w:rPr>
      </w:pPr>
      <w:r w:rsidRPr="00ED5F66">
        <w:rPr>
          <w:rFonts w:ascii="David" w:eastAsiaTheme="minorHAnsi" w:hAnsi="David" w:hint="eastAsia"/>
          <w:sz w:val="24"/>
          <w:rtl/>
          <w:lang w:eastAsia="en-US"/>
        </w:rPr>
        <w:t>מטרתו</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של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סעיף</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זה</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היא</w:t>
      </w:r>
      <w:r w:rsidRPr="00ED5F66">
        <w:rPr>
          <w:rFonts w:ascii="David" w:eastAsiaTheme="minorHAnsi" w:hAnsi="David"/>
          <w:sz w:val="24"/>
          <w:rtl/>
          <w:lang w:eastAsia="en-US"/>
        </w:rPr>
        <w:t xml:space="preserve">, בין היתר, </w:t>
      </w:r>
      <w:r w:rsidRPr="00ED5F66">
        <w:rPr>
          <w:rFonts w:ascii="David" w:eastAsiaTheme="minorHAnsi" w:hAnsi="David" w:hint="eastAsia"/>
          <w:sz w:val="24"/>
          <w:rtl/>
          <w:lang w:eastAsia="en-US"/>
        </w:rPr>
        <w:t>להבטיח</w:t>
      </w:r>
      <w:r w:rsidRPr="00ED5F66">
        <w:rPr>
          <w:rFonts w:ascii="David" w:eastAsiaTheme="minorHAnsi" w:hAnsi="David"/>
          <w:sz w:val="24"/>
          <w:rtl/>
          <w:lang w:eastAsia="en-US"/>
        </w:rPr>
        <w:t xml:space="preserve"> כי הממונה </w:t>
      </w:r>
      <w:r w:rsidRPr="00ED5F66">
        <w:rPr>
          <w:rFonts w:ascii="David" w:eastAsiaTheme="minorHAnsi" w:hAnsi="David" w:hint="eastAsia"/>
          <w:sz w:val="24"/>
          <w:rtl/>
          <w:lang w:eastAsia="en-US"/>
        </w:rPr>
        <w:t>על</w:t>
      </w:r>
      <w:r w:rsidRPr="00ED5F66">
        <w:rPr>
          <w:rFonts w:ascii="David" w:eastAsiaTheme="minorHAnsi" w:hAnsi="David"/>
          <w:sz w:val="24"/>
          <w:rtl/>
          <w:lang w:eastAsia="en-US"/>
        </w:rPr>
        <w:t xml:space="preserve"> שוק ההון, </w:t>
      </w:r>
      <w:r w:rsidRPr="00ED5F66">
        <w:rPr>
          <w:rFonts w:ascii="David" w:eastAsiaTheme="minorHAnsi" w:hAnsi="David" w:hint="eastAsia"/>
          <w:sz w:val="24"/>
          <w:rtl/>
          <w:lang w:eastAsia="en-US"/>
        </w:rPr>
        <w:t>יוכל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לקבל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כל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מידע</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הנדרש</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לו</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לשם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מילוי</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תפקידו</w:t>
      </w:r>
      <w:r w:rsidRPr="00ED5F66">
        <w:rPr>
          <w:rFonts w:ascii="David" w:eastAsiaTheme="minorHAnsi" w:hAnsi="David"/>
          <w:sz w:val="24"/>
          <w:rtl/>
          <w:lang w:eastAsia="en-US"/>
        </w:rPr>
        <w:t xml:space="preserve">, </w:t>
      </w:r>
      <w:r w:rsidRPr="00ED5F66">
        <w:rPr>
          <w:rFonts w:ascii="David" w:eastAsiaTheme="minorHAnsi" w:hAnsi="David" w:hint="cs"/>
          <w:sz w:val="24"/>
          <w:rtl/>
          <w:lang w:eastAsia="en-US"/>
        </w:rPr>
        <w:t xml:space="preserve">מבלי שמוסר המידע יחשוש </w:t>
      </w:r>
      <w:r w:rsidRPr="00ED5F66">
        <w:rPr>
          <w:rFonts w:ascii="David" w:eastAsiaTheme="minorHAnsi" w:hAnsi="David" w:hint="eastAsia"/>
          <w:sz w:val="24"/>
          <w:rtl/>
          <w:lang w:eastAsia="en-US"/>
        </w:rPr>
        <w:t>שהמידע</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יועבר</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לצד</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שלישי</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לאור</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זאת</w:t>
      </w:r>
      <w:r w:rsidRPr="00ED5F66">
        <w:rPr>
          <w:rFonts w:ascii="David" w:eastAsiaTheme="minorHAnsi" w:hAnsi="David" w:hint="cs"/>
          <w:sz w:val="24"/>
          <w:rtl/>
          <w:lang w:eastAsia="en-US"/>
        </w:rPr>
        <w:t>,</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ובשים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לב</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לסעיף</w:t>
      </w:r>
      <w:r w:rsidRPr="00ED5F66">
        <w:rPr>
          <w:rFonts w:ascii="David" w:eastAsiaTheme="minorHAnsi" w:hAnsi="David"/>
          <w:sz w:val="24"/>
          <w:rtl/>
          <w:lang w:eastAsia="en-US"/>
        </w:rPr>
        <w:t xml:space="preserve"> 9(א)(4) לחוק חופש המידע </w:t>
      </w:r>
      <w:r w:rsidRPr="00ED5F66">
        <w:rPr>
          <w:rFonts w:ascii="David" w:eastAsiaTheme="minorHAnsi" w:hAnsi="David" w:hint="eastAsia"/>
          <w:sz w:val="24"/>
          <w:rtl/>
          <w:lang w:eastAsia="en-US"/>
        </w:rPr>
        <w:t>הקובע</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כי</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רשות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ציבורית</w:t>
      </w:r>
      <w:r w:rsidRPr="00ED5F66">
        <w:rPr>
          <w:rFonts w:ascii="David" w:eastAsiaTheme="minorHAnsi" w:hAnsi="David"/>
          <w:sz w:val="24"/>
          <w:rtl/>
          <w:lang w:eastAsia="en-US"/>
        </w:rPr>
        <w:t xml:space="preserve"> לא תמסור מידע שאין לגלותו על פי כל דין, </w:t>
      </w:r>
      <w:r w:rsidRPr="00ED5F66">
        <w:rPr>
          <w:rFonts w:ascii="David" w:eastAsiaTheme="minorHAnsi" w:hAnsi="David" w:hint="eastAsia"/>
          <w:sz w:val="24"/>
          <w:rtl/>
          <w:lang w:eastAsia="en-US"/>
        </w:rPr>
        <w:t>אנחנו</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דוחים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את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בקשתך</w:t>
      </w:r>
      <w:r w:rsidRPr="00ED5F66">
        <w:rPr>
          <w:rFonts w:ascii="David" w:eastAsiaTheme="minorHAnsi" w:hAnsi="David"/>
          <w:sz w:val="24"/>
          <w:rtl/>
          <w:lang w:eastAsia="en-US"/>
        </w:rPr>
        <w:t xml:space="preserve">. </w:t>
      </w:r>
    </w:p>
    <w:p w:rsidR="00ED5F66" w:rsidRPr="00ED5F66" w:rsidRDefault="00ED5F66" w:rsidP="00ED5F66">
      <w:pPr>
        <w:numPr>
          <w:ilvl w:val="1"/>
          <w:numId w:val="8"/>
        </w:numPr>
        <w:overflowPunct/>
        <w:autoSpaceDE/>
        <w:autoSpaceDN/>
        <w:adjustRightInd/>
        <w:spacing w:before="120" w:after="120" w:line="360" w:lineRule="auto"/>
        <w:contextualSpacing/>
        <w:jc w:val="both"/>
        <w:textAlignment w:val="auto"/>
        <w:rPr>
          <w:rFonts w:ascii="David" w:eastAsiaTheme="minorHAnsi" w:hAnsi="David"/>
          <w:sz w:val="24"/>
          <w:lang w:eastAsia="en-US"/>
        </w:rPr>
      </w:pPr>
      <w:r w:rsidRPr="00ED5F66">
        <w:rPr>
          <w:rFonts w:ascii="David" w:eastAsiaTheme="minorHAnsi" w:hAnsi="David" w:hint="eastAsia"/>
          <w:sz w:val="24"/>
          <w:rtl/>
          <w:lang w:eastAsia="en-US"/>
        </w:rPr>
        <w:t>בהתאם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לסעיף</w:t>
      </w:r>
      <w:r w:rsidRPr="00ED5F66">
        <w:rPr>
          <w:rFonts w:ascii="David" w:eastAsiaTheme="minorHAnsi" w:hAnsi="David"/>
          <w:sz w:val="24"/>
          <w:rtl/>
          <w:lang w:eastAsia="en-US"/>
        </w:rPr>
        <w:t xml:space="preserve"> 9(</w:t>
      </w:r>
      <w:r w:rsidRPr="00ED5F66">
        <w:rPr>
          <w:rFonts w:ascii="David" w:eastAsiaTheme="minorHAnsi" w:hAnsi="David" w:hint="eastAsia"/>
          <w:sz w:val="24"/>
          <w:rtl/>
          <w:lang w:eastAsia="en-US"/>
        </w:rPr>
        <w:t>ב</w:t>
      </w:r>
      <w:r w:rsidRPr="00ED5F66">
        <w:rPr>
          <w:rFonts w:ascii="David" w:eastAsiaTheme="minorHAnsi" w:hAnsi="David"/>
          <w:sz w:val="24"/>
          <w:rtl/>
          <w:lang w:eastAsia="en-US"/>
        </w:rPr>
        <w:t xml:space="preserve">)(1) לחוק חופש המידע, </w:t>
      </w:r>
      <w:r w:rsidRPr="00ED5F66">
        <w:rPr>
          <w:rFonts w:ascii="David" w:eastAsiaTheme="minorHAnsi" w:hAnsi="David" w:hint="eastAsia"/>
          <w:sz w:val="24"/>
          <w:rtl/>
          <w:lang w:eastAsia="en-US"/>
        </w:rPr>
        <w:t>רשות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ציבורית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אינה</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חייבת</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למסור</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מידע</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שגילויו</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עלול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לשבש</w:t>
      </w:r>
      <w:r w:rsidRPr="00ED5F66">
        <w:rPr>
          <w:rFonts w:ascii="David" w:eastAsiaTheme="minorHAnsi" w:hAnsi="David"/>
          <w:sz w:val="24"/>
          <w:rtl/>
          <w:lang w:eastAsia="en-US"/>
        </w:rPr>
        <w:t xml:space="preserve"> את תפקודה התקין, או את יכולתה לבצע את תפקידיה. במקרה דנן, וכמפורט לעיל, </w:t>
      </w:r>
      <w:r w:rsidRPr="00ED5F66">
        <w:rPr>
          <w:rFonts w:ascii="David" w:eastAsiaTheme="minorHAnsi" w:hAnsi="David" w:hint="eastAsia"/>
          <w:sz w:val="24"/>
          <w:rtl/>
          <w:lang w:eastAsia="en-US"/>
        </w:rPr>
        <w:t>עולה</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החשש</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שמסירת</w:t>
      </w:r>
      <w:r w:rsidRPr="00ED5F66">
        <w:rPr>
          <w:rFonts w:ascii="David" w:eastAsiaTheme="minorHAnsi" w:hAnsi="David"/>
          <w:sz w:val="24"/>
          <w:rtl/>
          <w:lang w:eastAsia="en-US"/>
        </w:rPr>
        <w:t xml:space="preserve"> </w:t>
      </w:r>
      <w:r w:rsidRPr="00ED5F66">
        <w:rPr>
          <w:rFonts w:ascii="David" w:eastAsiaTheme="minorHAnsi" w:hAnsi="David" w:hint="cs"/>
          <w:sz w:val="24"/>
          <w:rtl/>
          <w:lang w:eastAsia="en-US"/>
        </w:rPr>
        <w:t xml:space="preserve">ממצאי ביקורת הנערכת ע"י הרשות אצל הגופים המפוקחים על ידה, </w:t>
      </w:r>
      <w:r w:rsidRPr="00ED5F66">
        <w:rPr>
          <w:rFonts w:ascii="David" w:eastAsiaTheme="minorHAnsi" w:hAnsi="David" w:hint="eastAsia"/>
          <w:sz w:val="24"/>
          <w:rtl/>
          <w:lang w:eastAsia="en-US"/>
        </w:rPr>
        <w:t>תגרום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לציבור</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ובכלל</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זה</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לגופים</w:t>
      </w:r>
      <w:r w:rsidRPr="00ED5F66">
        <w:rPr>
          <w:rFonts w:ascii="David" w:eastAsiaTheme="minorHAnsi" w:hAnsi="David"/>
          <w:sz w:val="24"/>
          <w:rtl/>
          <w:lang w:eastAsia="en-US"/>
        </w:rPr>
        <w:t xml:space="preserve"> </w:t>
      </w:r>
      <w:r w:rsidRPr="00ED5F66">
        <w:rPr>
          <w:rFonts w:ascii="David" w:eastAsiaTheme="minorHAnsi" w:hAnsi="David" w:hint="eastAsia"/>
          <w:sz w:val="24"/>
          <w:rtl/>
          <w:lang w:eastAsia="en-US"/>
        </w:rPr>
        <w:t>המפוקחים</w:t>
      </w:r>
      <w:r w:rsidRPr="00ED5F66">
        <w:rPr>
          <w:rFonts w:ascii="David" w:eastAsiaTheme="minorHAnsi" w:hAnsi="David"/>
          <w:sz w:val="24"/>
          <w:rtl/>
          <w:lang w:eastAsia="en-US"/>
        </w:rPr>
        <w:t>,</w:t>
      </w:r>
      <w:r w:rsidRPr="00ED5F66">
        <w:rPr>
          <w:rFonts w:ascii="David" w:eastAsiaTheme="minorHAnsi" w:hAnsi="David" w:hint="cs"/>
          <w:sz w:val="24"/>
          <w:rtl/>
          <w:lang w:eastAsia="en-US"/>
        </w:rPr>
        <w:t xml:space="preserve"> שלא לשתף פעולה באופן מלא עם הרשות בכל הנוגע לביקורות הנעשות על ידי הרשות כדי להבטיח את זכויות המבוטחים. </w:t>
      </w:r>
      <w:r w:rsidRPr="00ED5F66">
        <w:rPr>
          <w:rFonts w:ascii="David" w:eastAsiaTheme="minorHAnsi" w:hAnsi="David"/>
          <w:sz w:val="24"/>
          <w:rtl/>
          <w:lang w:eastAsia="en-US"/>
        </w:rPr>
        <w:t xml:space="preserve"> </w:t>
      </w: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lastRenderedPageBreak/>
        <w:t xml:space="preserve">בסעיף 3 לבקשתך, ביקשת לדעת מה סכום הכספים הנמצאים בחשבונות מעבר, ובסעיף 4 ביקשת לדעת האם ישנם כספים הנמצאים בחשבונות מעבר במשך תקופה העולה על שנה אחת. בסעיף 5 לבקשתך, ביקשת לדעת האם ישנם כספים שנמצאים בחשבונות מעבר בין שנה אחת לשלוש שנים, וכן בין שלוש שנים לחמש שנים, וכן היקף הכספים שנמצאים בחשבונות אלו מעל לחמש שנים. </w:t>
      </w: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t xml:space="preserve">במענה לבקשותיך בסעיפים 3 </w:t>
      </w:r>
      <w:r w:rsidRPr="00ED5F66">
        <w:rPr>
          <w:rFonts w:eastAsiaTheme="minorHAnsi"/>
          <w:sz w:val="24"/>
          <w:rtl/>
          <w:lang w:eastAsia="en-US"/>
        </w:rPr>
        <w:t>–</w:t>
      </w:r>
      <w:r w:rsidRPr="00ED5F66">
        <w:rPr>
          <w:rFonts w:eastAsiaTheme="minorHAnsi" w:hint="cs"/>
          <w:sz w:val="24"/>
          <w:rtl/>
          <w:lang w:eastAsia="en-US"/>
        </w:rPr>
        <w:t xml:space="preserve"> 5, להלן פירוט הכספים שנמצאו בחשבונות מעבר בשנת 2018, בחלוקה לפי השנה שבה הופקדו הכספים. עם זאת, נציין כי הסכומים המופיעים בטבלה שלהלן כוללים את סך יתרות הכספים בחשבונות מעבר, לרבות יתרות כספים שהופקדו באותם חשבונות גם בגין ביטוחי בריאות, ביטוח כללי וביטוחי חיים פרטיים, שלא ניתן להפרידם מכספים שהופקדו בגין ביטוח מנהלים.  </w:t>
      </w:r>
    </w:p>
    <w:tbl>
      <w:tblPr>
        <w:bidiVisual/>
        <w:tblW w:w="4374" w:type="dxa"/>
        <w:tblInd w:w="2627" w:type="dxa"/>
        <w:tblCellMar>
          <w:left w:w="0" w:type="dxa"/>
          <w:right w:w="0" w:type="dxa"/>
        </w:tblCellMar>
        <w:tblLook w:val="04A0" w:firstRow="1" w:lastRow="0" w:firstColumn="1" w:lastColumn="0" w:noHBand="0" w:noVBand="1"/>
      </w:tblPr>
      <w:tblGrid>
        <w:gridCol w:w="1920"/>
        <w:gridCol w:w="2454"/>
      </w:tblGrid>
      <w:tr w:rsidR="00ED5F66" w:rsidRPr="00ED5F66" w:rsidTr="00274BCD">
        <w:trPr>
          <w:trHeight w:val="300"/>
        </w:trPr>
        <w:tc>
          <w:tcPr>
            <w:tcW w:w="19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rPr>
                <w:rFonts w:ascii="David" w:eastAsiaTheme="minorHAnsi" w:hAnsi="David"/>
                <w:sz w:val="24"/>
                <w:rtl/>
                <w:lang w:eastAsia="en-US"/>
              </w:rPr>
            </w:pPr>
            <w:r w:rsidRPr="00ED5F66">
              <w:rPr>
                <w:rFonts w:ascii="David" w:eastAsiaTheme="minorHAnsi" w:hAnsi="David"/>
                <w:sz w:val="24"/>
                <w:rtl/>
                <w:lang w:eastAsia="en-US"/>
              </w:rPr>
              <w:t>שנה</w:t>
            </w:r>
          </w:p>
        </w:tc>
        <w:tc>
          <w:tcPr>
            <w:tcW w:w="245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rPr>
                <w:rFonts w:ascii="David" w:eastAsiaTheme="minorHAnsi" w:hAnsi="David"/>
                <w:sz w:val="24"/>
                <w:rtl/>
                <w:lang w:eastAsia="en-US"/>
              </w:rPr>
            </w:pPr>
            <w:r w:rsidRPr="00ED5F66">
              <w:rPr>
                <w:rFonts w:ascii="David" w:eastAsiaTheme="minorHAnsi" w:hAnsi="David"/>
                <w:sz w:val="24"/>
                <w:rtl/>
                <w:lang w:eastAsia="en-US"/>
              </w:rPr>
              <w:t>סכום (בשקלים)</w:t>
            </w:r>
          </w:p>
        </w:tc>
      </w:tr>
      <w:tr w:rsidR="00ED5F66" w:rsidRPr="00ED5F66" w:rsidTr="00274BCD">
        <w:trPr>
          <w:trHeight w:val="285"/>
        </w:trPr>
        <w:tc>
          <w:tcPr>
            <w:tcW w:w="1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bidi w:val="0"/>
              <w:jc w:val="right"/>
              <w:rPr>
                <w:rFonts w:ascii="David" w:eastAsiaTheme="minorHAnsi" w:hAnsi="David"/>
                <w:sz w:val="24"/>
                <w:lang w:eastAsia="en-US"/>
              </w:rPr>
            </w:pPr>
            <w:r w:rsidRPr="00ED5F66">
              <w:rPr>
                <w:rFonts w:ascii="David" w:eastAsiaTheme="minorHAnsi" w:hAnsi="David"/>
                <w:sz w:val="24"/>
                <w:lang w:eastAsia="en-US"/>
              </w:rPr>
              <w:t>2017</w:t>
            </w:r>
          </w:p>
        </w:tc>
        <w:tc>
          <w:tcPr>
            <w:tcW w:w="245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755825">
            <w:pPr>
              <w:bidi w:val="0"/>
              <w:jc w:val="center"/>
              <w:rPr>
                <w:rFonts w:ascii="David" w:eastAsiaTheme="minorHAnsi" w:hAnsi="David"/>
                <w:sz w:val="24"/>
                <w:rtl/>
                <w:lang w:eastAsia="en-US"/>
              </w:rPr>
            </w:pPr>
            <w:r w:rsidRPr="00ED5F66">
              <w:rPr>
                <w:rFonts w:ascii="David" w:eastAsiaTheme="minorHAnsi" w:hAnsi="David"/>
                <w:sz w:val="24"/>
                <w:lang w:eastAsia="en-US"/>
              </w:rPr>
              <w:t>447,975,050</w:t>
            </w:r>
          </w:p>
        </w:tc>
      </w:tr>
      <w:tr w:rsidR="00ED5F66" w:rsidRPr="00ED5F66" w:rsidTr="00274BCD">
        <w:trPr>
          <w:trHeight w:val="285"/>
        </w:trPr>
        <w:tc>
          <w:tcPr>
            <w:tcW w:w="1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bidi w:val="0"/>
              <w:jc w:val="right"/>
              <w:rPr>
                <w:rFonts w:ascii="David" w:eastAsiaTheme="minorHAnsi" w:hAnsi="David"/>
                <w:sz w:val="24"/>
                <w:rtl/>
                <w:lang w:eastAsia="en-US"/>
              </w:rPr>
            </w:pPr>
            <w:r w:rsidRPr="00ED5F66">
              <w:rPr>
                <w:rFonts w:ascii="David" w:eastAsiaTheme="minorHAnsi" w:hAnsi="David"/>
                <w:sz w:val="24"/>
                <w:lang w:eastAsia="en-US"/>
              </w:rPr>
              <w:t>2016</w:t>
            </w:r>
          </w:p>
        </w:tc>
        <w:tc>
          <w:tcPr>
            <w:tcW w:w="245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755825">
            <w:pPr>
              <w:bidi w:val="0"/>
              <w:jc w:val="center"/>
              <w:rPr>
                <w:rFonts w:ascii="David" w:eastAsiaTheme="minorHAnsi" w:hAnsi="David"/>
                <w:sz w:val="24"/>
                <w:lang w:eastAsia="en-US"/>
              </w:rPr>
            </w:pPr>
            <w:r w:rsidRPr="00ED5F66">
              <w:rPr>
                <w:rFonts w:ascii="David" w:eastAsiaTheme="minorHAnsi" w:hAnsi="David"/>
                <w:sz w:val="24"/>
                <w:lang w:eastAsia="en-US"/>
              </w:rPr>
              <w:t>180,163,414</w:t>
            </w:r>
          </w:p>
        </w:tc>
      </w:tr>
      <w:tr w:rsidR="00ED5F66" w:rsidRPr="00ED5F66" w:rsidTr="00274BCD">
        <w:trPr>
          <w:trHeight w:val="285"/>
        </w:trPr>
        <w:tc>
          <w:tcPr>
            <w:tcW w:w="1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bidi w:val="0"/>
              <w:jc w:val="right"/>
              <w:rPr>
                <w:rFonts w:ascii="David" w:eastAsiaTheme="minorHAnsi" w:hAnsi="David"/>
                <w:sz w:val="24"/>
                <w:lang w:eastAsia="en-US"/>
              </w:rPr>
            </w:pPr>
            <w:r w:rsidRPr="00ED5F66">
              <w:rPr>
                <w:rFonts w:ascii="David" w:eastAsiaTheme="minorHAnsi" w:hAnsi="David"/>
                <w:sz w:val="24"/>
                <w:lang w:eastAsia="en-US"/>
              </w:rPr>
              <w:t>2010-2015</w:t>
            </w:r>
          </w:p>
        </w:tc>
        <w:tc>
          <w:tcPr>
            <w:tcW w:w="245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755825">
            <w:pPr>
              <w:bidi w:val="0"/>
              <w:jc w:val="center"/>
              <w:rPr>
                <w:rFonts w:ascii="David" w:eastAsiaTheme="minorHAnsi" w:hAnsi="David"/>
                <w:sz w:val="24"/>
                <w:lang w:eastAsia="en-US"/>
              </w:rPr>
            </w:pPr>
            <w:r w:rsidRPr="00ED5F66">
              <w:rPr>
                <w:rFonts w:ascii="David" w:eastAsiaTheme="minorHAnsi" w:hAnsi="David"/>
                <w:sz w:val="24"/>
                <w:lang w:eastAsia="en-US"/>
              </w:rPr>
              <w:t>151,723,770</w:t>
            </w:r>
          </w:p>
        </w:tc>
      </w:tr>
      <w:tr w:rsidR="00ED5F66" w:rsidRPr="00ED5F66" w:rsidTr="00274BCD">
        <w:trPr>
          <w:trHeight w:val="285"/>
        </w:trPr>
        <w:tc>
          <w:tcPr>
            <w:tcW w:w="1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rPr>
                <w:rFonts w:ascii="David" w:eastAsiaTheme="minorHAnsi" w:hAnsi="David"/>
                <w:sz w:val="24"/>
                <w:lang w:eastAsia="en-US"/>
              </w:rPr>
            </w:pPr>
            <w:r w:rsidRPr="00ED5F66">
              <w:rPr>
                <w:rFonts w:ascii="David" w:eastAsiaTheme="minorHAnsi" w:hAnsi="David"/>
                <w:sz w:val="24"/>
                <w:rtl/>
                <w:lang w:eastAsia="en-US"/>
              </w:rPr>
              <w:t>2009 או לפני כן</w:t>
            </w:r>
          </w:p>
        </w:tc>
        <w:tc>
          <w:tcPr>
            <w:tcW w:w="245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755825">
            <w:pPr>
              <w:bidi w:val="0"/>
              <w:jc w:val="center"/>
              <w:rPr>
                <w:rFonts w:ascii="David" w:eastAsiaTheme="minorHAnsi" w:hAnsi="David"/>
                <w:sz w:val="24"/>
                <w:lang w:eastAsia="en-US"/>
              </w:rPr>
            </w:pPr>
            <w:r w:rsidRPr="00ED5F66">
              <w:rPr>
                <w:rFonts w:ascii="David" w:eastAsiaTheme="minorHAnsi" w:hAnsi="David"/>
                <w:sz w:val="24"/>
                <w:lang w:eastAsia="en-US"/>
              </w:rPr>
              <w:t>69,560,612</w:t>
            </w:r>
          </w:p>
        </w:tc>
      </w:tr>
      <w:tr w:rsidR="00ED5F66" w:rsidRPr="00ED5F66" w:rsidTr="00274BCD">
        <w:trPr>
          <w:trHeight w:val="300"/>
        </w:trPr>
        <w:tc>
          <w:tcPr>
            <w:tcW w:w="19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ED5F66">
            <w:pPr>
              <w:rPr>
                <w:rFonts w:ascii="David" w:eastAsiaTheme="minorHAnsi" w:hAnsi="David"/>
                <w:sz w:val="24"/>
                <w:lang w:eastAsia="en-US"/>
              </w:rPr>
            </w:pPr>
            <w:r w:rsidRPr="00ED5F66">
              <w:rPr>
                <w:rFonts w:ascii="David" w:eastAsiaTheme="minorHAnsi" w:hAnsi="David"/>
                <w:sz w:val="24"/>
                <w:rtl/>
                <w:lang w:eastAsia="en-US"/>
              </w:rPr>
              <w:t>סה"כ</w:t>
            </w:r>
          </w:p>
        </w:tc>
        <w:tc>
          <w:tcPr>
            <w:tcW w:w="245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D5F66" w:rsidRPr="00ED5F66" w:rsidRDefault="00ED5F66" w:rsidP="00755825">
            <w:pPr>
              <w:bidi w:val="0"/>
              <w:jc w:val="center"/>
              <w:rPr>
                <w:rFonts w:ascii="David" w:eastAsiaTheme="minorHAnsi" w:hAnsi="David"/>
                <w:sz w:val="24"/>
                <w:rtl/>
                <w:lang w:eastAsia="en-US"/>
              </w:rPr>
            </w:pPr>
            <w:r w:rsidRPr="00ED5F66">
              <w:rPr>
                <w:rFonts w:ascii="David" w:eastAsiaTheme="minorHAnsi" w:hAnsi="David"/>
                <w:sz w:val="24"/>
                <w:lang w:eastAsia="en-US"/>
              </w:rPr>
              <w:t>849,422,845</w:t>
            </w:r>
          </w:p>
        </w:tc>
      </w:tr>
    </w:tbl>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t xml:space="preserve">בסעיפים 6 ו-8 לבקשתך, ביקשת לדעת האם יש הוראות כיצד יש לנהוג בכספים הנמצאים בחשבונות מעבר במשך למעלה מחמש שנים, או למעלה מעשר שנים. במענה לשאלתך זו, נבהיר כי הממונה על שוק ההון לא פרסמה הוראות כאלו. לפיכך, בקשתך נדחית לפי סעיף 8(3) לחוק חופש המידע. </w:t>
      </w:r>
    </w:p>
    <w:p w:rsidR="00ED5F66" w:rsidRPr="00ED5F66" w:rsidRDefault="00ED5F66" w:rsidP="00ED5F66">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eastAsiaTheme="minorHAnsi" w:hint="cs"/>
          <w:sz w:val="24"/>
          <w:rtl/>
          <w:lang w:eastAsia="en-US"/>
        </w:rPr>
        <w:t xml:space="preserve">בסעיף 7 לבקשתך, ביקשת לדעת האם ישנם מקרים שבהם כספים עוברים מחשבונות מעבר לחשבונות אחרים (שאינם חשבונות העמיתים עצמם), וכן את היקף הסכומים. במענה לבקשתך זו, נבהיר כי אין בידיה רשות מידע כאמור, ולפיכך, בקשתך לקבל את המידע האמור נדחית בהתאם לסעיף 8(3) חוק חופש המידע. </w:t>
      </w:r>
    </w:p>
    <w:p w:rsidR="00ED5F66" w:rsidRDefault="00ED5F66" w:rsidP="00755825">
      <w:pPr>
        <w:numPr>
          <w:ilvl w:val="0"/>
          <w:numId w:val="8"/>
        </w:numPr>
        <w:overflowPunct/>
        <w:autoSpaceDE/>
        <w:autoSpaceDN/>
        <w:adjustRightInd/>
        <w:spacing w:before="120" w:after="120" w:line="360" w:lineRule="auto"/>
        <w:contextualSpacing/>
        <w:jc w:val="both"/>
        <w:textAlignment w:val="auto"/>
        <w:rPr>
          <w:rFonts w:eastAsiaTheme="minorHAnsi"/>
          <w:sz w:val="24"/>
          <w:lang w:eastAsia="en-US"/>
        </w:rPr>
      </w:pPr>
      <w:r w:rsidRPr="00ED5F66">
        <w:rPr>
          <w:rFonts w:ascii="David" w:eastAsiaTheme="minorHAnsi" w:hAnsi="David"/>
          <w:sz w:val="24"/>
          <w:rtl/>
          <w:lang w:eastAsia="en-US"/>
        </w:rPr>
        <w:t>בהתאם לסעיף</w:t>
      </w:r>
      <w:r w:rsidRPr="00ED5F66">
        <w:rPr>
          <w:rFonts w:ascii="David" w:eastAsiaTheme="minorHAnsi" w:hAnsi="David" w:hint="cs"/>
          <w:sz w:val="24"/>
          <w:rtl/>
          <w:lang w:eastAsia="en-US"/>
        </w:rPr>
        <w:t xml:space="preserve"> 7(ו)</w:t>
      </w:r>
      <w:r w:rsidRPr="00ED5F66">
        <w:rPr>
          <w:rFonts w:ascii="David" w:eastAsiaTheme="minorHAnsi" w:hAnsi="David"/>
          <w:sz w:val="24"/>
          <w:rtl/>
          <w:lang w:eastAsia="en-US"/>
        </w:rPr>
        <w:t xml:space="preserve"> לחוק, הריני להודיעך על זכותך לעתור נגד החלטה זו לבית המשפט לעניינים מנהליים בירושלים</w:t>
      </w:r>
      <w:r w:rsidRPr="00ED5F66">
        <w:rPr>
          <w:rFonts w:eastAsiaTheme="minorHAnsi" w:hint="cs"/>
          <w:sz w:val="24"/>
          <w:rtl/>
          <w:lang w:eastAsia="en-US"/>
        </w:rPr>
        <w:t>.</w:t>
      </w:r>
    </w:p>
    <w:p w:rsidR="00755825" w:rsidRDefault="00755825" w:rsidP="00ED5F66">
      <w:pPr>
        <w:overflowPunct/>
        <w:autoSpaceDE/>
        <w:autoSpaceDN/>
        <w:adjustRightInd/>
        <w:spacing w:before="120" w:after="120" w:line="360" w:lineRule="auto"/>
        <w:ind w:left="720"/>
        <w:contextualSpacing/>
        <w:jc w:val="right"/>
        <w:textAlignment w:val="auto"/>
        <w:rPr>
          <w:rFonts w:eastAsiaTheme="minorHAnsi"/>
          <w:sz w:val="24"/>
          <w:rtl/>
          <w:lang w:eastAsia="en-US"/>
        </w:rPr>
      </w:pPr>
    </w:p>
    <w:p w:rsidR="00ED5F66" w:rsidRDefault="00755825" w:rsidP="00ED5F66">
      <w:pPr>
        <w:overflowPunct/>
        <w:autoSpaceDE/>
        <w:autoSpaceDN/>
        <w:adjustRightInd/>
        <w:spacing w:before="120" w:after="120" w:line="360" w:lineRule="auto"/>
        <w:ind w:left="720"/>
        <w:contextualSpacing/>
        <w:jc w:val="right"/>
        <w:textAlignment w:val="auto"/>
        <w:rPr>
          <w:rFonts w:eastAsiaTheme="minorHAnsi" w:hint="cs"/>
          <w:sz w:val="24"/>
          <w:rtl/>
          <w:lang w:eastAsia="en-US"/>
        </w:rPr>
      </w:pPr>
      <w:r>
        <w:rPr>
          <w:rFonts w:eastAsiaTheme="minorHAnsi" w:hint="cs"/>
          <w:sz w:val="24"/>
          <w:rtl/>
          <w:lang w:eastAsia="en-US"/>
        </w:rPr>
        <w:t>בכבוד רב</w:t>
      </w:r>
    </w:p>
    <w:p w:rsidR="00755825" w:rsidRDefault="00755825" w:rsidP="00ED5F66">
      <w:pPr>
        <w:overflowPunct/>
        <w:autoSpaceDE/>
        <w:autoSpaceDN/>
        <w:adjustRightInd/>
        <w:spacing w:before="120" w:after="120" w:line="360" w:lineRule="auto"/>
        <w:ind w:left="720"/>
        <w:contextualSpacing/>
        <w:jc w:val="right"/>
        <w:textAlignment w:val="auto"/>
        <w:rPr>
          <w:rFonts w:eastAsiaTheme="minorHAnsi"/>
          <w:sz w:val="24"/>
          <w:rtl/>
          <w:lang w:eastAsia="en-US"/>
        </w:rPr>
      </w:pPr>
      <w:r w:rsidRPr="00ED5F66">
        <w:rPr>
          <w:rFonts w:eastAsiaTheme="minorHAnsi"/>
          <w:noProof/>
          <w:sz w:val="24"/>
          <w:lang w:eastAsia="en-US"/>
        </w:rPr>
        <w:drawing>
          <wp:inline distT="0" distB="0" distL="0" distR="0" wp14:anchorId="4229468D" wp14:editId="44846A7C">
            <wp:extent cx="962025" cy="284480"/>
            <wp:effectExtent l="0" t="0" r="9525"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3688" cy="296800"/>
                    </a:xfrm>
                    <a:prstGeom prst="rect">
                      <a:avLst/>
                    </a:prstGeom>
                    <a:noFill/>
                    <a:ln>
                      <a:noFill/>
                    </a:ln>
                  </pic:spPr>
                </pic:pic>
              </a:graphicData>
            </a:graphic>
          </wp:inline>
        </w:drawing>
      </w:r>
    </w:p>
    <w:p w:rsidR="00755825" w:rsidRDefault="00755825" w:rsidP="00ED5F66">
      <w:pPr>
        <w:overflowPunct/>
        <w:autoSpaceDE/>
        <w:autoSpaceDN/>
        <w:adjustRightInd/>
        <w:spacing w:before="120" w:after="120" w:line="360" w:lineRule="auto"/>
        <w:ind w:left="720"/>
        <w:contextualSpacing/>
        <w:jc w:val="right"/>
        <w:textAlignment w:val="auto"/>
        <w:rPr>
          <w:rFonts w:eastAsiaTheme="minorHAnsi" w:hint="cs"/>
          <w:sz w:val="24"/>
          <w:rtl/>
          <w:lang w:eastAsia="en-US"/>
        </w:rPr>
      </w:pPr>
      <w:r>
        <w:rPr>
          <w:rFonts w:eastAsiaTheme="minorHAnsi" w:hint="cs"/>
          <w:sz w:val="24"/>
          <w:rtl/>
          <w:lang w:eastAsia="en-US"/>
        </w:rPr>
        <w:t>ליאת שטרק,</w:t>
      </w:r>
      <w:r w:rsidR="001F77F1">
        <w:rPr>
          <w:rFonts w:eastAsiaTheme="minorHAnsi" w:hint="cs"/>
          <w:sz w:val="24"/>
          <w:rtl/>
          <w:lang w:eastAsia="en-US"/>
        </w:rPr>
        <w:t xml:space="preserve"> </w:t>
      </w:r>
      <w:bookmarkStart w:id="1" w:name="_GoBack"/>
      <w:bookmarkEnd w:id="1"/>
      <w:r>
        <w:rPr>
          <w:rFonts w:eastAsiaTheme="minorHAnsi" w:hint="cs"/>
          <w:sz w:val="24"/>
          <w:rtl/>
          <w:lang w:eastAsia="en-US"/>
        </w:rPr>
        <w:t>עו"ד</w:t>
      </w:r>
    </w:p>
    <w:p w:rsidR="00E34D1B" w:rsidRDefault="00755825" w:rsidP="00755825">
      <w:pPr>
        <w:overflowPunct/>
        <w:autoSpaceDE/>
        <w:autoSpaceDN/>
        <w:adjustRightInd/>
        <w:spacing w:before="120" w:after="120" w:line="360" w:lineRule="auto"/>
        <w:ind w:left="720"/>
        <w:contextualSpacing/>
        <w:jc w:val="right"/>
        <w:textAlignment w:val="auto"/>
        <w:rPr>
          <w:szCs w:val="20"/>
          <w:rtl/>
        </w:rPr>
      </w:pPr>
      <w:r>
        <w:rPr>
          <w:rFonts w:eastAsiaTheme="minorHAnsi" w:hint="cs"/>
          <w:sz w:val="24"/>
          <w:rtl/>
          <w:lang w:eastAsia="en-US"/>
        </w:rPr>
        <w:t>ממונה על חופש המידע</w:t>
      </w:r>
    </w:p>
    <w:p w:rsidR="00E34D1B" w:rsidRPr="0007311F" w:rsidRDefault="00E34D1B" w:rsidP="009435A5">
      <w:pPr>
        <w:spacing w:line="25" w:lineRule="atLeast"/>
        <w:jc w:val="both"/>
        <w:rPr>
          <w:szCs w:val="20"/>
          <w:rtl/>
        </w:rPr>
      </w:pPr>
    </w:p>
    <w:sectPr w:rsidR="00E34D1B" w:rsidRPr="0007311F" w:rsidSect="002973B2">
      <w:headerReference w:type="default" r:id="rId10"/>
      <w:footerReference w:type="even" r:id="rId11"/>
      <w:footerReference w:type="default" r:id="rId12"/>
      <w:headerReference w:type="first" r:id="rId13"/>
      <w:footerReference w:type="first" r:id="rId14"/>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A38" w:rsidRDefault="00A14A38">
      <w:r>
        <w:separator/>
      </w:r>
    </w:p>
  </w:endnote>
  <w:endnote w:type="continuationSeparator" w:id="0">
    <w:p w:rsidR="00A14A38" w:rsidRDefault="00A14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A14A38">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A38" w:rsidRDefault="00A14A38">
      <w:r>
        <w:separator/>
      </w:r>
    </w:p>
  </w:footnote>
  <w:footnote w:type="continuationSeparator" w:id="0">
    <w:p w:rsidR="00A14A38" w:rsidRDefault="00A14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1F77F1" w:rsidRPr="001F77F1">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477D4CEE"/>
    <w:multiLevelType w:val="multilevel"/>
    <w:tmpl w:val="2C7611E6"/>
    <w:numStyleLink w:val="-0"/>
  </w:abstractNum>
  <w:abstractNum w:abstractNumId="5" w15:restartNumberingAfterBreak="0">
    <w:nsid w:val="52C63965"/>
    <w:multiLevelType w:val="multilevel"/>
    <w:tmpl w:val="CB2CFB36"/>
    <w:numStyleLink w:val="-"/>
  </w:abstractNum>
  <w:abstractNum w:abstractNumId="6"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15:restartNumberingAfterBreak="0">
    <w:nsid w:val="6D594143"/>
    <w:multiLevelType w:val="multilevel"/>
    <w:tmpl w:val="34EA81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440" w:hanging="36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520" w:hanging="72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600" w:hanging="1080"/>
      </w:pPr>
      <w:rPr>
        <w:rFonts w:hint="default"/>
        <w:sz w:val="24"/>
      </w:rPr>
    </w:lvl>
    <w:lvl w:ilvl="7">
      <w:start w:val="1"/>
      <w:numFmt w:val="decimal"/>
      <w:isLgl/>
      <w:lvlText w:val="%1.%2.%3.%4.%5.%6.%7.%8"/>
      <w:lvlJc w:val="left"/>
      <w:pPr>
        <w:ind w:left="3960" w:hanging="1080"/>
      </w:pPr>
      <w:rPr>
        <w:rFonts w:hint="default"/>
        <w:sz w:val="24"/>
      </w:rPr>
    </w:lvl>
    <w:lvl w:ilvl="8">
      <w:start w:val="1"/>
      <w:numFmt w:val="decimal"/>
      <w:isLgl/>
      <w:lvlText w:val="%1.%2.%3.%4.%5.%6.%7.%8.%9"/>
      <w:lvlJc w:val="left"/>
      <w:pPr>
        <w:ind w:left="4680" w:hanging="1440"/>
      </w:pPr>
      <w:rPr>
        <w:rFonts w:hint="default"/>
        <w:sz w:val="24"/>
      </w:r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A5"/>
    <w:rsid w:val="00014182"/>
    <w:rsid w:val="00047C97"/>
    <w:rsid w:val="000520B7"/>
    <w:rsid w:val="000568CE"/>
    <w:rsid w:val="00066383"/>
    <w:rsid w:val="00093B9D"/>
    <w:rsid w:val="000C04AE"/>
    <w:rsid w:val="000E6098"/>
    <w:rsid w:val="000E632C"/>
    <w:rsid w:val="000F51D2"/>
    <w:rsid w:val="0010326C"/>
    <w:rsid w:val="001611C6"/>
    <w:rsid w:val="00164B30"/>
    <w:rsid w:val="0018292D"/>
    <w:rsid w:val="001A7C42"/>
    <w:rsid w:val="001C4F6D"/>
    <w:rsid w:val="001D55DD"/>
    <w:rsid w:val="001E548A"/>
    <w:rsid w:val="001F77F1"/>
    <w:rsid w:val="00233FC8"/>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5825"/>
    <w:rsid w:val="00757313"/>
    <w:rsid w:val="00757879"/>
    <w:rsid w:val="007611DA"/>
    <w:rsid w:val="00793E5C"/>
    <w:rsid w:val="007A373A"/>
    <w:rsid w:val="007D4118"/>
    <w:rsid w:val="007E2692"/>
    <w:rsid w:val="0080160A"/>
    <w:rsid w:val="0081150D"/>
    <w:rsid w:val="0082739B"/>
    <w:rsid w:val="00864DB3"/>
    <w:rsid w:val="00867AE5"/>
    <w:rsid w:val="00870D8A"/>
    <w:rsid w:val="008B39D7"/>
    <w:rsid w:val="008E77BE"/>
    <w:rsid w:val="00910BC9"/>
    <w:rsid w:val="00915C9A"/>
    <w:rsid w:val="00935E81"/>
    <w:rsid w:val="009435A5"/>
    <w:rsid w:val="00986444"/>
    <w:rsid w:val="00990A24"/>
    <w:rsid w:val="009B64FE"/>
    <w:rsid w:val="009E52B5"/>
    <w:rsid w:val="009F7C19"/>
    <w:rsid w:val="009F7F7A"/>
    <w:rsid w:val="00A14A38"/>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047"/>
    <w:rsid w:val="00BB393A"/>
    <w:rsid w:val="00BD67E7"/>
    <w:rsid w:val="00C01906"/>
    <w:rsid w:val="00C171DC"/>
    <w:rsid w:val="00C27AC8"/>
    <w:rsid w:val="00C37F33"/>
    <w:rsid w:val="00C402A9"/>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34D1B"/>
    <w:rsid w:val="00E41B31"/>
    <w:rsid w:val="00E56588"/>
    <w:rsid w:val="00E95EEF"/>
    <w:rsid w:val="00EA6729"/>
    <w:rsid w:val="00EC303E"/>
    <w:rsid w:val="00ED5F66"/>
    <w:rsid w:val="00EF71D7"/>
    <w:rsid w:val="00F00D41"/>
    <w:rsid w:val="00F0592A"/>
    <w:rsid w:val="00F06A1B"/>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61294D"/>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ov.il/hon/Regulation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9E103-76E2-4A66-9DEF-985F5331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643</Words>
  <Characters>3220</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9</cp:revision>
  <dcterms:created xsi:type="dcterms:W3CDTF">2012-07-26T09:01:00Z</dcterms:created>
  <dcterms:modified xsi:type="dcterms:W3CDTF">2018-10-04T07:18:00Z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notes://MAOR2/Doc/Shuk_hon/hondocNew3.nsf/0/EC43A6228F729BF4C225831C00266390/?OpenDocument</vt:lpwstr>
  </property>
  <property fmtid="{D5CDD505-2E9C-101B-9397-08002B2CF9AE}" pid="3" name="MaorRecipients0">
    <vt:lpwstr>urima@mof.gov.il</vt:lpwstr>
  </property>
</Properties>
</file>