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5A5" w:rsidRDefault="009435A5" w:rsidP="00E34D1B">
      <w:pPr>
        <w:spacing w:line="360" w:lineRule="auto"/>
        <w:rPr>
          <w:rtl/>
        </w:rPr>
      </w:pPr>
    </w:p>
    <w:p w:rsidR="00E34D1B" w:rsidRDefault="00E34D1B" w:rsidP="00E34D1B">
      <w:pPr>
        <w:spacing w:line="360" w:lineRule="auto"/>
        <w:rPr>
          <w:rtl/>
        </w:rPr>
      </w:pPr>
    </w:p>
    <w:p w:rsidR="00493F00" w:rsidRDefault="00493F00" w:rsidP="00E34D1B">
      <w:pPr>
        <w:ind w:left="7370"/>
        <w:rPr>
          <w:sz w:val="24"/>
          <w:rtl/>
        </w:rPr>
      </w:pPr>
      <w:bookmarkStart w:id="0" w:name="Date"/>
      <w:bookmarkEnd w:id="0"/>
      <w:r>
        <w:rPr>
          <w:rFonts w:hint="eastAsia"/>
          <w:sz w:val="24"/>
          <w:rtl/>
        </w:rPr>
        <w:t>כ</w:t>
      </w:r>
      <w:r>
        <w:rPr>
          <w:sz w:val="24"/>
          <w:rtl/>
        </w:rPr>
        <w:t xml:space="preserve">"ג בשבט </w:t>
      </w:r>
      <w:proofErr w:type="spellStart"/>
      <w:r>
        <w:rPr>
          <w:sz w:val="24"/>
          <w:rtl/>
        </w:rPr>
        <w:t>התשע"ט</w:t>
      </w:r>
      <w:proofErr w:type="spellEnd"/>
      <w:r>
        <w:rPr>
          <w:sz w:val="24"/>
          <w:rtl/>
        </w:rPr>
        <w:br/>
        <w:t>29 בינואר 2019</w:t>
      </w:r>
    </w:p>
    <w:p w:rsidR="00493F00" w:rsidRDefault="00493F00" w:rsidP="00E34D1B">
      <w:pPr>
        <w:ind w:left="7370"/>
        <w:rPr>
          <w:rtl/>
        </w:rPr>
      </w:pPr>
      <w:bookmarkStart w:id="1" w:name="DocNum"/>
      <w:bookmarkEnd w:id="1"/>
      <w:r>
        <w:rPr>
          <w:rtl/>
        </w:rPr>
        <w:t>שה. 2019-1491</w:t>
      </w:r>
    </w:p>
    <w:p w:rsidR="009435A5" w:rsidRDefault="009435A5" w:rsidP="009435A5">
      <w:pPr>
        <w:spacing w:line="360" w:lineRule="auto"/>
        <w:jc w:val="both"/>
        <w:rPr>
          <w:rtl/>
        </w:rPr>
      </w:pPr>
    </w:p>
    <w:p w:rsidR="009435A5" w:rsidRDefault="009435A5" w:rsidP="009435A5">
      <w:pPr>
        <w:spacing w:line="25" w:lineRule="atLeast"/>
        <w:jc w:val="both"/>
        <w:rPr>
          <w:rtl/>
        </w:rPr>
      </w:pPr>
      <w:bookmarkStart w:id="2" w:name="Start"/>
      <w:bookmarkEnd w:id="2"/>
    </w:p>
    <w:p w:rsidR="00764D15" w:rsidRDefault="00E12008" w:rsidP="00764D15">
      <w:pPr>
        <w:spacing w:line="25" w:lineRule="atLeast"/>
        <w:jc w:val="center"/>
        <w:rPr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 xml:space="preserve">הנדון: </w:t>
      </w:r>
      <w:r w:rsidR="00680ECB" w:rsidRPr="005F6B87">
        <w:rPr>
          <w:rFonts w:hint="cs"/>
          <w:b/>
          <w:bCs/>
          <w:sz w:val="28"/>
          <w:szCs w:val="28"/>
          <w:u w:val="single"/>
          <w:rtl/>
        </w:rPr>
        <w:t xml:space="preserve">פניה לקבלת מידע אודות 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ביטוח נסיעות לחו"ל - </w:t>
      </w:r>
      <w:r>
        <w:rPr>
          <w:rFonts w:hint="cs"/>
          <w:b/>
          <w:bCs/>
          <w:sz w:val="28"/>
          <w:szCs w:val="28"/>
          <w:u w:val="single"/>
        </w:rPr>
        <w:t>AIG</w:t>
      </w:r>
    </w:p>
    <w:p w:rsidR="00680ECB" w:rsidRDefault="00680ECB" w:rsidP="00764D15">
      <w:pPr>
        <w:pStyle w:val="a7"/>
        <w:numPr>
          <w:ilvl w:val="0"/>
          <w:numId w:val="8"/>
        </w:numPr>
        <w:jc w:val="left"/>
      </w:pPr>
      <w:r w:rsidRPr="00942077">
        <w:rPr>
          <w:rtl/>
        </w:rPr>
        <w:t>בפנייתך שבנדון</w:t>
      </w:r>
      <w:r w:rsidR="00E92BBF">
        <w:rPr>
          <w:rFonts w:hint="cs"/>
          <w:rtl/>
        </w:rPr>
        <w:t xml:space="preserve">, </w:t>
      </w:r>
      <w:r w:rsidRPr="00942077">
        <w:rPr>
          <w:rtl/>
        </w:rPr>
        <w:t>ביקשת</w:t>
      </w:r>
      <w:r w:rsidRPr="00942077">
        <w:rPr>
          <w:rFonts w:hint="cs"/>
          <w:rtl/>
        </w:rPr>
        <w:t xml:space="preserve"> </w:t>
      </w:r>
      <w:r w:rsidRPr="00942077">
        <w:rPr>
          <w:rtl/>
        </w:rPr>
        <w:t>לקבל, בהתאם לחוק חופש המידע, התשנ"ח-1998 (להלן</w:t>
      </w:r>
      <w:r w:rsidRPr="00942077">
        <w:rPr>
          <w:rFonts w:hint="cs"/>
          <w:rtl/>
        </w:rPr>
        <w:t xml:space="preserve"> </w:t>
      </w:r>
      <w:r w:rsidRPr="00942077">
        <w:rPr>
          <w:rtl/>
        </w:rPr>
        <w:t xml:space="preserve">- </w:t>
      </w:r>
      <w:r w:rsidRPr="00764D15">
        <w:rPr>
          <w:b/>
          <w:bCs/>
          <w:rtl/>
        </w:rPr>
        <w:t>חוק חופש המידע</w:t>
      </w:r>
      <w:r w:rsidRPr="00942077">
        <w:rPr>
          <w:rFonts w:hint="cs"/>
          <w:rtl/>
        </w:rPr>
        <w:t>)</w:t>
      </w:r>
      <w:r>
        <w:rPr>
          <w:rFonts w:hint="cs"/>
          <w:rtl/>
        </w:rPr>
        <w:t xml:space="preserve"> </w:t>
      </w:r>
      <w:r w:rsidR="000E102C">
        <w:rPr>
          <w:rFonts w:hint="cs"/>
          <w:rtl/>
        </w:rPr>
        <w:t>מידע</w:t>
      </w:r>
      <w:r w:rsidR="001C0F40">
        <w:rPr>
          <w:rFonts w:hint="cs"/>
          <w:rtl/>
        </w:rPr>
        <w:t xml:space="preserve"> אקטוארי וסטטיסטי, בכל הקשור לביטוח נסיעות לחו"ל המשווק על ידי חברת </w:t>
      </w:r>
      <w:r w:rsidR="001C0F40">
        <w:rPr>
          <w:rFonts w:hint="cs"/>
        </w:rPr>
        <w:t>AIG</w:t>
      </w:r>
      <w:r w:rsidR="001C0F40">
        <w:rPr>
          <w:rFonts w:hint="cs"/>
          <w:rtl/>
        </w:rPr>
        <w:t xml:space="preserve">.  </w:t>
      </w:r>
    </w:p>
    <w:p w:rsidR="003B40DE" w:rsidRDefault="000E102C" w:rsidP="00764D15">
      <w:pPr>
        <w:pStyle w:val="a7"/>
        <w:numPr>
          <w:ilvl w:val="0"/>
          <w:numId w:val="8"/>
        </w:numPr>
        <w:rPr>
          <w:rtl/>
        </w:rPr>
      </w:pPr>
      <w:r>
        <w:rPr>
          <w:rFonts w:hint="cs"/>
          <w:rtl/>
        </w:rPr>
        <w:t>במענה ל</w:t>
      </w:r>
      <w:r w:rsidR="001C0F40">
        <w:rPr>
          <w:rFonts w:hint="cs"/>
          <w:rtl/>
        </w:rPr>
        <w:t>פנייתך נבקש להבהיר שפוליסת ביטוח נסיעות לחו"ל מופיעה באתר האינטרנט של החברה</w:t>
      </w:r>
      <w:r w:rsidR="00F410F2">
        <w:rPr>
          <w:rFonts w:hint="cs"/>
          <w:rtl/>
        </w:rPr>
        <w:t xml:space="preserve">, וניתן לאתרה בקישור: </w:t>
      </w:r>
      <w:hyperlink r:id="rId8" w:tooltip="קישור לאתר חברת הביטוח איי איי ג'י" w:history="1">
        <w:r w:rsidR="00F410F2" w:rsidRPr="00F150F9">
          <w:rPr>
            <w:rStyle w:val="Hyperlink"/>
          </w:rPr>
          <w:t>https://www.aig.co.il/travel-insurance</w:t>
        </w:r>
        <w:r w:rsidR="00F410F2" w:rsidRPr="00F150F9">
          <w:rPr>
            <w:rStyle w:val="Hyperlink"/>
            <w:rtl/>
          </w:rPr>
          <w:t>/</w:t>
        </w:r>
      </w:hyperlink>
      <w:r w:rsidR="00F410F2">
        <w:rPr>
          <w:rFonts w:hint="cs"/>
          <w:rtl/>
        </w:rPr>
        <w:t xml:space="preserve">, ולפיכך, לא נוכל להעביר את המידע לאור הוראת סעיף </w:t>
      </w:r>
      <w:r w:rsidR="004E28B8">
        <w:rPr>
          <w:rFonts w:hint="cs"/>
          <w:rtl/>
        </w:rPr>
        <w:t>8(4) לחוק חופש המידע</w:t>
      </w:r>
      <w:r w:rsidR="00F410F2">
        <w:rPr>
          <w:rFonts w:hint="cs"/>
          <w:rtl/>
        </w:rPr>
        <w:t xml:space="preserve">. </w:t>
      </w:r>
      <w:r w:rsidR="001C0F40">
        <w:rPr>
          <w:rFonts w:hint="cs"/>
          <w:rtl/>
        </w:rPr>
        <w:t xml:space="preserve">בנוסף, </w:t>
      </w:r>
      <w:r w:rsidR="002C4BB7">
        <w:rPr>
          <w:rFonts w:hint="cs"/>
          <w:rtl/>
        </w:rPr>
        <w:t>נבהיר כי</w:t>
      </w:r>
      <w:r w:rsidR="003B40DE">
        <w:rPr>
          <w:rFonts w:hint="cs"/>
          <w:rtl/>
        </w:rPr>
        <w:t xml:space="preserve"> ברשות התקבל נספח </w:t>
      </w:r>
      <w:r w:rsidR="001C0F40">
        <w:rPr>
          <w:rFonts w:hint="cs"/>
          <w:rtl/>
        </w:rPr>
        <w:t>אק</w:t>
      </w:r>
      <w:r w:rsidR="002C4BB7">
        <w:rPr>
          <w:rFonts w:hint="cs"/>
          <w:rtl/>
        </w:rPr>
        <w:t xml:space="preserve">טוארי </w:t>
      </w:r>
      <w:r w:rsidR="003B40DE">
        <w:rPr>
          <w:rFonts w:hint="cs"/>
          <w:rtl/>
        </w:rPr>
        <w:t xml:space="preserve">לצורך אישור הפוליסה, אך לא ניתן להעבירו </w:t>
      </w:r>
      <w:r w:rsidR="003B40DE">
        <w:rPr>
          <w:rtl/>
        </w:rPr>
        <w:t xml:space="preserve">בהתאם לסעיף 50א לחוק הפיקוח על שירותים פיננסיים (ביטוח), תשמ"א-1981 (להלן </w:t>
      </w:r>
      <w:r w:rsidR="003B40DE" w:rsidRPr="00F410F2">
        <w:rPr>
          <w:b/>
          <w:bCs/>
          <w:rtl/>
        </w:rPr>
        <w:t>חוק הפיקוח על הביטוח</w:t>
      </w:r>
      <w:r w:rsidR="003B40DE">
        <w:rPr>
          <w:rtl/>
        </w:rPr>
        <w:t>) הקובע כי "</w:t>
      </w:r>
      <w:r w:rsidR="003B40DE" w:rsidRPr="00F410F2">
        <w:rPr>
          <w:b/>
          <w:bCs/>
          <w:rtl/>
        </w:rPr>
        <w:t>הממונה, עובד הכפוף לו, או מי שפועל מטעמו, לא יגלה ידיעה ולא יר</w:t>
      </w:r>
      <w:bookmarkStart w:id="3" w:name="_GoBack"/>
      <w:bookmarkEnd w:id="3"/>
      <w:r w:rsidR="003B40DE" w:rsidRPr="00F410F2">
        <w:rPr>
          <w:b/>
          <w:bCs/>
          <w:rtl/>
        </w:rPr>
        <w:t xml:space="preserve">אה מסמך שנמסרו לו מכוח תפקידו או סמכויותיו לפי חוק זה, אלא לצורך הליך פלילי, או אם הממונה ראה צורך בכך לשם דיון </w:t>
      </w:r>
      <w:proofErr w:type="spellStart"/>
      <w:r w:rsidR="003B40DE" w:rsidRPr="00F410F2">
        <w:rPr>
          <w:b/>
          <w:bCs/>
          <w:rtl/>
        </w:rPr>
        <w:t>בועדה</w:t>
      </w:r>
      <w:proofErr w:type="spellEnd"/>
      <w:r w:rsidR="00F410F2">
        <w:rPr>
          <w:rtl/>
        </w:rPr>
        <w:t>"</w:t>
      </w:r>
      <w:r w:rsidR="00F410F2">
        <w:rPr>
          <w:rFonts w:hint="cs"/>
          <w:rtl/>
        </w:rPr>
        <w:t xml:space="preserve">, ולאור </w:t>
      </w:r>
      <w:r w:rsidR="00F410F2">
        <w:rPr>
          <w:rtl/>
        </w:rPr>
        <w:t>סעיפים 9(א)(4)</w:t>
      </w:r>
      <w:r w:rsidR="00F410F2">
        <w:rPr>
          <w:rFonts w:hint="cs"/>
          <w:rtl/>
        </w:rPr>
        <w:t xml:space="preserve"> ו-</w:t>
      </w:r>
      <w:r w:rsidR="00F410F2">
        <w:rPr>
          <w:rtl/>
        </w:rPr>
        <w:t>9(ב)(1) לחוק חופש המידע</w:t>
      </w:r>
      <w:r w:rsidR="00F410F2">
        <w:rPr>
          <w:rFonts w:hint="cs"/>
          <w:rtl/>
        </w:rPr>
        <w:t>.</w:t>
      </w:r>
      <w:r w:rsidR="003B40DE">
        <w:rPr>
          <w:rFonts w:hint="cs"/>
          <w:rtl/>
        </w:rPr>
        <w:t xml:space="preserve"> </w:t>
      </w:r>
    </w:p>
    <w:p w:rsidR="00680ECB" w:rsidRPr="00942077" w:rsidRDefault="00680ECB" w:rsidP="00680ECB">
      <w:pPr>
        <w:pStyle w:val="a7"/>
        <w:numPr>
          <w:ilvl w:val="0"/>
          <w:numId w:val="8"/>
        </w:numPr>
      </w:pPr>
      <w:r w:rsidRPr="00942077">
        <w:rPr>
          <w:rFonts w:ascii="David" w:hAnsi="David"/>
          <w:rtl/>
        </w:rPr>
        <w:t>בהתאם לסעיף</w:t>
      </w:r>
      <w:r w:rsidRPr="00942077">
        <w:rPr>
          <w:rFonts w:ascii="David" w:hAnsi="David" w:hint="cs"/>
          <w:rtl/>
        </w:rPr>
        <w:t xml:space="preserve"> 7(ו)</w:t>
      </w:r>
      <w:r w:rsidRPr="00942077">
        <w:rPr>
          <w:rFonts w:ascii="David" w:hAnsi="David"/>
          <w:rtl/>
        </w:rPr>
        <w:t xml:space="preserve"> לחוק</w:t>
      </w:r>
      <w:r w:rsidRPr="00942077">
        <w:rPr>
          <w:rFonts w:ascii="David" w:hAnsi="David" w:hint="cs"/>
          <w:rtl/>
        </w:rPr>
        <w:t xml:space="preserve"> חופש המידע</w:t>
      </w:r>
      <w:r w:rsidRPr="00942077">
        <w:rPr>
          <w:rFonts w:ascii="David" w:hAnsi="David"/>
          <w:rtl/>
        </w:rPr>
        <w:t>, הריני להודיעך על זכותך לעתור נגד החלטה זו לבית המשפט לעניינים מנהליים בירושלים</w:t>
      </w:r>
      <w:r w:rsidRPr="00942077">
        <w:rPr>
          <w:rFonts w:hint="cs"/>
          <w:rtl/>
        </w:rPr>
        <w:t>.</w:t>
      </w:r>
    </w:p>
    <w:p w:rsidR="00680ECB" w:rsidRDefault="00680ECB" w:rsidP="00680ECB">
      <w:pPr>
        <w:pStyle w:val="a7"/>
        <w:ind w:left="2880" w:firstLine="720"/>
        <w:jc w:val="center"/>
        <w:rPr>
          <w:rtl/>
        </w:rPr>
      </w:pPr>
      <w:r>
        <w:rPr>
          <w:rFonts w:hint="cs"/>
          <w:rtl/>
        </w:rPr>
        <w:t>בכבוד רב,</w:t>
      </w:r>
    </w:p>
    <w:p w:rsidR="00680ECB" w:rsidRDefault="00680ECB" w:rsidP="00680ECB">
      <w:pPr>
        <w:pStyle w:val="a7"/>
        <w:ind w:left="3600"/>
        <w:jc w:val="center"/>
        <w:rPr>
          <w:rtl/>
        </w:rPr>
      </w:pPr>
      <w:r w:rsidRPr="00CE5463">
        <w:rPr>
          <w:noProof/>
        </w:rPr>
        <w:drawing>
          <wp:inline distT="0" distB="0" distL="0" distR="0" wp14:anchorId="43538D95" wp14:editId="776B580E">
            <wp:extent cx="711200" cy="284480"/>
            <wp:effectExtent l="0" t="0" r="0" b="1270"/>
            <wp:docPr id="3" name="תמונה 3" descr="sign_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n_14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998" cy="296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0ECB" w:rsidRPr="00CE5463" w:rsidRDefault="00680ECB" w:rsidP="00680ECB">
      <w:pPr>
        <w:pStyle w:val="a7"/>
        <w:ind w:left="2880" w:firstLine="720"/>
        <w:jc w:val="center"/>
        <w:rPr>
          <w:rtl/>
        </w:rPr>
      </w:pPr>
      <w:r w:rsidRPr="00CE5463">
        <w:rPr>
          <w:rFonts w:hint="cs"/>
          <w:rtl/>
        </w:rPr>
        <w:t>ליאת שטרק, עו"ד</w:t>
      </w:r>
    </w:p>
    <w:p w:rsidR="00507FAB" w:rsidRDefault="00680ECB" w:rsidP="00764D15">
      <w:pPr>
        <w:pStyle w:val="a7"/>
        <w:ind w:left="2880" w:firstLine="720"/>
        <w:jc w:val="center"/>
        <w:rPr>
          <w:rtl/>
        </w:rPr>
      </w:pPr>
      <w:r w:rsidRPr="00CE5463">
        <w:rPr>
          <w:rFonts w:hint="cs"/>
          <w:rtl/>
        </w:rPr>
        <w:t>ממונה על חופש המידע</w:t>
      </w:r>
    </w:p>
    <w:p w:rsidR="00E34D1B" w:rsidRPr="0007311F" w:rsidRDefault="00E34D1B" w:rsidP="00507FAB">
      <w:pPr>
        <w:spacing w:line="25" w:lineRule="atLeast"/>
        <w:jc w:val="both"/>
        <w:rPr>
          <w:szCs w:val="20"/>
          <w:rtl/>
        </w:rPr>
      </w:pPr>
    </w:p>
    <w:sectPr w:rsidR="00E34D1B" w:rsidRPr="0007311F" w:rsidSect="002973B2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lowerLetter"/>
      </w:endnotePr>
      <w:pgSz w:w="11906" w:h="16838"/>
      <w:pgMar w:top="1418" w:right="1134" w:bottom="1418" w:left="1134" w:header="284" w:footer="0" w:gutter="0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33A" w:rsidRDefault="0084333A">
      <w:r>
        <w:separator/>
      </w:r>
    </w:p>
  </w:endnote>
  <w:endnote w:type="continuationSeparator" w:id="0">
    <w:p w:rsidR="0084333A" w:rsidRDefault="00843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7FB" w:rsidRDefault="009435A5">
    <w:pPr>
      <w:pStyle w:val="aa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:rsidR="00BE67FB" w:rsidRDefault="0084333A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  <w:rtl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history="1">
      <w:r w:rsidRPr="00435323">
        <w:rPr>
          <w:rStyle w:val="Hyperlink"/>
          <w:b/>
          <w:bCs/>
        </w:rPr>
        <w:t>www.mof.gov.il/hon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tooltip="קישור לאתר רשות שוק ההון ביטוח וחיסכון" w:history="1">
      <w:r w:rsidRPr="00435323">
        <w:rPr>
          <w:rStyle w:val="Hyperlink"/>
          <w:b/>
          <w:bCs/>
        </w:rPr>
        <w:t>www.mof.gov.il/hon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33A" w:rsidRDefault="0084333A">
      <w:r>
        <w:separator/>
      </w:r>
    </w:p>
  </w:footnote>
  <w:footnote w:type="continuationSeparator" w:id="0">
    <w:p w:rsidR="0084333A" w:rsidRDefault="00843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869651144"/>
      <w:docPartObj>
        <w:docPartGallery w:val="Page Numbers (Top of Page)"/>
        <w:docPartUnique/>
      </w:docPartObj>
    </w:sdtPr>
    <w:sdtEndPr>
      <w:rPr>
        <w:cs/>
      </w:rPr>
    </w:sdtEndPr>
    <w:sdtContent>
      <w:p w:rsidR="0007311F" w:rsidRDefault="009435A5">
        <w:pPr>
          <w:pStyle w:val="a8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507FAB" w:rsidRPr="00507FAB">
          <w:rPr>
            <w:noProof/>
            <w:rtl/>
            <w:lang w:val="he-IL"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Default="00233FC8" w:rsidP="002973B2">
    <w:pPr>
      <w:pStyle w:val="a8"/>
      <w:jc w:val="center"/>
      <w:rPr>
        <w:b/>
        <w:bCs/>
        <w:szCs w:val="36"/>
        <w:rtl/>
      </w:rPr>
    </w:pPr>
    <w:r w:rsidRPr="00233FC8">
      <w:rPr>
        <w:b/>
        <w:bCs/>
        <w:noProof/>
        <w:szCs w:val="36"/>
        <w:lang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539750</wp:posOffset>
          </wp:positionH>
          <wp:positionV relativeFrom="page">
            <wp:posOffset>269875</wp:posOffset>
          </wp:positionV>
          <wp:extent cx="913765" cy="747395"/>
          <wp:effectExtent l="0" t="0" r="635" b="0"/>
          <wp:wrapNone/>
          <wp:docPr id="1" name="Samlil70" title="סמליל 70 ל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70לבן שקוף גדו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3765" cy="747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973B2">
      <w:rPr>
        <w:rFonts w:hint="cs"/>
        <w:b/>
        <w:bCs/>
        <w:noProof/>
        <w:szCs w:val="36"/>
        <w:lang w:eastAsia="en-US"/>
      </w:rPr>
      <w:drawing>
        <wp:inline distT="0" distB="0" distL="0" distR="0" wp14:anchorId="53FCFEC8" wp14:editId="2BC72922">
          <wp:extent cx="563056" cy="446228"/>
          <wp:effectExtent l="0" t="0" r="0" b="0"/>
          <wp:docPr id="9" name="תמונה 9" descr="C:\Users\Shabed\Desktop\לוגו-ללא-טקסט.png" title="לוגו רשות שוק ההון ביטוח וחיסכון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bed\Desktop\לוגו-ללא-טקסט.pn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54" t="23133" r="15750" b="20365"/>
                  <a:stretch/>
                </pic:blipFill>
                <pic:spPr bwMode="auto">
                  <a:xfrm>
                    <a:off x="0" y="0"/>
                    <a:ext cx="564078" cy="4470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276B14" w:rsidRDefault="00276B14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מדינת ישראל</w:t>
    </w:r>
  </w:p>
  <w:p w:rsidR="002973B2" w:rsidRDefault="002973B2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רשות</w:t>
    </w:r>
    <w:r>
      <w:rPr>
        <w:b/>
        <w:bCs/>
        <w:szCs w:val="32"/>
        <w:rtl/>
      </w:rPr>
      <w:t xml:space="preserve"> שוק ההון, ביטוח וחיסכון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90D37"/>
    <w:multiLevelType w:val="multilevel"/>
    <w:tmpl w:val="2C7611E6"/>
    <w:numStyleLink w:val="-0"/>
  </w:abstractNum>
  <w:abstractNum w:abstractNumId="4" w15:restartNumberingAfterBreak="0">
    <w:nsid w:val="305A1BD6"/>
    <w:multiLevelType w:val="multilevel"/>
    <w:tmpl w:val="FA6CCE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5" w15:restartNumberingAfterBreak="0">
    <w:nsid w:val="40FE150C"/>
    <w:multiLevelType w:val="hybridMultilevel"/>
    <w:tmpl w:val="8CBA3D72"/>
    <w:lvl w:ilvl="0" w:tplc="A148EABE">
      <w:start w:val="1"/>
      <w:numFmt w:val="decimal"/>
      <w:lvlText w:val="%1."/>
      <w:lvlJc w:val="left"/>
      <w:pPr>
        <w:ind w:left="719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439" w:hanging="360"/>
      </w:pPr>
    </w:lvl>
    <w:lvl w:ilvl="2" w:tplc="0409001B">
      <w:start w:val="1"/>
      <w:numFmt w:val="lowerRoman"/>
      <w:lvlText w:val="%3."/>
      <w:lvlJc w:val="right"/>
      <w:pPr>
        <w:ind w:left="2159" w:hanging="180"/>
      </w:pPr>
    </w:lvl>
    <w:lvl w:ilvl="3" w:tplc="0409000F">
      <w:start w:val="1"/>
      <w:numFmt w:val="decimal"/>
      <w:lvlText w:val="%4."/>
      <w:lvlJc w:val="left"/>
      <w:pPr>
        <w:ind w:left="2879" w:hanging="360"/>
      </w:pPr>
    </w:lvl>
    <w:lvl w:ilvl="4" w:tplc="04090019">
      <w:start w:val="1"/>
      <w:numFmt w:val="lowerLetter"/>
      <w:lvlText w:val="%5."/>
      <w:lvlJc w:val="left"/>
      <w:pPr>
        <w:ind w:left="3599" w:hanging="360"/>
      </w:pPr>
    </w:lvl>
    <w:lvl w:ilvl="5" w:tplc="0409001B">
      <w:start w:val="1"/>
      <w:numFmt w:val="lowerRoman"/>
      <w:lvlText w:val="%6."/>
      <w:lvlJc w:val="right"/>
      <w:pPr>
        <w:ind w:left="4319" w:hanging="180"/>
      </w:pPr>
    </w:lvl>
    <w:lvl w:ilvl="6" w:tplc="0409000F">
      <w:start w:val="1"/>
      <w:numFmt w:val="decimal"/>
      <w:lvlText w:val="%7."/>
      <w:lvlJc w:val="left"/>
      <w:pPr>
        <w:ind w:left="5039" w:hanging="360"/>
      </w:pPr>
    </w:lvl>
    <w:lvl w:ilvl="7" w:tplc="04090019">
      <w:start w:val="1"/>
      <w:numFmt w:val="lowerLetter"/>
      <w:lvlText w:val="%8."/>
      <w:lvlJc w:val="left"/>
      <w:pPr>
        <w:ind w:left="5759" w:hanging="360"/>
      </w:pPr>
    </w:lvl>
    <w:lvl w:ilvl="8" w:tplc="0409001B">
      <w:start w:val="1"/>
      <w:numFmt w:val="lowerRoman"/>
      <w:lvlText w:val="%9."/>
      <w:lvlJc w:val="right"/>
      <w:pPr>
        <w:ind w:left="6479" w:hanging="180"/>
      </w:pPr>
    </w:lvl>
  </w:abstractNum>
  <w:abstractNum w:abstractNumId="6" w15:restartNumberingAfterBreak="0">
    <w:nsid w:val="477D4CEE"/>
    <w:multiLevelType w:val="multilevel"/>
    <w:tmpl w:val="2C7611E6"/>
    <w:numStyleLink w:val="-0"/>
  </w:abstractNum>
  <w:abstractNum w:abstractNumId="7" w15:restartNumberingAfterBreak="0">
    <w:nsid w:val="52C63965"/>
    <w:multiLevelType w:val="multilevel"/>
    <w:tmpl w:val="CB2CFB36"/>
    <w:numStyleLink w:val="-"/>
  </w:abstractNum>
  <w:abstractNum w:abstractNumId="8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2"/>
  </w:num>
  <w:num w:numId="5">
    <w:abstractNumId w:val="0"/>
  </w:num>
  <w:num w:numId="6">
    <w:abstractNumId w:val="6"/>
  </w:num>
  <w:num w:numId="7">
    <w:abstractNumId w:val="7"/>
  </w:num>
  <w:num w:numId="8">
    <w:abstractNumId w:val="4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5A5"/>
    <w:rsid w:val="00014182"/>
    <w:rsid w:val="00047C97"/>
    <w:rsid w:val="000520B7"/>
    <w:rsid w:val="000568CE"/>
    <w:rsid w:val="00066383"/>
    <w:rsid w:val="00093B9D"/>
    <w:rsid w:val="000C04AE"/>
    <w:rsid w:val="000E102C"/>
    <w:rsid w:val="000E6098"/>
    <w:rsid w:val="000E632C"/>
    <w:rsid w:val="000F51D2"/>
    <w:rsid w:val="0010326C"/>
    <w:rsid w:val="001611C6"/>
    <w:rsid w:val="00164B30"/>
    <w:rsid w:val="0018292D"/>
    <w:rsid w:val="001A7C42"/>
    <w:rsid w:val="001C0F40"/>
    <w:rsid w:val="001C4F6D"/>
    <w:rsid w:val="001D478B"/>
    <w:rsid w:val="001D55DD"/>
    <w:rsid w:val="001E548A"/>
    <w:rsid w:val="00233FC8"/>
    <w:rsid w:val="0023758B"/>
    <w:rsid w:val="00274CF7"/>
    <w:rsid w:val="00275887"/>
    <w:rsid w:val="00276B14"/>
    <w:rsid w:val="002973B2"/>
    <w:rsid w:val="002A54A3"/>
    <w:rsid w:val="002A7FEA"/>
    <w:rsid w:val="002C4BB7"/>
    <w:rsid w:val="002E38F4"/>
    <w:rsid w:val="002F197C"/>
    <w:rsid w:val="00325E01"/>
    <w:rsid w:val="00361114"/>
    <w:rsid w:val="003840FE"/>
    <w:rsid w:val="00393C6A"/>
    <w:rsid w:val="003A1D7A"/>
    <w:rsid w:val="003B40DE"/>
    <w:rsid w:val="003C3A5C"/>
    <w:rsid w:val="003F1396"/>
    <w:rsid w:val="0040055E"/>
    <w:rsid w:val="00423D6A"/>
    <w:rsid w:val="00426E0E"/>
    <w:rsid w:val="004323EF"/>
    <w:rsid w:val="004410DE"/>
    <w:rsid w:val="004465EB"/>
    <w:rsid w:val="0044663B"/>
    <w:rsid w:val="00451F2E"/>
    <w:rsid w:val="004523EB"/>
    <w:rsid w:val="00452D7A"/>
    <w:rsid w:val="00493F00"/>
    <w:rsid w:val="004C127D"/>
    <w:rsid w:val="004C5538"/>
    <w:rsid w:val="004D65A1"/>
    <w:rsid w:val="004E28B8"/>
    <w:rsid w:val="004E479D"/>
    <w:rsid w:val="004F3773"/>
    <w:rsid w:val="005028F9"/>
    <w:rsid w:val="00505D36"/>
    <w:rsid w:val="00507FAB"/>
    <w:rsid w:val="00515321"/>
    <w:rsid w:val="00515E5C"/>
    <w:rsid w:val="00534452"/>
    <w:rsid w:val="005371D8"/>
    <w:rsid w:val="00556BE2"/>
    <w:rsid w:val="005D42E4"/>
    <w:rsid w:val="00600BFA"/>
    <w:rsid w:val="00600F1F"/>
    <w:rsid w:val="00602DAD"/>
    <w:rsid w:val="006309B0"/>
    <w:rsid w:val="00650881"/>
    <w:rsid w:val="0066664E"/>
    <w:rsid w:val="00680ECB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35D55"/>
    <w:rsid w:val="00743847"/>
    <w:rsid w:val="00751B50"/>
    <w:rsid w:val="0075544B"/>
    <w:rsid w:val="00757313"/>
    <w:rsid w:val="00757879"/>
    <w:rsid w:val="007611DA"/>
    <w:rsid w:val="00764D15"/>
    <w:rsid w:val="00774059"/>
    <w:rsid w:val="00793E5C"/>
    <w:rsid w:val="007A373A"/>
    <w:rsid w:val="007D4118"/>
    <w:rsid w:val="007E2692"/>
    <w:rsid w:val="0080160A"/>
    <w:rsid w:val="0081150D"/>
    <w:rsid w:val="0082739B"/>
    <w:rsid w:val="0084333A"/>
    <w:rsid w:val="00864DB3"/>
    <w:rsid w:val="00867AE5"/>
    <w:rsid w:val="00870D8A"/>
    <w:rsid w:val="008B39D7"/>
    <w:rsid w:val="008E77BE"/>
    <w:rsid w:val="00910BC9"/>
    <w:rsid w:val="00915C9A"/>
    <w:rsid w:val="00935E81"/>
    <w:rsid w:val="009435A5"/>
    <w:rsid w:val="00950363"/>
    <w:rsid w:val="00986444"/>
    <w:rsid w:val="00990A24"/>
    <w:rsid w:val="009B64FE"/>
    <w:rsid w:val="009E52B5"/>
    <w:rsid w:val="009F7F7A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A4752"/>
    <w:rsid w:val="00AD0167"/>
    <w:rsid w:val="00AE61FE"/>
    <w:rsid w:val="00AF1C47"/>
    <w:rsid w:val="00B03E2B"/>
    <w:rsid w:val="00B041F7"/>
    <w:rsid w:val="00B311D4"/>
    <w:rsid w:val="00B429D7"/>
    <w:rsid w:val="00B60EE6"/>
    <w:rsid w:val="00B63645"/>
    <w:rsid w:val="00B67385"/>
    <w:rsid w:val="00B93390"/>
    <w:rsid w:val="00B93A25"/>
    <w:rsid w:val="00BB3047"/>
    <w:rsid w:val="00BB393A"/>
    <w:rsid w:val="00BD67E7"/>
    <w:rsid w:val="00C01906"/>
    <w:rsid w:val="00C171DC"/>
    <w:rsid w:val="00C27AC8"/>
    <w:rsid w:val="00C37F33"/>
    <w:rsid w:val="00C7714B"/>
    <w:rsid w:val="00C84ABA"/>
    <w:rsid w:val="00CA61AF"/>
    <w:rsid w:val="00CB40A4"/>
    <w:rsid w:val="00CB4629"/>
    <w:rsid w:val="00CC356E"/>
    <w:rsid w:val="00CD6DB8"/>
    <w:rsid w:val="00CE0517"/>
    <w:rsid w:val="00CF44BB"/>
    <w:rsid w:val="00D228D7"/>
    <w:rsid w:val="00D33979"/>
    <w:rsid w:val="00D66453"/>
    <w:rsid w:val="00D731DA"/>
    <w:rsid w:val="00D969C1"/>
    <w:rsid w:val="00DD5320"/>
    <w:rsid w:val="00DE069A"/>
    <w:rsid w:val="00DE7CC8"/>
    <w:rsid w:val="00DE7D2A"/>
    <w:rsid w:val="00DF73FF"/>
    <w:rsid w:val="00E12008"/>
    <w:rsid w:val="00E34D1B"/>
    <w:rsid w:val="00E41B31"/>
    <w:rsid w:val="00E56588"/>
    <w:rsid w:val="00E92BBF"/>
    <w:rsid w:val="00E95EEF"/>
    <w:rsid w:val="00EA6729"/>
    <w:rsid w:val="00EC303E"/>
    <w:rsid w:val="00EF71D7"/>
    <w:rsid w:val="00F00D41"/>
    <w:rsid w:val="00F0350F"/>
    <w:rsid w:val="00F0592A"/>
    <w:rsid w:val="00F25ABF"/>
    <w:rsid w:val="00F410F2"/>
    <w:rsid w:val="00F509E4"/>
    <w:rsid w:val="00F74EF7"/>
    <w:rsid w:val="00F80DA7"/>
    <w:rsid w:val="00F975CB"/>
    <w:rsid w:val="00FD7A54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531B955"/>
  <w15:docId w15:val="{15B16F67-D098-41AE-873B-88D706E26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5A5"/>
    <w:pPr>
      <w:overflowPunct w:val="0"/>
      <w:autoSpaceDE w:val="0"/>
      <w:autoSpaceDN w:val="0"/>
      <w:bidi/>
      <w:adjustRightInd w:val="0"/>
      <w:spacing w:before="0" w:after="0" w:line="240" w:lineRule="auto"/>
      <w:textAlignment w:val="baseline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0"/>
    </w:pPr>
    <w:rPr>
      <w:rFonts w:eastAsiaTheme="minorHAnsi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1"/>
    </w:pPr>
    <w:rPr>
      <w:rFonts w:eastAsiaTheme="minorHAnsi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2"/>
    </w:pPr>
    <w:rPr>
      <w:rFonts w:eastAsiaTheme="minorHAnsi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3"/>
    </w:pPr>
    <w:rPr>
      <w:rFonts w:eastAsiaTheme="minorHAnsi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4"/>
    </w:pPr>
    <w:rPr>
      <w:rFonts w:eastAsiaTheme="minorHAnsi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5"/>
    </w:pPr>
    <w:rPr>
      <w:rFonts w:eastAsiaTheme="minorHAnsi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6"/>
    </w:pPr>
    <w:rPr>
      <w:rFonts w:eastAsiaTheme="minorHAnsi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7"/>
    </w:pPr>
    <w:rPr>
      <w:rFonts w:eastAsiaTheme="minorHAnsi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8"/>
    </w:pPr>
    <w:rPr>
      <w:rFonts w:eastAsiaTheme="minorHAnsi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overflowPunct/>
      <w:autoSpaceDE/>
      <w:autoSpaceDN/>
      <w:adjustRightInd/>
      <w:spacing w:before="120" w:after="120" w:line="360" w:lineRule="auto"/>
      <w:ind w:left="567" w:right="567"/>
      <w:jc w:val="both"/>
      <w:textAlignment w:val="auto"/>
    </w:pPr>
    <w:rPr>
      <w:rFonts w:eastAsiaTheme="minorHAnsi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overflowPunct/>
      <w:autoSpaceDE/>
      <w:autoSpaceDN/>
      <w:bidi w:val="0"/>
      <w:adjustRightInd/>
      <w:spacing w:before="120" w:after="120" w:line="360" w:lineRule="auto"/>
      <w:jc w:val="both"/>
      <w:textAlignment w:val="auto"/>
    </w:pPr>
    <w:rPr>
      <w:rFonts w:eastAsiaTheme="minorHAnsi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482"/>
      <w:jc w:val="both"/>
      <w:textAlignment w:val="auto"/>
    </w:pPr>
    <w:rPr>
      <w:rFonts w:eastAsiaTheme="minorHAnsi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jc w:val="both"/>
      <w:textAlignment w:val="auto"/>
    </w:pPr>
    <w:rPr>
      <w:rFonts w:eastAsiaTheme="minorHAnsi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238"/>
      <w:jc w:val="both"/>
      <w:textAlignment w:val="auto"/>
    </w:pPr>
    <w:rPr>
      <w:rFonts w:eastAsiaTheme="minorHAnsi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440"/>
      <w:jc w:val="both"/>
      <w:textAlignment w:val="auto"/>
    </w:pPr>
    <w:rPr>
      <w:rFonts w:eastAsiaTheme="minorHAnsi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202"/>
      <w:contextualSpacing/>
      <w:jc w:val="both"/>
      <w:textAlignment w:val="auto"/>
    </w:pPr>
    <w:rPr>
      <w:rFonts w:eastAsiaTheme="minorHAnsi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958"/>
      <w:jc w:val="both"/>
      <w:textAlignment w:val="auto"/>
    </w:pPr>
    <w:rPr>
      <w:rFonts w:eastAsiaTheme="minorHAnsi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overflowPunct/>
      <w:autoSpaceDE/>
      <w:autoSpaceDN/>
      <w:adjustRightInd/>
      <w:spacing w:before="100" w:after="100"/>
      <w:ind w:left="720"/>
      <w:jc w:val="both"/>
      <w:textAlignment w:val="auto"/>
    </w:pPr>
    <w:rPr>
      <w:rFonts w:eastAsiaTheme="minorHAnsi"/>
      <w:sz w:val="24"/>
      <w:lang w:eastAsia="en-US"/>
    </w:rPr>
  </w:style>
  <w:style w:type="paragraph" w:styleId="a7">
    <w:name w:val="List Paragraph"/>
    <w:basedOn w:val="a"/>
    <w:uiPriority w:val="34"/>
    <w:qFormat/>
    <w:rsid w:val="00FE3193"/>
    <w:pPr>
      <w:overflowPunct/>
      <w:autoSpaceDE/>
      <w:autoSpaceDN/>
      <w:adjustRightInd/>
      <w:spacing w:before="120" w:after="120" w:line="360" w:lineRule="auto"/>
      <w:ind w:left="720"/>
      <w:contextualSpacing/>
      <w:jc w:val="both"/>
      <w:textAlignment w:val="auto"/>
    </w:pPr>
    <w:rPr>
      <w:rFonts w:eastAsiaTheme="minorHAnsi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rsid w:val="009435A5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basedOn w:val="a0"/>
    <w:link w:val="a8"/>
    <w:uiPriority w:val="99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a">
    <w:name w:val="footer"/>
    <w:basedOn w:val="a"/>
    <w:link w:val="ab"/>
    <w:rsid w:val="009435A5"/>
    <w:pPr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character" w:styleId="Hyperlink">
    <w:name w:val="Hyperlink"/>
    <w:basedOn w:val="a0"/>
    <w:rsid w:val="009435A5"/>
    <w:rPr>
      <w:color w:val="0000FF"/>
      <w:u w:val="single"/>
    </w:rPr>
  </w:style>
  <w:style w:type="character" w:styleId="ac">
    <w:name w:val="page number"/>
    <w:basedOn w:val="a0"/>
    <w:rsid w:val="009435A5"/>
  </w:style>
  <w:style w:type="paragraph" w:styleId="ad">
    <w:name w:val="Balloon Text"/>
    <w:basedOn w:val="a"/>
    <w:link w:val="ae"/>
    <w:uiPriority w:val="99"/>
    <w:semiHidden/>
    <w:unhideWhenUsed/>
    <w:rsid w:val="009435A5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9435A5"/>
    <w:rPr>
      <w:rFonts w:ascii="Tahoma" w:eastAsia="Times New Roman" w:hAnsi="Tahoma" w:cs="Tahoma"/>
      <w:sz w:val="16"/>
      <w:szCs w:val="16"/>
      <w:lang w:eastAsia="he-IL"/>
    </w:rPr>
  </w:style>
  <w:style w:type="character" w:styleId="FollowedHyperlink">
    <w:name w:val="FollowedHyperlink"/>
    <w:basedOn w:val="a0"/>
    <w:uiPriority w:val="99"/>
    <w:semiHidden/>
    <w:unhideWhenUsed/>
    <w:rsid w:val="00274CF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ig.co.il/travel-insurance/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4554E4-89C5-4737-BE39-F9E0A96E6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יצחק זרביב</dc:creator>
  <cp:lastModifiedBy>אורי מזוז</cp:lastModifiedBy>
  <cp:revision>3</cp:revision>
  <dcterms:created xsi:type="dcterms:W3CDTF">2019-02-12T12:03:00Z</dcterms:created>
  <dcterms:modified xsi:type="dcterms:W3CDTF">2019-03-26T12:06:00Z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notes://MAOR2/Doc/Shuk_hon/hondocNew4.nsf/0/F61680FC52EB1BE8C22583910042BB98/?OpenDocument</vt:lpwstr>
  </property>
  <property fmtid="{D5CDD505-2E9C-101B-9397-08002B2CF9AE}" pid="3" name="MaorRecipients0">
    <vt:lpwstr>liatst@mof.gov.il</vt:lpwstr>
  </property>
</Properties>
</file>