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35A5" w:rsidRDefault="009435A5" w:rsidP="00E34D1B">
      <w:pPr>
        <w:spacing w:line="360" w:lineRule="auto"/>
        <w:rPr>
          <w:rtl/>
        </w:rPr>
      </w:pPr>
    </w:p>
    <w:p w:rsidR="00901F0C" w:rsidRDefault="00901F0C" w:rsidP="00901F0C">
      <w:pPr>
        <w:spacing w:line="360" w:lineRule="auto"/>
        <w:rPr>
          <w:rtl/>
        </w:rPr>
      </w:pPr>
    </w:p>
    <w:p w:rsidR="00901F0C" w:rsidRDefault="00901F0C" w:rsidP="00901F0C">
      <w:pPr>
        <w:ind w:left="7370"/>
        <w:rPr>
          <w:sz w:val="24"/>
          <w:rtl/>
        </w:rPr>
      </w:pPr>
      <w:r>
        <w:rPr>
          <w:rFonts w:hint="eastAsia"/>
          <w:sz w:val="24"/>
          <w:rtl/>
        </w:rPr>
        <w:t>כ</w:t>
      </w:r>
      <w:r>
        <w:rPr>
          <w:sz w:val="24"/>
          <w:rtl/>
        </w:rPr>
        <w:t xml:space="preserve">"ט בחשון </w:t>
      </w:r>
      <w:proofErr w:type="spellStart"/>
      <w:r>
        <w:rPr>
          <w:sz w:val="24"/>
          <w:rtl/>
        </w:rPr>
        <w:t>התשע"ט</w:t>
      </w:r>
      <w:proofErr w:type="spellEnd"/>
      <w:r>
        <w:rPr>
          <w:sz w:val="24"/>
          <w:rtl/>
        </w:rPr>
        <w:br/>
        <w:t>7 בנובמבר 2018</w:t>
      </w:r>
    </w:p>
    <w:p w:rsidR="00901F0C" w:rsidRDefault="00901F0C" w:rsidP="00901F0C">
      <w:pPr>
        <w:ind w:left="7370"/>
        <w:rPr>
          <w:rtl/>
        </w:rPr>
      </w:pPr>
      <w:r>
        <w:rPr>
          <w:rtl/>
        </w:rPr>
        <w:t>שה. 2018-14812</w:t>
      </w:r>
    </w:p>
    <w:p w:rsidR="00901F0C" w:rsidRDefault="00901F0C" w:rsidP="00901F0C">
      <w:pPr>
        <w:spacing w:line="360" w:lineRule="auto"/>
        <w:jc w:val="both"/>
        <w:rPr>
          <w:rtl/>
        </w:rPr>
      </w:pPr>
    </w:p>
    <w:p w:rsidR="00901F0C" w:rsidRDefault="00901F0C" w:rsidP="00901F0C">
      <w:pPr>
        <w:spacing w:line="25" w:lineRule="atLeast"/>
        <w:jc w:val="center"/>
        <w:rPr>
          <w:b/>
          <w:bCs/>
          <w:u w:val="single"/>
          <w:rtl/>
        </w:rPr>
      </w:pPr>
      <w:bookmarkStart w:id="0" w:name="_GoBack"/>
      <w:bookmarkEnd w:id="0"/>
    </w:p>
    <w:p w:rsidR="00901F0C" w:rsidRDefault="00901F0C" w:rsidP="00901F0C">
      <w:pPr>
        <w:spacing w:line="25" w:lineRule="atLeast"/>
        <w:jc w:val="center"/>
        <w:rPr>
          <w:b/>
          <w:bCs/>
          <w:u w:val="single"/>
          <w:rtl/>
        </w:rPr>
      </w:pPr>
      <w:r w:rsidRPr="001E7649">
        <w:rPr>
          <w:rFonts w:hint="cs"/>
          <w:b/>
          <w:bCs/>
          <w:u w:val="single"/>
          <w:rtl/>
        </w:rPr>
        <w:t>פניה לקבלת מידע אודות אישור תקנון קרן הגמלאות של עורכי הדין ונוהל בירור פניות ציבור</w:t>
      </w:r>
    </w:p>
    <w:p w:rsidR="00901F0C" w:rsidRPr="00376AEE" w:rsidRDefault="00901F0C" w:rsidP="00901F0C">
      <w:pPr>
        <w:spacing w:line="25" w:lineRule="atLeast"/>
        <w:jc w:val="center"/>
        <w:rPr>
          <w:sz w:val="24"/>
          <w:rtl/>
        </w:rPr>
      </w:pPr>
      <w:r w:rsidRPr="00376AEE">
        <w:rPr>
          <w:rFonts w:hint="cs"/>
          <w:sz w:val="24"/>
          <w:rtl/>
        </w:rPr>
        <w:t>סימוכין: פנייתך מיום 7.10.18</w:t>
      </w:r>
    </w:p>
    <w:p w:rsidR="00901F0C" w:rsidRDefault="00901F0C" w:rsidP="00901F0C">
      <w:pPr>
        <w:pStyle w:val="a7"/>
        <w:numPr>
          <w:ilvl w:val="0"/>
          <w:numId w:val="8"/>
        </w:numPr>
        <w:rPr>
          <w:rtl/>
        </w:rPr>
      </w:pPr>
      <w:r w:rsidRPr="003B385E">
        <w:rPr>
          <w:rtl/>
        </w:rPr>
        <w:t>בפנייתך שבנדון ביקשת</w:t>
      </w:r>
      <w:r w:rsidRPr="003B385E">
        <w:rPr>
          <w:rFonts w:hint="cs"/>
          <w:rtl/>
        </w:rPr>
        <w:t xml:space="preserve"> </w:t>
      </w:r>
      <w:r w:rsidRPr="003B385E">
        <w:rPr>
          <w:rtl/>
        </w:rPr>
        <w:t>לקבל, בהתאם לחוק חופש המידע, התשנ"ח-1998 (להלן</w:t>
      </w:r>
      <w:r w:rsidRPr="003B385E">
        <w:rPr>
          <w:rFonts w:hint="cs"/>
          <w:rtl/>
        </w:rPr>
        <w:t xml:space="preserve"> </w:t>
      </w:r>
      <w:r w:rsidRPr="003B385E">
        <w:rPr>
          <w:rtl/>
        </w:rPr>
        <w:t xml:space="preserve">- </w:t>
      </w:r>
      <w:r w:rsidRPr="003B385E">
        <w:rPr>
          <w:b/>
          <w:bCs/>
          <w:rtl/>
        </w:rPr>
        <w:t>חוק חופש המידע</w:t>
      </w:r>
      <w:r>
        <w:rPr>
          <w:rFonts w:hint="cs"/>
          <w:rtl/>
        </w:rPr>
        <w:t xml:space="preserve">) "כל מידע המצוי, ואמור להיות מצוי בידיכם, על אישורכם לתיקון התקנון של קרן הגמלאות של עורכי הדין שנעשה בין השנים 2013 ועד 2015 ולפיו מי שהפסיק את הפקדותיו בקרן הנ"ל לאחר שנת 2004 אינו זכאי לקבל את כספיו". כן ביקשת לקבל את </w:t>
      </w:r>
      <w:r w:rsidRPr="00BC45F1">
        <w:rPr>
          <w:rFonts w:hint="cs"/>
          <w:rtl/>
        </w:rPr>
        <w:t>ההוראות</w:t>
      </w:r>
      <w:r w:rsidRPr="00BC45F1">
        <w:t xml:space="preserve"> </w:t>
      </w:r>
      <w:r w:rsidRPr="00BC45F1">
        <w:rPr>
          <w:rFonts w:hint="cs"/>
          <w:rtl/>
        </w:rPr>
        <w:t>המנהליות</w:t>
      </w:r>
      <w:r w:rsidRPr="00BC45F1">
        <w:t xml:space="preserve"> </w:t>
      </w:r>
      <w:r w:rsidRPr="00BC45F1">
        <w:rPr>
          <w:rFonts w:hint="cs"/>
          <w:rtl/>
        </w:rPr>
        <w:t>לפיהן</w:t>
      </w:r>
      <w:r w:rsidRPr="00BC45F1">
        <w:t xml:space="preserve"> </w:t>
      </w:r>
      <w:r w:rsidRPr="00BC45F1">
        <w:rPr>
          <w:rFonts w:hint="cs"/>
          <w:rtl/>
        </w:rPr>
        <w:t>פועלת</w:t>
      </w:r>
      <w:r w:rsidRPr="00BC45F1">
        <w:t xml:space="preserve"> </w:t>
      </w:r>
      <w:r w:rsidRPr="00BC45F1">
        <w:rPr>
          <w:rFonts w:hint="cs"/>
          <w:rtl/>
        </w:rPr>
        <w:t>רשות</w:t>
      </w:r>
      <w:r w:rsidRPr="003B385E">
        <w:rPr>
          <w:rFonts w:hint="cs"/>
          <w:rtl/>
        </w:rPr>
        <w:t xml:space="preserve"> </w:t>
      </w:r>
      <w:r>
        <w:rPr>
          <w:rFonts w:hint="cs"/>
          <w:rtl/>
        </w:rPr>
        <w:t xml:space="preserve">שוק ההון, ביטוח וחיסכון (להלן </w:t>
      </w:r>
      <w:r>
        <w:rPr>
          <w:rtl/>
        </w:rPr>
        <w:t>–</w:t>
      </w:r>
      <w:r>
        <w:rPr>
          <w:rFonts w:hint="cs"/>
          <w:rtl/>
        </w:rPr>
        <w:t xml:space="preserve"> </w:t>
      </w:r>
      <w:r w:rsidRPr="009B16D2">
        <w:rPr>
          <w:rFonts w:hint="eastAsia"/>
          <w:b/>
          <w:bCs/>
          <w:rtl/>
        </w:rPr>
        <w:t>הרשות</w:t>
      </w:r>
      <w:r w:rsidRPr="003B385E">
        <w:rPr>
          <w:rFonts w:hint="cs"/>
          <w:rtl/>
        </w:rPr>
        <w:t>)</w:t>
      </w:r>
      <w:r>
        <w:rPr>
          <w:rFonts w:hint="cs"/>
          <w:rtl/>
        </w:rPr>
        <w:t xml:space="preserve">, </w:t>
      </w:r>
      <w:r w:rsidRPr="00BC45F1">
        <w:rPr>
          <w:rFonts w:hint="cs"/>
          <w:rtl/>
        </w:rPr>
        <w:t>ובייחוד</w:t>
      </w:r>
      <w:r w:rsidRPr="00BC45F1">
        <w:t xml:space="preserve"> </w:t>
      </w:r>
      <w:r w:rsidRPr="00BC45F1">
        <w:rPr>
          <w:rFonts w:hint="cs"/>
          <w:rtl/>
        </w:rPr>
        <w:t>אלה</w:t>
      </w:r>
      <w:r w:rsidRPr="00BC45F1">
        <w:t xml:space="preserve"> </w:t>
      </w:r>
      <w:r w:rsidRPr="00BC45F1">
        <w:rPr>
          <w:rFonts w:hint="cs"/>
          <w:rtl/>
        </w:rPr>
        <w:t>הנוגעות</w:t>
      </w:r>
      <w:r w:rsidRPr="00BC45F1">
        <w:t xml:space="preserve"> </w:t>
      </w:r>
      <w:r w:rsidRPr="00BC45F1">
        <w:rPr>
          <w:rFonts w:hint="cs"/>
          <w:rtl/>
        </w:rPr>
        <w:t>לפניות</w:t>
      </w:r>
      <w:r w:rsidRPr="00BC45F1">
        <w:t xml:space="preserve"> </w:t>
      </w:r>
      <w:r w:rsidRPr="00BC45F1">
        <w:rPr>
          <w:rFonts w:hint="cs"/>
          <w:rtl/>
        </w:rPr>
        <w:t>הציבור</w:t>
      </w:r>
      <w:r w:rsidRPr="00BC45F1">
        <w:t xml:space="preserve"> </w:t>
      </w:r>
      <w:r w:rsidRPr="00BC45F1">
        <w:rPr>
          <w:rFonts w:hint="cs"/>
          <w:rtl/>
        </w:rPr>
        <w:t>ודרך</w:t>
      </w:r>
      <w:r w:rsidRPr="00BC45F1">
        <w:t xml:space="preserve"> </w:t>
      </w:r>
      <w:r w:rsidRPr="00BC45F1">
        <w:rPr>
          <w:rFonts w:hint="cs"/>
          <w:rtl/>
        </w:rPr>
        <w:t>הטיפול</w:t>
      </w:r>
      <w:r w:rsidRPr="00BC45F1">
        <w:t xml:space="preserve"> </w:t>
      </w:r>
      <w:r w:rsidRPr="00BC45F1">
        <w:rPr>
          <w:rFonts w:hint="cs"/>
          <w:rtl/>
        </w:rPr>
        <w:t>בהן</w:t>
      </w:r>
      <w:r>
        <w:rPr>
          <w:rFonts w:hint="cs"/>
          <w:rtl/>
        </w:rPr>
        <w:t xml:space="preserve"> הקיים ברשות. </w:t>
      </w:r>
    </w:p>
    <w:p w:rsidR="00901F0C" w:rsidRPr="005408A5" w:rsidRDefault="00901F0C" w:rsidP="00901F0C">
      <w:pPr>
        <w:pStyle w:val="a7"/>
        <w:numPr>
          <w:ilvl w:val="0"/>
          <w:numId w:val="8"/>
        </w:numPr>
        <w:rPr>
          <w:szCs w:val="20"/>
          <w:rtl/>
        </w:rPr>
      </w:pPr>
      <w:r w:rsidRPr="005408A5">
        <w:rPr>
          <w:rFonts w:eastAsia="Times New Roman" w:hint="eastAsia"/>
          <w:sz w:val="20"/>
          <w:rtl/>
          <w:lang w:eastAsia="he-IL"/>
        </w:rPr>
        <w:t>במענה</w:t>
      </w:r>
      <w:r>
        <w:rPr>
          <w:rFonts w:hint="cs"/>
          <w:rtl/>
        </w:rPr>
        <w:t xml:space="preserve"> לבקשתך לקבל מידע הנוגע לאישור תיקון התקנון של קרן הגמלאות, מצ"ב:</w:t>
      </w:r>
    </w:p>
    <w:p w:rsidR="00901F0C" w:rsidRDefault="00901F0C" w:rsidP="00901F0C">
      <w:pPr>
        <w:pStyle w:val="a7"/>
        <w:ind w:left="643"/>
        <w:rPr>
          <w:rFonts w:cs="Times New Roman"/>
        </w:rPr>
      </w:pPr>
      <w:r>
        <w:rPr>
          <w:rFonts w:hint="cs"/>
          <w:rtl/>
        </w:rPr>
        <w:t xml:space="preserve">א. עותק של תקנון זכויות - קרן גמלאות עורכי דין בישראל </w:t>
      </w:r>
      <w:r w:rsidRPr="00757EAC">
        <w:rPr>
          <w:rFonts w:hint="cs"/>
          <w:rtl/>
        </w:rPr>
        <w:t>לשנת 2013</w:t>
      </w:r>
      <w:r>
        <w:rPr>
          <w:rFonts w:hint="cs"/>
          <w:rtl/>
        </w:rPr>
        <w:t>.</w:t>
      </w:r>
      <w:r w:rsidRPr="003B385E">
        <w:rPr>
          <w:rFonts w:hint="cs"/>
          <w:rtl/>
        </w:rPr>
        <w:t xml:space="preserve"> </w:t>
      </w:r>
      <w:r>
        <w:rPr>
          <w:rFonts w:hint="cs"/>
          <w:rtl/>
        </w:rPr>
        <w:t xml:space="preserve">נבהיר כי זהו התקנון שבו קבועה ההוראה לפיה עמית שהעביר לקרן דמי גמולים חודשיים ורצופים לפחות עד חודש נובמבר 2004, יהיה זכאי להגיש בקשה להחזר תשלומים (וזאת בניגוד לנטען בבקשתך, לפיו בהתאם לשינוי מי שהפסיק את הפקדותיו בקרן לאחר שנת 2004, אינו זכאי לקבל את כספיו). </w:t>
      </w:r>
    </w:p>
    <w:p w:rsidR="00901F0C" w:rsidRDefault="00901F0C" w:rsidP="00901F0C">
      <w:pPr>
        <w:pStyle w:val="a7"/>
        <w:ind w:left="643"/>
        <w:rPr>
          <w:rtl/>
        </w:rPr>
      </w:pPr>
      <w:r>
        <w:rPr>
          <w:rFonts w:hint="cs"/>
          <w:rtl/>
        </w:rPr>
        <w:t>ב. אישור הממונה דאז על התיקונים שנעשו</w:t>
      </w:r>
      <w:r w:rsidRPr="003B385E">
        <w:rPr>
          <w:rFonts w:hint="cs"/>
          <w:rtl/>
        </w:rPr>
        <w:t>.</w:t>
      </w:r>
      <w:r>
        <w:rPr>
          <w:rFonts w:hint="cs"/>
          <w:rtl/>
        </w:rPr>
        <w:t xml:space="preserve"> </w:t>
      </w:r>
    </w:p>
    <w:p w:rsidR="00901F0C" w:rsidRDefault="00901F0C" w:rsidP="00901F0C">
      <w:pPr>
        <w:pStyle w:val="a7"/>
        <w:ind w:left="643"/>
        <w:rPr>
          <w:rtl/>
        </w:rPr>
      </w:pPr>
      <w:r>
        <w:rPr>
          <w:rFonts w:hint="cs"/>
          <w:rtl/>
        </w:rPr>
        <w:t xml:space="preserve">ג. עותק של תקנון הזכויות בין השנים 2013-2015 בו מופיעה </w:t>
      </w:r>
      <w:r w:rsidRPr="00B6395A">
        <w:rPr>
          <w:rFonts w:hint="cs"/>
          <w:rtl/>
        </w:rPr>
        <w:t xml:space="preserve">ההוראה </w:t>
      </w:r>
      <w:r w:rsidRPr="00B6395A">
        <w:rPr>
          <w:rtl/>
        </w:rPr>
        <w:t>–</w:t>
      </w:r>
      <w:r w:rsidRPr="00B6395A">
        <w:rPr>
          <w:rFonts w:hint="cs"/>
          <w:rtl/>
        </w:rPr>
        <w:t xml:space="preserve"> ניתן לאתר באתר הקרן בקישור שלהלן:</w:t>
      </w:r>
    </w:p>
    <w:p w:rsidR="00901F0C" w:rsidRDefault="009F07D0" w:rsidP="00901F0C">
      <w:pPr>
        <w:pStyle w:val="a7"/>
        <w:ind w:left="643"/>
        <w:rPr>
          <w:rtl/>
        </w:rPr>
      </w:pPr>
      <w:hyperlink r:id="rId8" w:history="1">
        <w:r w:rsidR="00901F0C" w:rsidRPr="002372BB">
          <w:rPr>
            <w:rStyle w:val="Hyperlink"/>
          </w:rPr>
          <w:t>https://www.hag.co.il/%D7%9E%D7%95%D7%A6%D7%A8%D7%99%D7%9D-%D7%A4%D7%99%D7%A0%D7%A0%D7%A1%D7%99%D7%99%D7%9D/%D7%A4%D7%A0%D7%A1%D7%99%D7%99%D7%AA-%D7%91%D7%A8%D7%99%D7%A8%D7%AA-%D7%9E%D7%97%D7%93%D7%9C/%D7%A7%D7%A8%D7%A0%D7%95%D7%AA-%D7%94%D7%A4%D7%A0%D7%A1%D7%99%D7%94-%D7%A9%D7%9C%D7%A0%D7%95/%D7%A7%D7%A8%D7%9F-%D7%92%D7%9E%D7%9C%D7%90%D7%95%D7%AA-%D7%A9%D7%9C-%D7%A2%D7%95%D7%A8%D7%9B%D7%99-%D7%94%D7%93%D7%99%D7%9F-%D7%91%D7%99%D7%A9%D7%A8%D7%90%D7%9C</w:t>
        </w:r>
        <w:r w:rsidR="00901F0C" w:rsidRPr="002372BB">
          <w:rPr>
            <w:rStyle w:val="Hyperlink"/>
            <w:rtl/>
          </w:rPr>
          <w:t>/</w:t>
        </w:r>
      </w:hyperlink>
      <w:r w:rsidR="00901F0C">
        <w:rPr>
          <w:rFonts w:hint="cs"/>
          <w:rtl/>
        </w:rPr>
        <w:t xml:space="preserve"> </w:t>
      </w:r>
    </w:p>
    <w:p w:rsidR="00901F0C" w:rsidRPr="005408A5" w:rsidRDefault="00901F0C" w:rsidP="00901F0C">
      <w:pPr>
        <w:pStyle w:val="a7"/>
        <w:numPr>
          <w:ilvl w:val="0"/>
          <w:numId w:val="8"/>
        </w:numPr>
        <w:rPr>
          <w:rtl/>
          <w:lang w:eastAsia="he-IL"/>
        </w:rPr>
      </w:pPr>
      <w:r>
        <w:rPr>
          <w:rFonts w:eastAsia="Times New Roman" w:hint="cs"/>
          <w:sz w:val="20"/>
          <w:rtl/>
          <w:lang w:eastAsia="he-IL"/>
        </w:rPr>
        <w:t xml:space="preserve">לגבי החלק השני של </w:t>
      </w:r>
      <w:r w:rsidRPr="005408A5">
        <w:rPr>
          <w:rFonts w:eastAsia="Times New Roman" w:hint="eastAsia"/>
          <w:sz w:val="20"/>
          <w:rtl/>
          <w:lang w:eastAsia="he-IL"/>
        </w:rPr>
        <w:t>בקשתך</w:t>
      </w:r>
      <w:r w:rsidRPr="005408A5">
        <w:rPr>
          <w:rFonts w:eastAsia="Times New Roman"/>
          <w:sz w:val="20"/>
          <w:rtl/>
          <w:lang w:eastAsia="he-IL"/>
        </w:rPr>
        <w:t xml:space="preserve"> </w:t>
      </w:r>
      <w:r w:rsidRPr="005408A5">
        <w:rPr>
          <w:rFonts w:eastAsia="Times New Roman" w:hint="eastAsia"/>
          <w:sz w:val="20"/>
          <w:rtl/>
          <w:lang w:eastAsia="he-IL"/>
        </w:rPr>
        <w:t>לקבלת</w:t>
      </w:r>
      <w:r w:rsidRPr="005408A5">
        <w:rPr>
          <w:rFonts w:eastAsia="Times New Roman"/>
          <w:sz w:val="20"/>
          <w:rtl/>
          <w:lang w:eastAsia="he-IL"/>
        </w:rPr>
        <w:t xml:space="preserve"> ההוראות המנהליות לפיהן פועלת הרשות, ובי</w:t>
      </w:r>
      <w:r w:rsidRPr="005408A5">
        <w:rPr>
          <w:rFonts w:eastAsia="Times New Roman" w:hint="eastAsia"/>
          <w:sz w:val="20"/>
          <w:rtl/>
          <w:lang w:eastAsia="he-IL"/>
        </w:rPr>
        <w:t>יחוד</w:t>
      </w:r>
      <w:r w:rsidRPr="005408A5">
        <w:rPr>
          <w:rFonts w:eastAsia="Times New Roman"/>
          <w:sz w:val="20"/>
          <w:rtl/>
          <w:lang w:eastAsia="he-IL"/>
        </w:rPr>
        <w:t xml:space="preserve"> </w:t>
      </w:r>
      <w:r w:rsidRPr="005408A5">
        <w:rPr>
          <w:rFonts w:eastAsia="Times New Roman" w:hint="eastAsia"/>
          <w:sz w:val="20"/>
          <w:rtl/>
          <w:lang w:eastAsia="he-IL"/>
        </w:rPr>
        <w:t>אלה</w:t>
      </w:r>
      <w:r w:rsidRPr="005408A5">
        <w:rPr>
          <w:rFonts w:eastAsia="Times New Roman"/>
          <w:sz w:val="20"/>
          <w:rtl/>
          <w:lang w:eastAsia="he-IL"/>
        </w:rPr>
        <w:t xml:space="preserve"> </w:t>
      </w:r>
      <w:r w:rsidRPr="005408A5">
        <w:rPr>
          <w:rFonts w:eastAsia="Times New Roman" w:hint="eastAsia"/>
          <w:sz w:val="20"/>
          <w:rtl/>
          <w:lang w:eastAsia="he-IL"/>
        </w:rPr>
        <w:t>הנוגעות</w:t>
      </w:r>
      <w:r w:rsidRPr="005408A5">
        <w:rPr>
          <w:rFonts w:eastAsia="Times New Roman"/>
          <w:sz w:val="20"/>
          <w:rtl/>
          <w:lang w:eastAsia="he-IL"/>
        </w:rPr>
        <w:t xml:space="preserve"> </w:t>
      </w:r>
      <w:r w:rsidRPr="005408A5">
        <w:rPr>
          <w:rFonts w:eastAsia="Times New Roman" w:hint="eastAsia"/>
          <w:sz w:val="20"/>
          <w:rtl/>
          <w:lang w:eastAsia="he-IL"/>
        </w:rPr>
        <w:t>לפניות</w:t>
      </w:r>
      <w:r w:rsidRPr="005408A5">
        <w:rPr>
          <w:rFonts w:eastAsia="Times New Roman"/>
          <w:sz w:val="20"/>
          <w:rtl/>
          <w:lang w:eastAsia="he-IL"/>
        </w:rPr>
        <w:t xml:space="preserve"> </w:t>
      </w:r>
      <w:r w:rsidRPr="005408A5">
        <w:rPr>
          <w:rFonts w:eastAsia="Times New Roman" w:hint="eastAsia"/>
          <w:sz w:val="20"/>
          <w:rtl/>
          <w:lang w:eastAsia="he-IL"/>
        </w:rPr>
        <w:t>ציבור</w:t>
      </w:r>
      <w:r w:rsidRPr="005408A5">
        <w:rPr>
          <w:rFonts w:eastAsia="Times New Roman"/>
          <w:sz w:val="20"/>
          <w:rtl/>
          <w:lang w:eastAsia="he-IL"/>
        </w:rPr>
        <w:t xml:space="preserve"> </w:t>
      </w:r>
      <w:r w:rsidRPr="005408A5">
        <w:rPr>
          <w:rFonts w:eastAsia="Times New Roman" w:hint="eastAsia"/>
          <w:sz w:val="20"/>
          <w:rtl/>
          <w:lang w:eastAsia="he-IL"/>
        </w:rPr>
        <w:t>ודרך</w:t>
      </w:r>
      <w:r w:rsidRPr="005408A5">
        <w:rPr>
          <w:rFonts w:eastAsia="Times New Roman"/>
          <w:sz w:val="20"/>
          <w:rtl/>
          <w:lang w:eastAsia="he-IL"/>
        </w:rPr>
        <w:t xml:space="preserve"> </w:t>
      </w:r>
      <w:r w:rsidRPr="005408A5">
        <w:rPr>
          <w:rFonts w:eastAsia="Times New Roman" w:hint="eastAsia"/>
          <w:sz w:val="20"/>
          <w:rtl/>
          <w:lang w:eastAsia="he-IL"/>
        </w:rPr>
        <w:t>הטיפול</w:t>
      </w:r>
      <w:r w:rsidRPr="005408A5">
        <w:rPr>
          <w:rFonts w:eastAsia="Times New Roman"/>
          <w:sz w:val="20"/>
          <w:rtl/>
          <w:lang w:eastAsia="he-IL"/>
        </w:rPr>
        <w:t xml:space="preserve"> </w:t>
      </w:r>
      <w:r w:rsidRPr="005408A5">
        <w:rPr>
          <w:rFonts w:eastAsia="Times New Roman" w:hint="eastAsia"/>
          <w:sz w:val="20"/>
          <w:rtl/>
          <w:lang w:eastAsia="he-IL"/>
        </w:rPr>
        <w:t>בהן</w:t>
      </w:r>
      <w:r w:rsidRPr="005408A5">
        <w:rPr>
          <w:rFonts w:eastAsia="Times New Roman"/>
          <w:sz w:val="20"/>
          <w:rtl/>
          <w:lang w:eastAsia="he-IL"/>
        </w:rPr>
        <w:t>,</w:t>
      </w:r>
      <w:r>
        <w:rPr>
          <w:rFonts w:eastAsia="Times New Roman" w:hint="cs"/>
          <w:sz w:val="20"/>
          <w:rtl/>
          <w:lang w:eastAsia="he-IL"/>
        </w:rPr>
        <w:t xml:space="preserve"> אשיבך כי</w:t>
      </w:r>
      <w:r w:rsidRPr="005408A5">
        <w:rPr>
          <w:rFonts w:eastAsia="Times New Roman"/>
          <w:sz w:val="20"/>
          <w:rtl/>
          <w:lang w:eastAsia="he-IL"/>
        </w:rPr>
        <w:t xml:space="preserve"> </w:t>
      </w:r>
      <w:r>
        <w:rPr>
          <w:rFonts w:eastAsia="Times New Roman" w:hint="cs"/>
          <w:sz w:val="20"/>
          <w:rtl/>
          <w:lang w:eastAsia="he-IL"/>
        </w:rPr>
        <w:t xml:space="preserve">הרשות היא גוף </w:t>
      </w:r>
      <w:proofErr w:type="spellStart"/>
      <w:r>
        <w:rPr>
          <w:rFonts w:eastAsia="Times New Roman" w:hint="cs"/>
          <w:sz w:val="20"/>
          <w:rtl/>
          <w:lang w:eastAsia="he-IL"/>
        </w:rPr>
        <w:t>מינהלי</w:t>
      </w:r>
      <w:proofErr w:type="spellEnd"/>
      <w:r>
        <w:rPr>
          <w:rFonts w:eastAsia="Times New Roman" w:hint="cs"/>
          <w:sz w:val="20"/>
          <w:rtl/>
          <w:lang w:eastAsia="he-IL"/>
        </w:rPr>
        <w:t xml:space="preserve"> הכפוף לכללי המשפט </w:t>
      </w:r>
      <w:proofErr w:type="spellStart"/>
      <w:r>
        <w:rPr>
          <w:rFonts w:eastAsia="Times New Roman" w:hint="cs"/>
          <w:sz w:val="20"/>
          <w:rtl/>
          <w:lang w:eastAsia="he-IL"/>
        </w:rPr>
        <w:t>המינהלי</w:t>
      </w:r>
      <w:proofErr w:type="spellEnd"/>
      <w:r>
        <w:rPr>
          <w:rFonts w:eastAsia="Times New Roman" w:hint="cs"/>
          <w:sz w:val="20"/>
          <w:rtl/>
          <w:lang w:eastAsia="he-IL"/>
        </w:rPr>
        <w:t xml:space="preserve"> ולהוראות היועץ המשפטי לממשלה המתפרסמות מעת לעת. </w:t>
      </w:r>
    </w:p>
    <w:p w:rsidR="00901F0C" w:rsidRDefault="00901F0C" w:rsidP="00901F0C">
      <w:pPr>
        <w:pStyle w:val="a7"/>
        <w:numPr>
          <w:ilvl w:val="0"/>
          <w:numId w:val="8"/>
        </w:numPr>
      </w:pPr>
      <w:r>
        <w:rPr>
          <w:rFonts w:hint="cs"/>
          <w:rtl/>
        </w:rPr>
        <w:t>לגבי ההוראות הנוגעות לפניות ציבור ודרך הטיפול בהן, אני מפנה אותך ל</w:t>
      </w:r>
      <w:r w:rsidRPr="00BA7A4B">
        <w:rPr>
          <w:rtl/>
        </w:rPr>
        <w:t xml:space="preserve">אתר </w:t>
      </w:r>
      <w:r>
        <w:rPr>
          <w:rFonts w:hint="cs"/>
          <w:rtl/>
        </w:rPr>
        <w:t>ה</w:t>
      </w:r>
      <w:r w:rsidRPr="00BA7A4B">
        <w:rPr>
          <w:rtl/>
        </w:rPr>
        <w:t>רשות</w:t>
      </w:r>
      <w:r>
        <w:rPr>
          <w:rFonts w:hint="cs"/>
          <w:rtl/>
        </w:rPr>
        <w:t xml:space="preserve"> המפרט את ההוראות</w:t>
      </w:r>
      <w:r w:rsidRPr="00BA7A4B">
        <w:rPr>
          <w:rtl/>
        </w:rPr>
        <w:t xml:space="preserve"> </w:t>
      </w:r>
      <w:r>
        <w:rPr>
          <w:rFonts w:hint="cs"/>
          <w:rtl/>
        </w:rPr>
        <w:t>בקישור הבא:</w:t>
      </w:r>
      <w:r w:rsidRPr="00BC45F1">
        <w:rPr>
          <w:rFonts w:hint="cs"/>
          <w:u w:val="single"/>
          <w:rtl/>
        </w:rPr>
        <w:t xml:space="preserve"> </w:t>
      </w:r>
      <w:hyperlink r:id="rId9" w:tooltip="קישור להוראות המנהליות שלפיהן מתנהלת רשות שוק ההון ביטוח וחיסכון בנוגע לפניות ציבור" w:history="1">
        <w:r w:rsidRPr="00A077B0">
          <w:rPr>
            <w:rStyle w:val="Hyperlink"/>
          </w:rPr>
          <w:t>http://mof.gov.il/hon/Consumer-Information/Pages/Public-Inquiries.aspx</w:t>
        </w:r>
      </w:hyperlink>
    </w:p>
    <w:p w:rsidR="00901F0C" w:rsidRDefault="00901F0C" w:rsidP="00901F0C">
      <w:pPr>
        <w:pStyle w:val="a7"/>
        <w:numPr>
          <w:ilvl w:val="0"/>
          <w:numId w:val="8"/>
        </w:numPr>
        <w:rPr>
          <w:rtl/>
        </w:rPr>
      </w:pPr>
      <w:r>
        <w:rPr>
          <w:rFonts w:hint="cs"/>
          <w:rtl/>
        </w:rPr>
        <w:lastRenderedPageBreak/>
        <w:t>המידע המפורט באתר הרשות נוגע להליך בירור פניות הציבור, כפי שהוא מתבצע הלכה למעשה והוא המחייב את הרשות. לפיכך אנו דוחים את בקשתך לעניין זה, בהתאם להוראות סעיף 8(4) לחוק חופש המידע.</w:t>
      </w:r>
    </w:p>
    <w:p w:rsidR="00901F0C" w:rsidRPr="0040435D" w:rsidRDefault="00901F0C" w:rsidP="00901F0C">
      <w:pPr>
        <w:pStyle w:val="a7"/>
        <w:numPr>
          <w:ilvl w:val="0"/>
          <w:numId w:val="8"/>
        </w:numPr>
      </w:pPr>
      <w:r w:rsidRPr="001F4E32">
        <w:rPr>
          <w:rtl/>
        </w:rPr>
        <w:t xml:space="preserve">בהתאם </w:t>
      </w:r>
      <w:r w:rsidRPr="0077510D">
        <w:rPr>
          <w:rFonts w:ascii="David" w:hAnsi="David"/>
          <w:rtl/>
        </w:rPr>
        <w:t>לסעיף</w:t>
      </w:r>
      <w:r w:rsidRPr="0077510D">
        <w:rPr>
          <w:rFonts w:ascii="David" w:hAnsi="David" w:hint="cs"/>
          <w:rtl/>
        </w:rPr>
        <w:t xml:space="preserve"> 7(ו)</w:t>
      </w:r>
      <w:r w:rsidRPr="0077510D">
        <w:rPr>
          <w:rFonts w:ascii="David" w:hAnsi="David"/>
          <w:rtl/>
        </w:rPr>
        <w:t xml:space="preserve"> לחוק, הריני להודיעך על זכותך לעתור נגד החלטה זו לבית המשפט לעניינים מנהליים בירושלים</w:t>
      </w:r>
      <w:r w:rsidRPr="0077510D">
        <w:rPr>
          <w:rFonts w:ascii="David" w:hAnsi="David" w:hint="cs"/>
          <w:rtl/>
        </w:rPr>
        <w:t>.</w:t>
      </w:r>
    </w:p>
    <w:p w:rsidR="00901F0C" w:rsidRDefault="00901F0C" w:rsidP="00901F0C">
      <w:pPr>
        <w:pStyle w:val="a7"/>
        <w:rPr>
          <w:rtl/>
        </w:rPr>
      </w:pPr>
    </w:p>
    <w:p w:rsidR="00901F0C" w:rsidRDefault="00901F0C" w:rsidP="00901F0C">
      <w:pPr>
        <w:pStyle w:val="a7"/>
        <w:ind w:left="2880" w:firstLine="720"/>
        <w:jc w:val="center"/>
        <w:rPr>
          <w:rtl/>
        </w:rPr>
      </w:pPr>
      <w:r>
        <w:rPr>
          <w:rFonts w:hint="cs"/>
          <w:rtl/>
        </w:rPr>
        <w:t xml:space="preserve">בכבוד רב, </w:t>
      </w:r>
    </w:p>
    <w:p w:rsidR="00901F0C" w:rsidRDefault="00901F0C" w:rsidP="00901F0C">
      <w:pPr>
        <w:pStyle w:val="a7"/>
        <w:ind w:left="3600"/>
        <w:jc w:val="center"/>
        <w:rPr>
          <w:rtl/>
        </w:rPr>
      </w:pPr>
      <w:r w:rsidRPr="00CE5463">
        <w:rPr>
          <w:noProof/>
        </w:rPr>
        <w:drawing>
          <wp:inline distT="0" distB="0" distL="0" distR="0" wp14:anchorId="68FEA152" wp14:editId="0B7FB9E2">
            <wp:extent cx="711200" cy="284480"/>
            <wp:effectExtent l="0" t="0" r="0" b="1270"/>
            <wp:docPr id="3" name="תמונה 3" descr="sign_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n_14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41998" cy="296799"/>
                    </a:xfrm>
                    <a:prstGeom prst="rect">
                      <a:avLst/>
                    </a:prstGeom>
                    <a:noFill/>
                    <a:ln>
                      <a:noFill/>
                    </a:ln>
                  </pic:spPr>
                </pic:pic>
              </a:graphicData>
            </a:graphic>
          </wp:inline>
        </w:drawing>
      </w:r>
    </w:p>
    <w:p w:rsidR="00901F0C" w:rsidRPr="00CE5463" w:rsidRDefault="00901F0C" w:rsidP="00901F0C">
      <w:pPr>
        <w:pStyle w:val="a7"/>
        <w:ind w:left="2880" w:firstLine="720"/>
        <w:jc w:val="center"/>
        <w:rPr>
          <w:rtl/>
        </w:rPr>
      </w:pPr>
      <w:r w:rsidRPr="00CE5463">
        <w:rPr>
          <w:rFonts w:hint="cs"/>
          <w:rtl/>
        </w:rPr>
        <w:t>ליאת שטרק, עו"ד</w:t>
      </w:r>
    </w:p>
    <w:p w:rsidR="00E34D1B" w:rsidRDefault="00901F0C" w:rsidP="00F27A48">
      <w:pPr>
        <w:pStyle w:val="a7"/>
        <w:ind w:left="2880" w:firstLine="720"/>
        <w:jc w:val="center"/>
        <w:rPr>
          <w:szCs w:val="20"/>
          <w:rtl/>
        </w:rPr>
      </w:pPr>
      <w:r w:rsidRPr="00CE5463">
        <w:rPr>
          <w:rFonts w:hint="cs"/>
          <w:rtl/>
        </w:rPr>
        <w:t xml:space="preserve">ממונה על </w:t>
      </w:r>
      <w:r>
        <w:rPr>
          <w:rFonts w:hint="cs"/>
          <w:rtl/>
        </w:rPr>
        <w:t>העמדת מידע לפי חוק חופש המידע</w:t>
      </w:r>
    </w:p>
    <w:p w:rsidR="00E34D1B" w:rsidRPr="0007311F" w:rsidRDefault="00E34D1B" w:rsidP="009435A5">
      <w:pPr>
        <w:spacing w:line="25" w:lineRule="atLeast"/>
        <w:jc w:val="both"/>
        <w:rPr>
          <w:szCs w:val="20"/>
          <w:rtl/>
        </w:rPr>
      </w:pPr>
    </w:p>
    <w:sectPr w:rsidR="00E34D1B" w:rsidRPr="0007311F" w:rsidSect="002973B2">
      <w:headerReference w:type="default" r:id="rId11"/>
      <w:footerReference w:type="even" r:id="rId12"/>
      <w:footerReference w:type="default" r:id="rId13"/>
      <w:headerReference w:type="first" r:id="rId14"/>
      <w:footerReference w:type="first" r:id="rId15"/>
      <w:endnotePr>
        <w:numFmt w:val="lowerLetter"/>
      </w:endnotePr>
      <w:pgSz w:w="11906" w:h="16838"/>
      <w:pgMar w:top="1418" w:right="1134" w:bottom="1418" w:left="1134" w:header="284" w:footer="0" w:gutter="0"/>
      <w:cols w:space="720"/>
      <w:titlePg/>
      <w:bidi/>
      <w:rtlGutter/>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07D0" w:rsidRDefault="009F07D0">
      <w:r>
        <w:separator/>
      </w:r>
    </w:p>
  </w:endnote>
  <w:endnote w:type="continuationSeparator" w:id="0">
    <w:p w:rsidR="009F07D0" w:rsidRDefault="009F0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67FB" w:rsidRDefault="009435A5">
    <w:pPr>
      <w:pStyle w:val="aa"/>
      <w:framePr w:wrap="around" w:vAnchor="text" w:hAnchor="margin" w:xAlign="center" w:y="1"/>
      <w:rPr>
        <w:rStyle w:val="ac"/>
        <w:rtl/>
      </w:rPr>
    </w:pPr>
    <w:r>
      <w:rPr>
        <w:rStyle w:val="ac"/>
        <w:rtl/>
      </w:rPr>
      <w:fldChar w:fldCharType="begin"/>
    </w:r>
    <w:r>
      <w:rPr>
        <w:rStyle w:val="ac"/>
      </w:rPr>
      <w:instrText xml:space="preserve">PAGE  </w:instrText>
    </w:r>
    <w:r>
      <w:rPr>
        <w:rStyle w:val="ac"/>
        <w:rtl/>
      </w:rPr>
      <w:fldChar w:fldCharType="end"/>
    </w:r>
  </w:p>
  <w:p w:rsidR="00BE67FB" w:rsidRDefault="009F07D0">
    <w:pPr>
      <w:pStyle w:val="aa"/>
      <w:rPr>
        <w:rtl/>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3B2" w:rsidRPr="00060494" w:rsidRDefault="002973B2" w:rsidP="002973B2">
    <w:pPr>
      <w:pStyle w:val="aa"/>
      <w:pBdr>
        <w:top w:val="single" w:sz="4" w:space="1" w:color="auto"/>
      </w:pBdr>
      <w:tabs>
        <w:tab w:val="clear" w:pos="4153"/>
        <w:tab w:val="clear" w:pos="8306"/>
        <w:tab w:val="center" w:pos="4780"/>
        <w:tab w:val="right" w:pos="9666"/>
      </w:tabs>
      <w:spacing w:line="480" w:lineRule="auto"/>
      <w:jc w:val="both"/>
      <w:rPr>
        <w:rFonts w:cs="Times New Roman"/>
        <w:b/>
        <w:bCs/>
        <w:sz w:val="24"/>
        <w:u w:val="single"/>
        <w:rtl/>
      </w:rPr>
    </w:pPr>
    <w:r w:rsidRPr="00060494">
      <w:rPr>
        <w:rFonts w:hint="cs"/>
        <w:b/>
        <w:bCs/>
        <w:rtl/>
      </w:rPr>
      <w:t xml:space="preserve">רח' עם ועולמו 4 ירושלים </w:t>
    </w:r>
    <w:r w:rsidRPr="00060494">
      <w:rPr>
        <w:b/>
        <w:bCs/>
        <w:rtl/>
      </w:rPr>
      <w:t>9546304</w:t>
    </w:r>
    <w:r w:rsidRPr="00060494">
      <w:rPr>
        <w:rFonts w:hint="cs"/>
        <w:b/>
        <w:bCs/>
        <w:rtl/>
      </w:rPr>
      <w:t xml:space="preserve"> טל': 02-5317248 פקס': 02-5695342 </w:t>
    </w:r>
    <w:r w:rsidRPr="00060494">
      <w:rPr>
        <w:b/>
        <w:bCs/>
        <w:rtl/>
      </w:rPr>
      <w:br/>
    </w:r>
    <w:r>
      <w:rPr>
        <w:b/>
        <w:bCs/>
      </w:rPr>
      <w:tab/>
    </w:r>
    <w:hyperlink r:id="rId1" w:history="1">
      <w:r w:rsidRPr="00435323">
        <w:rPr>
          <w:rStyle w:val="Hyperlink"/>
          <w:b/>
          <w:bCs/>
        </w:rPr>
        <w:t>www.mof.gov.il/hon</w:t>
      </w:r>
    </w:hyperlink>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3B2" w:rsidRPr="00060494" w:rsidRDefault="002973B2" w:rsidP="002973B2">
    <w:pPr>
      <w:pStyle w:val="aa"/>
      <w:pBdr>
        <w:top w:val="single" w:sz="4" w:space="1" w:color="auto"/>
      </w:pBdr>
      <w:tabs>
        <w:tab w:val="clear" w:pos="4153"/>
        <w:tab w:val="clear" w:pos="8306"/>
        <w:tab w:val="center" w:pos="4780"/>
        <w:tab w:val="right" w:pos="9666"/>
      </w:tabs>
      <w:spacing w:line="480" w:lineRule="auto"/>
      <w:jc w:val="both"/>
      <w:rPr>
        <w:rFonts w:cs="Times New Roman"/>
        <w:b/>
        <w:bCs/>
        <w:sz w:val="24"/>
        <w:u w:val="single"/>
      </w:rPr>
    </w:pPr>
    <w:r w:rsidRPr="00060494">
      <w:rPr>
        <w:rFonts w:hint="cs"/>
        <w:b/>
        <w:bCs/>
        <w:rtl/>
      </w:rPr>
      <w:t xml:space="preserve">רח' עם ועולמו 4 ירושלים </w:t>
    </w:r>
    <w:r w:rsidRPr="00060494">
      <w:rPr>
        <w:b/>
        <w:bCs/>
        <w:rtl/>
      </w:rPr>
      <w:t>9546304</w:t>
    </w:r>
    <w:r w:rsidRPr="00060494">
      <w:rPr>
        <w:rFonts w:hint="cs"/>
        <w:b/>
        <w:bCs/>
        <w:rtl/>
      </w:rPr>
      <w:t xml:space="preserve"> טל': 02-5317248 פקס': 02-5695342 </w:t>
    </w:r>
    <w:r w:rsidRPr="00060494">
      <w:rPr>
        <w:b/>
        <w:bCs/>
        <w:rtl/>
      </w:rPr>
      <w:br/>
    </w:r>
    <w:r>
      <w:rPr>
        <w:b/>
        <w:bCs/>
      </w:rPr>
      <w:tab/>
    </w:r>
    <w:hyperlink r:id="rId1" w:tooltip="קישור לאתר רשות שוק ההון ביטוח וחיסכון" w:history="1">
      <w:r w:rsidRPr="00435323">
        <w:rPr>
          <w:rStyle w:val="Hyperlink"/>
          <w:b/>
          <w:bCs/>
        </w:rPr>
        <w:t>www.mof.gov.il/hon</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07D0" w:rsidRDefault="009F07D0">
      <w:r>
        <w:separator/>
      </w:r>
    </w:p>
  </w:footnote>
  <w:footnote w:type="continuationSeparator" w:id="0">
    <w:p w:rsidR="009F07D0" w:rsidRDefault="009F0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869651144"/>
      <w:docPartObj>
        <w:docPartGallery w:val="Page Numbers (Top of Page)"/>
        <w:docPartUnique/>
      </w:docPartObj>
    </w:sdtPr>
    <w:sdtEndPr>
      <w:rPr>
        <w:cs/>
      </w:rPr>
    </w:sdtEndPr>
    <w:sdtContent>
      <w:p w:rsidR="0007311F" w:rsidRDefault="009435A5">
        <w:pPr>
          <w:pStyle w:val="a8"/>
          <w:jc w:val="center"/>
          <w:rPr>
            <w:rtl/>
            <w:cs/>
          </w:rPr>
        </w:pPr>
        <w:r>
          <w:fldChar w:fldCharType="begin"/>
        </w:r>
        <w:r>
          <w:rPr>
            <w:rtl/>
            <w:cs/>
          </w:rPr>
          <w:instrText>PAGE   \* MERGEFORMAT</w:instrText>
        </w:r>
        <w:r>
          <w:fldChar w:fldCharType="separate"/>
        </w:r>
        <w:r w:rsidR="00F27A48" w:rsidRPr="00F27A48">
          <w:rPr>
            <w:noProof/>
            <w:rtl/>
            <w:lang w:val="he-IL"/>
          </w:rPr>
          <w:t>2</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3B2" w:rsidRDefault="00233FC8" w:rsidP="002973B2">
    <w:pPr>
      <w:pStyle w:val="a8"/>
      <w:jc w:val="center"/>
      <w:rPr>
        <w:b/>
        <w:bCs/>
        <w:szCs w:val="36"/>
        <w:rtl/>
      </w:rPr>
    </w:pPr>
    <w:r w:rsidRPr="00233FC8">
      <w:rPr>
        <w:b/>
        <w:bCs/>
        <w:noProof/>
        <w:szCs w:val="36"/>
        <w:lang w:eastAsia="en-US"/>
      </w:rPr>
      <w:drawing>
        <wp:anchor distT="0" distB="0" distL="114300" distR="114300" simplePos="0" relativeHeight="251659264" behindDoc="0" locked="0" layoutInCell="1" allowOverlap="1">
          <wp:simplePos x="0" y="0"/>
          <wp:positionH relativeFrom="page">
            <wp:posOffset>539750</wp:posOffset>
          </wp:positionH>
          <wp:positionV relativeFrom="page">
            <wp:posOffset>269875</wp:posOffset>
          </wp:positionV>
          <wp:extent cx="913765" cy="747395"/>
          <wp:effectExtent l="0" t="0" r="635" b="0"/>
          <wp:wrapNone/>
          <wp:docPr id="1" name="Samlil70" title="סמליל 70 ל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70לבן שקוף גדול.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3765" cy="747395"/>
                  </a:xfrm>
                  <a:prstGeom prst="rect">
                    <a:avLst/>
                  </a:prstGeom>
                </pic:spPr>
              </pic:pic>
            </a:graphicData>
          </a:graphic>
        </wp:anchor>
      </w:drawing>
    </w:r>
    <w:r w:rsidR="002973B2">
      <w:rPr>
        <w:rFonts w:hint="cs"/>
        <w:b/>
        <w:bCs/>
        <w:noProof/>
        <w:szCs w:val="36"/>
        <w:lang w:eastAsia="en-US"/>
      </w:rPr>
      <w:drawing>
        <wp:inline distT="0" distB="0" distL="0" distR="0" wp14:anchorId="53FCFEC8" wp14:editId="2BC72922">
          <wp:extent cx="563056" cy="446228"/>
          <wp:effectExtent l="0" t="0" r="0" b="0"/>
          <wp:docPr id="9" name="תמונה 9" descr="C:\Users\Shabed\Desktop\לוגו-ללא-טקסט.png" title="לוגו רשות שוק ההון ביטוח וחיסכו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abed\Desktop\לוגו-ללא-טקסט.png"/>
                  <pic:cNvPicPr>
                    <a:picLocks noChangeAspect="1" noChangeArrowheads="1"/>
                  </pic:cNvPicPr>
                </pic:nvPicPr>
                <pic:blipFill rotWithShape="1">
                  <a:blip r:embed="rId2">
                    <a:extLst>
                      <a:ext uri="{28A0092B-C50C-407E-A947-70E740481C1C}">
                        <a14:useLocalDpi xmlns:a14="http://schemas.microsoft.com/office/drawing/2010/main" val="0"/>
                      </a:ext>
                    </a:extLst>
                  </a:blip>
                  <a:srcRect l="12954" t="23133" r="15750" b="20365"/>
                  <a:stretch/>
                </pic:blipFill>
                <pic:spPr bwMode="auto">
                  <a:xfrm>
                    <a:off x="0" y="0"/>
                    <a:ext cx="564078" cy="447038"/>
                  </a:xfrm>
                  <a:prstGeom prst="rect">
                    <a:avLst/>
                  </a:prstGeom>
                  <a:noFill/>
                  <a:ln>
                    <a:noFill/>
                  </a:ln>
                  <a:extLst>
                    <a:ext uri="{53640926-AAD7-44D8-BBD7-CCE9431645EC}">
                      <a14:shadowObscured xmlns:a14="http://schemas.microsoft.com/office/drawing/2010/main"/>
                    </a:ext>
                  </a:extLst>
                </pic:spPr>
              </pic:pic>
            </a:graphicData>
          </a:graphic>
        </wp:inline>
      </w:drawing>
    </w:r>
  </w:p>
  <w:p w:rsidR="00276B14" w:rsidRDefault="00276B14" w:rsidP="002973B2">
    <w:pPr>
      <w:pStyle w:val="a8"/>
      <w:pBdr>
        <w:bottom w:val="single" w:sz="12" w:space="1" w:color="auto"/>
      </w:pBdr>
      <w:jc w:val="center"/>
      <w:rPr>
        <w:b/>
        <w:bCs/>
        <w:szCs w:val="32"/>
        <w:rtl/>
      </w:rPr>
    </w:pPr>
    <w:r>
      <w:rPr>
        <w:rFonts w:hint="cs"/>
        <w:b/>
        <w:bCs/>
        <w:szCs w:val="32"/>
        <w:rtl/>
      </w:rPr>
      <w:t>מדינת ישראל</w:t>
    </w:r>
  </w:p>
  <w:p w:rsidR="002973B2" w:rsidRDefault="002973B2" w:rsidP="002973B2">
    <w:pPr>
      <w:pStyle w:val="a8"/>
      <w:pBdr>
        <w:bottom w:val="single" w:sz="12" w:space="1" w:color="auto"/>
      </w:pBdr>
      <w:jc w:val="center"/>
      <w:rPr>
        <w:b/>
        <w:bCs/>
        <w:szCs w:val="32"/>
        <w:rtl/>
      </w:rPr>
    </w:pPr>
    <w:r>
      <w:rPr>
        <w:rFonts w:hint="cs"/>
        <w:b/>
        <w:bCs/>
        <w:szCs w:val="32"/>
        <w:rtl/>
      </w:rPr>
      <w:t>רשות</w:t>
    </w:r>
    <w:r>
      <w:rPr>
        <w:b/>
        <w:bCs/>
        <w:szCs w:val="32"/>
        <w:rtl/>
      </w:rPr>
      <w:t xml:space="preserve"> שוק ההון, ביטוח וחיסכון</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B82797"/>
    <w:multiLevelType w:val="multilevel"/>
    <w:tmpl w:val="CB2CFB36"/>
    <w:numStyleLink w:val="-"/>
  </w:abstractNum>
  <w:abstractNum w:abstractNumId="1"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 w15:restartNumberingAfterBreak="0">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636075"/>
    <w:multiLevelType w:val="hybridMultilevel"/>
    <w:tmpl w:val="7060A0B0"/>
    <w:lvl w:ilvl="0" w:tplc="FD6EFCB6">
      <w:start w:val="1"/>
      <w:numFmt w:val="decimal"/>
      <w:lvlText w:val="%1."/>
      <w:lvlJc w:val="left"/>
      <w:pPr>
        <w:ind w:left="643" w:hanging="360"/>
      </w:pPr>
      <w:rPr>
        <w:rFonts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690D37"/>
    <w:multiLevelType w:val="multilevel"/>
    <w:tmpl w:val="2C7611E6"/>
    <w:numStyleLink w:val="-0"/>
  </w:abstractNum>
  <w:abstractNum w:abstractNumId="5" w15:restartNumberingAfterBreak="0">
    <w:nsid w:val="477D4CEE"/>
    <w:multiLevelType w:val="multilevel"/>
    <w:tmpl w:val="2C7611E6"/>
    <w:numStyleLink w:val="-0"/>
  </w:abstractNum>
  <w:abstractNum w:abstractNumId="6" w15:restartNumberingAfterBreak="0">
    <w:nsid w:val="52C63965"/>
    <w:multiLevelType w:val="multilevel"/>
    <w:tmpl w:val="CB2CFB36"/>
    <w:numStyleLink w:val="-"/>
  </w:abstractNum>
  <w:abstractNum w:abstractNumId="7" w15:restartNumberingAfterBreak="0">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num w:numId="1">
    <w:abstractNumId w:val="4"/>
  </w:num>
  <w:num w:numId="2">
    <w:abstractNumId w:val="7"/>
  </w:num>
  <w:num w:numId="3">
    <w:abstractNumId w:val="1"/>
  </w:num>
  <w:num w:numId="4">
    <w:abstractNumId w:val="2"/>
  </w:num>
  <w:num w:numId="5">
    <w:abstractNumId w:val="0"/>
  </w:num>
  <w:num w:numId="6">
    <w:abstractNumId w:val="5"/>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5A5"/>
    <w:rsid w:val="00014182"/>
    <w:rsid w:val="00047C97"/>
    <w:rsid w:val="000520B7"/>
    <w:rsid w:val="000568CE"/>
    <w:rsid w:val="00066383"/>
    <w:rsid w:val="00093B9D"/>
    <w:rsid w:val="000C04AE"/>
    <w:rsid w:val="000E6098"/>
    <w:rsid w:val="000E632C"/>
    <w:rsid w:val="000F51D2"/>
    <w:rsid w:val="0010326C"/>
    <w:rsid w:val="001611C6"/>
    <w:rsid w:val="00164B30"/>
    <w:rsid w:val="0018292D"/>
    <w:rsid w:val="001A7C42"/>
    <w:rsid w:val="001C4F6D"/>
    <w:rsid w:val="001D55DD"/>
    <w:rsid w:val="001E548A"/>
    <w:rsid w:val="00233FC8"/>
    <w:rsid w:val="00275887"/>
    <w:rsid w:val="00276B14"/>
    <w:rsid w:val="002973B2"/>
    <w:rsid w:val="002A54A3"/>
    <w:rsid w:val="002A7FEA"/>
    <w:rsid w:val="002E38F4"/>
    <w:rsid w:val="002F197C"/>
    <w:rsid w:val="00325E01"/>
    <w:rsid w:val="00361114"/>
    <w:rsid w:val="003840FE"/>
    <w:rsid w:val="00393C6A"/>
    <w:rsid w:val="003A1D7A"/>
    <w:rsid w:val="003C3A5C"/>
    <w:rsid w:val="003F1396"/>
    <w:rsid w:val="0040055E"/>
    <w:rsid w:val="00423D6A"/>
    <w:rsid w:val="00426E0E"/>
    <w:rsid w:val="004323EF"/>
    <w:rsid w:val="004410DE"/>
    <w:rsid w:val="0044663B"/>
    <w:rsid w:val="00451F2E"/>
    <w:rsid w:val="004523EB"/>
    <w:rsid w:val="00452D7A"/>
    <w:rsid w:val="004C127D"/>
    <w:rsid w:val="004C5538"/>
    <w:rsid w:val="004D65A1"/>
    <w:rsid w:val="004E479D"/>
    <w:rsid w:val="004F3773"/>
    <w:rsid w:val="005028F9"/>
    <w:rsid w:val="00505D36"/>
    <w:rsid w:val="00515321"/>
    <w:rsid w:val="00515E5C"/>
    <w:rsid w:val="00534452"/>
    <w:rsid w:val="005371D8"/>
    <w:rsid w:val="00556BE2"/>
    <w:rsid w:val="005D42E4"/>
    <w:rsid w:val="00600BFA"/>
    <w:rsid w:val="00600F1F"/>
    <w:rsid w:val="00602DAD"/>
    <w:rsid w:val="006309B0"/>
    <w:rsid w:val="0066664E"/>
    <w:rsid w:val="00692C69"/>
    <w:rsid w:val="006952CA"/>
    <w:rsid w:val="006A13C9"/>
    <w:rsid w:val="006A2503"/>
    <w:rsid w:val="006A5446"/>
    <w:rsid w:val="006B352E"/>
    <w:rsid w:val="006C55AF"/>
    <w:rsid w:val="006D0744"/>
    <w:rsid w:val="006D686D"/>
    <w:rsid w:val="006E5942"/>
    <w:rsid w:val="00706164"/>
    <w:rsid w:val="00735D55"/>
    <w:rsid w:val="00743847"/>
    <w:rsid w:val="00751B50"/>
    <w:rsid w:val="00757313"/>
    <w:rsid w:val="00757879"/>
    <w:rsid w:val="007611DA"/>
    <w:rsid w:val="00793E5C"/>
    <w:rsid w:val="007A373A"/>
    <w:rsid w:val="007D4118"/>
    <w:rsid w:val="007E2692"/>
    <w:rsid w:val="0080160A"/>
    <w:rsid w:val="0081150D"/>
    <w:rsid w:val="0082739B"/>
    <w:rsid w:val="00864DB3"/>
    <w:rsid w:val="00867AE5"/>
    <w:rsid w:val="00870D8A"/>
    <w:rsid w:val="008B39D7"/>
    <w:rsid w:val="008E77BE"/>
    <w:rsid w:val="00901F0C"/>
    <w:rsid w:val="00910BC9"/>
    <w:rsid w:val="00915C9A"/>
    <w:rsid w:val="00935E81"/>
    <w:rsid w:val="009435A5"/>
    <w:rsid w:val="00986444"/>
    <w:rsid w:val="00990A24"/>
    <w:rsid w:val="009B64FE"/>
    <w:rsid w:val="009E52B5"/>
    <w:rsid w:val="009F07D0"/>
    <w:rsid w:val="009F7F7A"/>
    <w:rsid w:val="00A15876"/>
    <w:rsid w:val="00A15D5D"/>
    <w:rsid w:val="00A30921"/>
    <w:rsid w:val="00A5751E"/>
    <w:rsid w:val="00A67A4F"/>
    <w:rsid w:val="00A7396A"/>
    <w:rsid w:val="00A73972"/>
    <w:rsid w:val="00A84333"/>
    <w:rsid w:val="00A84658"/>
    <w:rsid w:val="00AA4752"/>
    <w:rsid w:val="00AD0167"/>
    <w:rsid w:val="00AF1C47"/>
    <w:rsid w:val="00B03E2B"/>
    <w:rsid w:val="00B041F7"/>
    <w:rsid w:val="00B311D4"/>
    <w:rsid w:val="00B429D7"/>
    <w:rsid w:val="00B60EE6"/>
    <w:rsid w:val="00B67385"/>
    <w:rsid w:val="00B93390"/>
    <w:rsid w:val="00B93A25"/>
    <w:rsid w:val="00BB3047"/>
    <w:rsid w:val="00BB393A"/>
    <w:rsid w:val="00BD67E7"/>
    <w:rsid w:val="00C01906"/>
    <w:rsid w:val="00C171DC"/>
    <w:rsid w:val="00C27AC8"/>
    <w:rsid w:val="00C37F33"/>
    <w:rsid w:val="00C84ABA"/>
    <w:rsid w:val="00CA61AF"/>
    <w:rsid w:val="00CB40A4"/>
    <w:rsid w:val="00CC356E"/>
    <w:rsid w:val="00CD6DB8"/>
    <w:rsid w:val="00CE0517"/>
    <w:rsid w:val="00CF44BB"/>
    <w:rsid w:val="00D33979"/>
    <w:rsid w:val="00D66453"/>
    <w:rsid w:val="00D731DA"/>
    <w:rsid w:val="00D969C1"/>
    <w:rsid w:val="00DD5320"/>
    <w:rsid w:val="00DE069A"/>
    <w:rsid w:val="00DE7CC8"/>
    <w:rsid w:val="00DF73FF"/>
    <w:rsid w:val="00E34D1B"/>
    <w:rsid w:val="00E41B31"/>
    <w:rsid w:val="00E56588"/>
    <w:rsid w:val="00E95EEF"/>
    <w:rsid w:val="00EA6729"/>
    <w:rsid w:val="00EC303E"/>
    <w:rsid w:val="00EF71D7"/>
    <w:rsid w:val="00F00D41"/>
    <w:rsid w:val="00F0592A"/>
    <w:rsid w:val="00F25ABF"/>
    <w:rsid w:val="00F27A48"/>
    <w:rsid w:val="00F509E4"/>
    <w:rsid w:val="00F74EF7"/>
    <w:rsid w:val="00F80DA7"/>
    <w:rsid w:val="00F975CB"/>
    <w:rsid w:val="00FD7A54"/>
    <w:rsid w:val="00FE3193"/>
    <w:rsid w:val="00FE3F3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A114C10"/>
  <w15:docId w15:val="{15B16F67-D098-41AE-873B-88D706E26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5A5"/>
    <w:pPr>
      <w:overflowPunct w:val="0"/>
      <w:autoSpaceDE w:val="0"/>
      <w:autoSpaceDN w:val="0"/>
      <w:bidi/>
      <w:adjustRightInd w:val="0"/>
      <w:spacing w:before="0" w:after="0" w:line="240" w:lineRule="auto"/>
      <w:textAlignment w:val="baseline"/>
    </w:pPr>
    <w:rPr>
      <w:rFonts w:ascii="Times New Roman" w:eastAsia="Times New Roman" w:hAnsi="Times New Roman" w:cs="David"/>
      <w:sz w:val="20"/>
      <w:szCs w:val="24"/>
      <w:lang w:eastAsia="he-IL"/>
    </w:rPr>
  </w:style>
  <w:style w:type="paragraph" w:styleId="1">
    <w:name w:val="heading 1"/>
    <w:basedOn w:val="a"/>
    <w:next w:val="a"/>
    <w:link w:val="10"/>
    <w:uiPriority w:val="9"/>
    <w:qFormat/>
    <w:rsid w:val="003A1D7A"/>
    <w:pPr>
      <w:widowControl w:val="0"/>
      <w:overflowPunct/>
      <w:autoSpaceDE/>
      <w:autoSpaceDN/>
      <w:adjustRightInd/>
      <w:spacing w:before="120" w:line="360" w:lineRule="auto"/>
      <w:jc w:val="both"/>
      <w:textAlignment w:val="auto"/>
      <w:outlineLvl w:val="0"/>
    </w:pPr>
    <w:rPr>
      <w:rFonts w:eastAsiaTheme="minorHAnsi"/>
      <w:b/>
      <w:bCs/>
      <w:caps/>
      <w:spacing w:val="15"/>
      <w:sz w:val="36"/>
      <w:szCs w:val="36"/>
      <w:lang w:eastAsia="en-US"/>
    </w:rPr>
  </w:style>
  <w:style w:type="paragraph" w:styleId="2">
    <w:name w:val="heading 2"/>
    <w:basedOn w:val="a"/>
    <w:next w:val="a"/>
    <w:link w:val="20"/>
    <w:uiPriority w:val="9"/>
    <w:unhideWhenUsed/>
    <w:qFormat/>
    <w:rsid w:val="003A1D7A"/>
    <w:pPr>
      <w:widowControl w:val="0"/>
      <w:overflowPunct/>
      <w:autoSpaceDE/>
      <w:autoSpaceDN/>
      <w:adjustRightInd/>
      <w:spacing w:before="120" w:line="360" w:lineRule="auto"/>
      <w:jc w:val="both"/>
      <w:textAlignment w:val="auto"/>
      <w:outlineLvl w:val="1"/>
    </w:pPr>
    <w:rPr>
      <w:rFonts w:eastAsiaTheme="minorHAnsi"/>
      <w:b/>
      <w:bCs/>
      <w:caps/>
      <w:spacing w:val="15"/>
      <w:sz w:val="32"/>
      <w:szCs w:val="32"/>
      <w:lang w:eastAsia="en-US"/>
    </w:rPr>
  </w:style>
  <w:style w:type="paragraph" w:styleId="3">
    <w:name w:val="heading 3"/>
    <w:basedOn w:val="a"/>
    <w:next w:val="a"/>
    <w:link w:val="30"/>
    <w:uiPriority w:val="9"/>
    <w:unhideWhenUsed/>
    <w:qFormat/>
    <w:rsid w:val="001611C6"/>
    <w:pPr>
      <w:widowControl w:val="0"/>
      <w:overflowPunct/>
      <w:autoSpaceDE/>
      <w:autoSpaceDN/>
      <w:bidi w:val="0"/>
      <w:adjustRightInd/>
      <w:spacing w:before="300" w:line="360" w:lineRule="auto"/>
      <w:jc w:val="both"/>
      <w:textAlignment w:val="auto"/>
      <w:outlineLvl w:val="2"/>
    </w:pPr>
    <w:rPr>
      <w:rFonts w:eastAsiaTheme="minorHAnsi"/>
      <w:bCs/>
      <w:caps/>
      <w:spacing w:val="15"/>
      <w:sz w:val="28"/>
      <w:szCs w:val="28"/>
      <w:lang w:eastAsia="en-US"/>
    </w:rPr>
  </w:style>
  <w:style w:type="paragraph" w:styleId="4">
    <w:name w:val="heading 4"/>
    <w:basedOn w:val="a"/>
    <w:next w:val="a"/>
    <w:link w:val="40"/>
    <w:uiPriority w:val="9"/>
    <w:unhideWhenUsed/>
    <w:qFormat/>
    <w:rsid w:val="003A1D7A"/>
    <w:pPr>
      <w:overflowPunct/>
      <w:autoSpaceDE/>
      <w:autoSpaceDN/>
      <w:bidi w:val="0"/>
      <w:adjustRightInd/>
      <w:spacing w:before="300" w:line="360" w:lineRule="auto"/>
      <w:jc w:val="both"/>
      <w:textAlignment w:val="auto"/>
      <w:outlineLvl w:val="3"/>
    </w:pPr>
    <w:rPr>
      <w:rFonts w:eastAsiaTheme="minorHAnsi"/>
      <w:b/>
      <w:bCs/>
      <w:caps/>
      <w:spacing w:val="10"/>
      <w:sz w:val="24"/>
      <w:lang w:eastAsia="en-US"/>
    </w:rPr>
  </w:style>
  <w:style w:type="paragraph" w:styleId="5">
    <w:name w:val="heading 5"/>
    <w:basedOn w:val="a"/>
    <w:next w:val="a"/>
    <w:link w:val="50"/>
    <w:uiPriority w:val="9"/>
    <w:unhideWhenUsed/>
    <w:qFormat/>
    <w:rsid w:val="003A1D7A"/>
    <w:pPr>
      <w:widowControl w:val="0"/>
      <w:overflowPunct/>
      <w:autoSpaceDE/>
      <w:autoSpaceDN/>
      <w:bidi w:val="0"/>
      <w:adjustRightInd/>
      <w:spacing w:before="300" w:line="360" w:lineRule="auto"/>
      <w:jc w:val="both"/>
      <w:textAlignment w:val="auto"/>
      <w:outlineLvl w:val="4"/>
    </w:pPr>
    <w:rPr>
      <w:rFonts w:eastAsiaTheme="minorHAnsi"/>
      <w:b/>
      <w:bCs/>
      <w:caps/>
      <w:spacing w:val="10"/>
      <w:sz w:val="24"/>
      <w:lang w:eastAsia="en-US"/>
    </w:rPr>
  </w:style>
  <w:style w:type="paragraph" w:styleId="6">
    <w:name w:val="heading 6"/>
    <w:basedOn w:val="a"/>
    <w:next w:val="a"/>
    <w:link w:val="60"/>
    <w:uiPriority w:val="9"/>
    <w:unhideWhenUsed/>
    <w:qFormat/>
    <w:rsid w:val="00066383"/>
    <w:pPr>
      <w:widowControl w:val="0"/>
      <w:overflowPunct/>
      <w:autoSpaceDE/>
      <w:autoSpaceDN/>
      <w:bidi w:val="0"/>
      <w:adjustRightInd/>
      <w:spacing w:before="300" w:line="360" w:lineRule="auto"/>
      <w:jc w:val="both"/>
      <w:textAlignment w:val="auto"/>
      <w:outlineLvl w:val="5"/>
    </w:pPr>
    <w:rPr>
      <w:rFonts w:eastAsiaTheme="minorHAnsi"/>
      <w:b/>
      <w:bCs/>
      <w:caps/>
      <w:spacing w:val="10"/>
      <w:sz w:val="24"/>
      <w:lang w:eastAsia="en-US"/>
    </w:rPr>
  </w:style>
  <w:style w:type="paragraph" w:styleId="7">
    <w:name w:val="heading 7"/>
    <w:basedOn w:val="a"/>
    <w:next w:val="a"/>
    <w:link w:val="70"/>
    <w:uiPriority w:val="9"/>
    <w:unhideWhenUsed/>
    <w:qFormat/>
    <w:rsid w:val="003A1D7A"/>
    <w:pPr>
      <w:widowControl w:val="0"/>
      <w:overflowPunct/>
      <w:autoSpaceDE/>
      <w:autoSpaceDN/>
      <w:bidi w:val="0"/>
      <w:adjustRightInd/>
      <w:spacing w:before="300" w:line="360" w:lineRule="auto"/>
      <w:jc w:val="both"/>
      <w:textAlignment w:val="auto"/>
      <w:outlineLvl w:val="6"/>
    </w:pPr>
    <w:rPr>
      <w:rFonts w:eastAsiaTheme="minorHAnsi"/>
      <w:b/>
      <w:bCs/>
      <w:caps/>
      <w:spacing w:val="10"/>
      <w:sz w:val="24"/>
      <w:lang w:eastAsia="en-US"/>
    </w:rPr>
  </w:style>
  <w:style w:type="paragraph" w:styleId="8">
    <w:name w:val="heading 8"/>
    <w:basedOn w:val="a"/>
    <w:next w:val="a"/>
    <w:link w:val="80"/>
    <w:uiPriority w:val="9"/>
    <w:semiHidden/>
    <w:unhideWhenUsed/>
    <w:qFormat/>
    <w:rsid w:val="00014182"/>
    <w:pPr>
      <w:overflowPunct/>
      <w:autoSpaceDE/>
      <w:autoSpaceDN/>
      <w:bidi w:val="0"/>
      <w:adjustRightInd/>
      <w:spacing w:before="300" w:line="360" w:lineRule="auto"/>
      <w:jc w:val="both"/>
      <w:textAlignment w:val="auto"/>
      <w:outlineLvl w:val="7"/>
    </w:pPr>
    <w:rPr>
      <w:rFonts w:eastAsiaTheme="minorHAnsi"/>
      <w:caps/>
      <w:spacing w:val="10"/>
      <w:sz w:val="18"/>
      <w:szCs w:val="18"/>
      <w:lang w:eastAsia="en-US"/>
    </w:rPr>
  </w:style>
  <w:style w:type="paragraph" w:styleId="9">
    <w:name w:val="heading 9"/>
    <w:basedOn w:val="a"/>
    <w:next w:val="a"/>
    <w:link w:val="90"/>
    <w:uiPriority w:val="9"/>
    <w:semiHidden/>
    <w:unhideWhenUsed/>
    <w:qFormat/>
    <w:rsid w:val="00014182"/>
    <w:pPr>
      <w:overflowPunct/>
      <w:autoSpaceDE/>
      <w:autoSpaceDN/>
      <w:bidi w:val="0"/>
      <w:adjustRightInd/>
      <w:spacing w:before="300" w:line="360" w:lineRule="auto"/>
      <w:jc w:val="both"/>
      <w:textAlignment w:val="auto"/>
      <w:outlineLvl w:val="8"/>
    </w:pPr>
    <w:rPr>
      <w:rFonts w:eastAsiaTheme="minorHAnsi"/>
      <w:i/>
      <w:caps/>
      <w:spacing w:val="10"/>
      <w:sz w:val="18"/>
      <w:szCs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overflowPunct/>
      <w:autoSpaceDE/>
      <w:autoSpaceDN/>
      <w:adjustRightInd/>
      <w:spacing w:before="120" w:after="120" w:line="360" w:lineRule="auto"/>
      <w:ind w:left="567" w:right="567"/>
      <w:jc w:val="both"/>
      <w:textAlignment w:val="auto"/>
    </w:pPr>
    <w:rPr>
      <w:rFonts w:eastAsiaTheme="minorHAnsi"/>
      <w:i/>
      <w:iCs/>
      <w:sz w:val="24"/>
      <w:lang w:eastAsia="en-U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overflowPunct/>
      <w:autoSpaceDE/>
      <w:autoSpaceDN/>
      <w:bidi w:val="0"/>
      <w:adjustRightInd/>
      <w:spacing w:before="120" w:after="120" w:line="360" w:lineRule="auto"/>
      <w:jc w:val="both"/>
      <w:textAlignment w:val="auto"/>
    </w:pPr>
    <w:rPr>
      <w:rFonts w:eastAsiaTheme="minorHAnsi"/>
      <w:b/>
      <w:bCs/>
      <w:color w:val="365F91" w:themeColor="accent1" w:themeShade="BF"/>
      <w:sz w:val="16"/>
      <w:szCs w:val="16"/>
      <w:lang w:eastAsia="en-US"/>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overflowPunct/>
      <w:autoSpaceDE/>
      <w:autoSpaceDN/>
      <w:adjustRightInd/>
      <w:spacing w:before="100" w:after="100"/>
      <w:ind w:left="482"/>
      <w:jc w:val="both"/>
      <w:textAlignment w:val="auto"/>
    </w:pPr>
    <w:rPr>
      <w:rFonts w:eastAsiaTheme="minorHAnsi"/>
      <w:sz w:val="24"/>
      <w:lang w:eastAsia="en-US"/>
    </w:rPr>
  </w:style>
  <w:style w:type="paragraph" w:styleId="TOC1">
    <w:name w:val="toc 1"/>
    <w:basedOn w:val="a"/>
    <w:next w:val="a"/>
    <w:autoRedefine/>
    <w:uiPriority w:val="39"/>
    <w:unhideWhenUsed/>
    <w:rsid w:val="00600BFA"/>
    <w:pPr>
      <w:widowControl w:val="0"/>
      <w:tabs>
        <w:tab w:val="right" w:leader="dot" w:pos="8296"/>
      </w:tabs>
      <w:overflowPunct/>
      <w:autoSpaceDE/>
      <w:autoSpaceDN/>
      <w:adjustRightInd/>
      <w:spacing w:before="100" w:after="100"/>
      <w:jc w:val="both"/>
      <w:textAlignment w:val="auto"/>
    </w:pPr>
    <w:rPr>
      <w:rFonts w:eastAsiaTheme="minorHAnsi"/>
      <w:sz w:val="24"/>
      <w:lang w:eastAsia="en-US"/>
    </w:rPr>
  </w:style>
  <w:style w:type="paragraph" w:styleId="TOC2">
    <w:name w:val="toc 2"/>
    <w:basedOn w:val="a"/>
    <w:next w:val="a"/>
    <w:autoRedefine/>
    <w:uiPriority w:val="39"/>
    <w:unhideWhenUsed/>
    <w:rsid w:val="00600BFA"/>
    <w:pPr>
      <w:widowControl w:val="0"/>
      <w:tabs>
        <w:tab w:val="right" w:leader="dot" w:pos="8296"/>
      </w:tabs>
      <w:overflowPunct/>
      <w:autoSpaceDE/>
      <w:autoSpaceDN/>
      <w:adjustRightInd/>
      <w:spacing w:before="100" w:after="100"/>
      <w:ind w:left="238"/>
      <w:jc w:val="both"/>
      <w:textAlignment w:val="auto"/>
    </w:pPr>
    <w:rPr>
      <w:rFonts w:eastAsiaTheme="minorHAnsi"/>
      <w:sz w:val="24"/>
      <w:lang w:eastAsia="en-US"/>
    </w:rPr>
  </w:style>
  <w:style w:type="paragraph" w:styleId="TOC7">
    <w:name w:val="toc 7"/>
    <w:basedOn w:val="a"/>
    <w:next w:val="a"/>
    <w:autoRedefine/>
    <w:uiPriority w:val="39"/>
    <w:unhideWhenUsed/>
    <w:rsid w:val="00600BFA"/>
    <w:pPr>
      <w:widowControl w:val="0"/>
      <w:tabs>
        <w:tab w:val="right" w:leader="dot" w:pos="8296"/>
      </w:tabs>
      <w:overflowPunct/>
      <w:autoSpaceDE/>
      <w:autoSpaceDN/>
      <w:adjustRightInd/>
      <w:spacing w:before="100" w:after="100"/>
      <w:ind w:left="1440"/>
      <w:jc w:val="both"/>
      <w:textAlignment w:val="auto"/>
    </w:pPr>
    <w:rPr>
      <w:rFonts w:eastAsiaTheme="minorHAnsi"/>
      <w:sz w:val="24"/>
      <w:lang w:eastAsia="en-US"/>
    </w:rPr>
  </w:style>
  <w:style w:type="paragraph" w:styleId="TOC6">
    <w:name w:val="toc 6"/>
    <w:basedOn w:val="a"/>
    <w:next w:val="a"/>
    <w:autoRedefine/>
    <w:uiPriority w:val="39"/>
    <w:unhideWhenUsed/>
    <w:rsid w:val="00600BFA"/>
    <w:pPr>
      <w:widowControl w:val="0"/>
      <w:tabs>
        <w:tab w:val="right" w:leader="dot" w:pos="8296"/>
      </w:tabs>
      <w:overflowPunct/>
      <w:autoSpaceDE/>
      <w:autoSpaceDN/>
      <w:adjustRightInd/>
      <w:spacing w:before="100" w:after="100"/>
      <w:ind w:left="1202"/>
      <w:contextualSpacing/>
      <w:jc w:val="both"/>
      <w:textAlignment w:val="auto"/>
    </w:pPr>
    <w:rPr>
      <w:rFonts w:eastAsiaTheme="minorHAnsi"/>
      <w:sz w:val="24"/>
      <w:lang w:eastAsia="en-US"/>
    </w:rPr>
  </w:style>
  <w:style w:type="paragraph" w:styleId="TOC5">
    <w:name w:val="toc 5"/>
    <w:basedOn w:val="a"/>
    <w:next w:val="a"/>
    <w:autoRedefine/>
    <w:uiPriority w:val="39"/>
    <w:unhideWhenUsed/>
    <w:rsid w:val="00600BFA"/>
    <w:pPr>
      <w:widowControl w:val="0"/>
      <w:tabs>
        <w:tab w:val="right" w:leader="dot" w:pos="8296"/>
      </w:tabs>
      <w:overflowPunct/>
      <w:autoSpaceDE/>
      <w:autoSpaceDN/>
      <w:adjustRightInd/>
      <w:spacing w:before="100" w:after="100"/>
      <w:ind w:left="958"/>
      <w:jc w:val="both"/>
      <w:textAlignment w:val="auto"/>
    </w:pPr>
    <w:rPr>
      <w:rFonts w:eastAsiaTheme="minorHAnsi"/>
      <w:sz w:val="24"/>
      <w:lang w:eastAsia="en-US"/>
    </w:rPr>
  </w:style>
  <w:style w:type="paragraph" w:styleId="TOC4">
    <w:name w:val="toc 4"/>
    <w:basedOn w:val="a"/>
    <w:next w:val="a"/>
    <w:autoRedefine/>
    <w:uiPriority w:val="39"/>
    <w:unhideWhenUsed/>
    <w:rsid w:val="00600BFA"/>
    <w:pPr>
      <w:widowControl w:val="0"/>
      <w:overflowPunct/>
      <w:autoSpaceDE/>
      <w:autoSpaceDN/>
      <w:adjustRightInd/>
      <w:spacing w:before="100" w:after="100"/>
      <w:ind w:left="720"/>
      <w:jc w:val="both"/>
      <w:textAlignment w:val="auto"/>
    </w:pPr>
    <w:rPr>
      <w:rFonts w:eastAsiaTheme="minorHAnsi"/>
      <w:sz w:val="24"/>
      <w:lang w:eastAsia="en-US"/>
    </w:rPr>
  </w:style>
  <w:style w:type="paragraph" w:styleId="a7">
    <w:name w:val="List Paragraph"/>
    <w:basedOn w:val="a"/>
    <w:uiPriority w:val="34"/>
    <w:qFormat/>
    <w:rsid w:val="00FE3193"/>
    <w:pPr>
      <w:overflowPunct/>
      <w:autoSpaceDE/>
      <w:autoSpaceDN/>
      <w:adjustRightInd/>
      <w:spacing w:before="120" w:after="120" w:line="360" w:lineRule="auto"/>
      <w:ind w:left="720"/>
      <w:contextualSpacing/>
      <w:jc w:val="both"/>
      <w:textAlignment w:val="auto"/>
    </w:pPr>
    <w:rPr>
      <w:rFonts w:eastAsiaTheme="minorHAnsi"/>
      <w:sz w:val="24"/>
      <w:lang w:eastAsia="en-US"/>
    </w:r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8">
    <w:name w:val="header"/>
    <w:basedOn w:val="a"/>
    <w:link w:val="a9"/>
    <w:uiPriority w:val="99"/>
    <w:rsid w:val="009435A5"/>
    <w:pPr>
      <w:tabs>
        <w:tab w:val="center" w:pos="4320"/>
        <w:tab w:val="right" w:pos="8640"/>
      </w:tabs>
    </w:pPr>
  </w:style>
  <w:style w:type="character" w:customStyle="1" w:styleId="a9">
    <w:name w:val="כותרת עליונה תו"/>
    <w:basedOn w:val="a0"/>
    <w:link w:val="a8"/>
    <w:uiPriority w:val="99"/>
    <w:rsid w:val="009435A5"/>
    <w:rPr>
      <w:rFonts w:ascii="Times New Roman" w:eastAsia="Times New Roman" w:hAnsi="Times New Roman" w:cs="David"/>
      <w:sz w:val="20"/>
      <w:szCs w:val="24"/>
      <w:lang w:eastAsia="he-IL"/>
    </w:rPr>
  </w:style>
  <w:style w:type="paragraph" w:styleId="aa">
    <w:name w:val="footer"/>
    <w:basedOn w:val="a"/>
    <w:link w:val="ab"/>
    <w:rsid w:val="009435A5"/>
    <w:pPr>
      <w:tabs>
        <w:tab w:val="center" w:pos="4153"/>
        <w:tab w:val="right" w:pos="8306"/>
      </w:tabs>
    </w:pPr>
  </w:style>
  <w:style w:type="character" w:customStyle="1" w:styleId="ab">
    <w:name w:val="כותרת תחתונה תו"/>
    <w:basedOn w:val="a0"/>
    <w:link w:val="aa"/>
    <w:rsid w:val="009435A5"/>
    <w:rPr>
      <w:rFonts w:ascii="Times New Roman" w:eastAsia="Times New Roman" w:hAnsi="Times New Roman" w:cs="David"/>
      <w:sz w:val="20"/>
      <w:szCs w:val="24"/>
      <w:lang w:eastAsia="he-IL"/>
    </w:rPr>
  </w:style>
  <w:style w:type="character" w:styleId="Hyperlink">
    <w:name w:val="Hyperlink"/>
    <w:basedOn w:val="a0"/>
    <w:rsid w:val="009435A5"/>
    <w:rPr>
      <w:color w:val="0000FF"/>
      <w:u w:val="single"/>
    </w:rPr>
  </w:style>
  <w:style w:type="character" w:styleId="ac">
    <w:name w:val="page number"/>
    <w:basedOn w:val="a0"/>
    <w:rsid w:val="009435A5"/>
  </w:style>
  <w:style w:type="paragraph" w:styleId="ad">
    <w:name w:val="Balloon Text"/>
    <w:basedOn w:val="a"/>
    <w:link w:val="ae"/>
    <w:uiPriority w:val="99"/>
    <w:semiHidden/>
    <w:unhideWhenUsed/>
    <w:rsid w:val="009435A5"/>
    <w:rPr>
      <w:rFonts w:ascii="Tahoma" w:hAnsi="Tahoma" w:cs="Tahoma"/>
      <w:sz w:val="16"/>
      <w:szCs w:val="16"/>
    </w:rPr>
  </w:style>
  <w:style w:type="character" w:customStyle="1" w:styleId="ae">
    <w:name w:val="טקסט בלונים תו"/>
    <w:basedOn w:val="a0"/>
    <w:link w:val="ad"/>
    <w:uiPriority w:val="99"/>
    <w:semiHidden/>
    <w:rsid w:val="009435A5"/>
    <w:rPr>
      <w:rFonts w:ascii="Tahoma" w:eastAsia="Times New Roman" w:hAnsi="Tahoma" w:cs="Tahoma"/>
      <w:sz w:val="16"/>
      <w:szCs w:val="1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ag.co.il/%D7%9E%D7%95%D7%A6%D7%A8%D7%99%D7%9D-%D7%A4%D7%99%D7%A0%D7%A0%D7%A1%D7%99%D7%99%D7%9D/%D7%A4%D7%A0%D7%A1%D7%99%D7%99%D7%AA-%D7%91%D7%A8%D7%99%D7%A8%D7%AA-%D7%9E%D7%97%D7%93%D7%9C/%D7%A7%D7%A8%D7%A0%D7%95%D7%AA-%D7%94%D7%A4%D7%A0%D7%A1%D7%99%D7%94-%D7%A9%D7%9C%D7%A0%D7%95/%D7%A7%D7%A8%D7%9F-%D7%92%D7%9E%D7%9C%D7%90%D7%95%D7%AA-%D7%A9%D7%9C-%D7%A2%D7%95%D7%A8%D7%9B%D7%99-%D7%94%D7%93%D7%99%D7%9F-%D7%91%D7%99%D7%A9%D7%A8%D7%90%D7%9C/"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mof.gov.il/hon/Consumer-Information/Pages/Public-Inquiries.aspx"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http://www.mof.gov.il/hon"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mof.gov.il/hon"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E234C7-CED2-48DA-93E7-6E1EC9C400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500</Words>
  <Characters>2500</Characters>
  <Application>Microsoft Office Word</Application>
  <DocSecurity>0</DocSecurity>
  <Lines>20</Lines>
  <Paragraphs>5</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2995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יצחק זרביב</dc:creator>
  <cp:lastModifiedBy>אורי מזוז</cp:lastModifiedBy>
  <cp:revision>3</cp:revision>
  <dcterms:created xsi:type="dcterms:W3CDTF">2018-11-07T09:57:00Z</dcterms:created>
  <dcterms:modified xsi:type="dcterms:W3CDTF">2018-12-03T08:58:00Z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notes://MAOR2/Doc/Shuk_hon/hondocNew3.nsf/0/0C03D3D21861D6E2C225833E0036A405/?OpenDocument</vt:lpwstr>
  </property>
  <property fmtid="{D5CDD505-2E9C-101B-9397-08002B2CF9AE}" pid="3" name="MaorRecipients0">
    <vt:lpwstr>liatst@mof.gov.il</vt:lpwstr>
  </property>
</Properties>
</file>