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0D5" w:rsidRPr="00813003" w:rsidRDefault="003360D5" w:rsidP="003360D5">
      <w:pPr>
        <w:spacing w:after="0"/>
        <w:jc w:val="both"/>
        <w:rPr>
          <w:rFonts w:cs="FrankRuehl"/>
          <w:sz w:val="28"/>
          <w:szCs w:val="28"/>
          <w:rtl/>
        </w:rPr>
      </w:pPr>
    </w:p>
    <w:p w:rsidR="003360D5" w:rsidRPr="00813003" w:rsidRDefault="003360D5" w:rsidP="003360D5">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sidRPr="00813003">
        <w:rPr>
          <w:rFonts w:cs="FrankRuehl" w:hint="cs"/>
          <w:b/>
          <w:bCs/>
          <w:sz w:val="28"/>
          <w:szCs w:val="28"/>
          <w:u w:val="single"/>
          <w:rtl/>
        </w:rPr>
        <w:t>ה</w:t>
      </w:r>
      <w:r w:rsidRPr="00813003">
        <w:rPr>
          <w:rFonts w:cs="FrankRuehl"/>
          <w:b/>
          <w:bCs/>
          <w:sz w:val="28"/>
          <w:szCs w:val="28"/>
          <w:u w:val="single"/>
          <w:rtl/>
        </w:rPr>
        <w:t xml:space="preserve"> לקבלת מידע לפי חוק חופש המידע, התשנ"ח-1998</w:t>
      </w:r>
    </w:p>
    <w:p w:rsidR="003360D5" w:rsidRPr="00813003" w:rsidRDefault="003360D5" w:rsidP="003360D5">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Pr>
          <w:rFonts w:cs="FrankRuehl" w:hint="cs"/>
          <w:rtl/>
        </w:rPr>
        <w:t>18.5.2021</w:t>
      </w:r>
    </w:p>
    <w:p w:rsidR="003360D5" w:rsidRPr="005875A9" w:rsidRDefault="003360D5" w:rsidP="003360D5">
      <w:pPr>
        <w:tabs>
          <w:tab w:val="center" w:pos="6321"/>
        </w:tabs>
        <w:spacing w:after="0" w:line="240" w:lineRule="auto"/>
        <w:ind w:firstLine="454"/>
        <w:jc w:val="center"/>
        <w:rPr>
          <w:rFonts w:cs="FrankRuehl"/>
          <w:sz w:val="24"/>
          <w:szCs w:val="24"/>
        </w:rPr>
      </w:pPr>
    </w:p>
    <w:p w:rsidR="003360D5" w:rsidRPr="005875A9" w:rsidRDefault="003360D5" w:rsidP="003360D5">
      <w:pPr>
        <w:tabs>
          <w:tab w:val="center" w:pos="6321"/>
        </w:tabs>
        <w:spacing w:after="0" w:line="240" w:lineRule="auto"/>
        <w:ind w:firstLine="454"/>
        <w:jc w:val="both"/>
        <w:rPr>
          <w:rFonts w:cs="FrankRuehl"/>
          <w:sz w:val="24"/>
          <w:szCs w:val="24"/>
        </w:rPr>
      </w:pPr>
    </w:p>
    <w:p w:rsidR="003360D5" w:rsidRDefault="003360D5" w:rsidP="003360D5">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 xml:space="preserve">לפי חוק חופש המידע התשנ"ח-1998 (להלן: </w:t>
      </w:r>
      <w:r w:rsidRPr="00081455">
        <w:rPr>
          <w:rFonts w:ascii="FrankRuehl" w:hAnsi="FrankRuehl" w:cs="FrankRuehl" w:hint="cs"/>
          <w:color w:val="000000" w:themeColor="text1"/>
          <w:sz w:val="28"/>
          <w:szCs w:val="28"/>
          <w:rtl/>
        </w:rPr>
        <w:t xml:space="preserve">החוק), </w:t>
      </w:r>
      <w:r w:rsidRPr="00081455">
        <w:rPr>
          <w:rFonts w:cs="FrankRuehl" w:hint="cs"/>
          <w:sz w:val="28"/>
          <w:szCs w:val="28"/>
          <w:rtl/>
        </w:rPr>
        <w:t xml:space="preserve">על אודות </w:t>
      </w:r>
      <w:r>
        <w:rPr>
          <w:rFonts w:cs="FrankRuehl" w:hint="cs"/>
          <w:sz w:val="28"/>
          <w:szCs w:val="28"/>
          <w:rtl/>
        </w:rPr>
        <w:t xml:space="preserve">תיקי ערעורים מס הכנסה בין השנים 2011-2020, נבחנה והוחלט שניתן להיעתר לה באופן חלקי. </w:t>
      </w:r>
    </w:p>
    <w:p w:rsidR="003360D5" w:rsidRPr="007D11D7" w:rsidRDefault="003360D5" w:rsidP="003360D5">
      <w:pPr>
        <w:pStyle w:val="a3"/>
        <w:autoSpaceDN w:val="0"/>
        <w:spacing w:after="200" w:line="360" w:lineRule="auto"/>
        <w:jc w:val="both"/>
        <w:rPr>
          <w:rFonts w:ascii="FrankRuehl" w:hAnsi="FrankRuehl" w:cs="FrankRuehl"/>
          <w:sz w:val="28"/>
          <w:szCs w:val="28"/>
        </w:rPr>
      </w:pPr>
    </w:p>
    <w:p w:rsidR="003360D5" w:rsidRPr="007D11D7" w:rsidRDefault="003360D5" w:rsidP="003360D5">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לעניין סעיף 1 בבקשתך, קבלת נתונים אודות מספר תיקי ערעור מס הכנסה שנפתחו בחלוקה לפי בתי משפט, מצ"ב המידע המבוקש:</w:t>
      </w:r>
    </w:p>
    <w:tbl>
      <w:tblPr>
        <w:bidiVisual/>
        <w:tblW w:w="3646" w:type="dxa"/>
        <w:tblInd w:w="741" w:type="dxa"/>
        <w:tblLook w:val="04A0" w:firstRow="1" w:lastRow="0" w:firstColumn="1" w:lastColumn="0" w:noHBand="0" w:noVBand="1"/>
      </w:tblPr>
      <w:tblGrid>
        <w:gridCol w:w="960"/>
        <w:gridCol w:w="1985"/>
        <w:gridCol w:w="701"/>
      </w:tblGrid>
      <w:tr w:rsidR="003360D5" w:rsidRPr="00380255" w:rsidTr="00F35092">
        <w:trPr>
          <w:trHeight w:val="276"/>
        </w:trPr>
        <w:tc>
          <w:tcPr>
            <w:tcW w:w="9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360D5" w:rsidRPr="00380255" w:rsidRDefault="003360D5" w:rsidP="00F35092">
            <w:pPr>
              <w:spacing w:after="0" w:line="240" w:lineRule="auto"/>
              <w:jc w:val="center"/>
              <w:rPr>
                <w:rFonts w:ascii="Arial" w:eastAsia="Times New Roman" w:hAnsi="Arial" w:cs="Arial"/>
                <w:b/>
                <w:bCs/>
                <w:color w:val="000000"/>
                <w:sz w:val="20"/>
                <w:szCs w:val="20"/>
              </w:rPr>
            </w:pPr>
            <w:r w:rsidRPr="00380255">
              <w:rPr>
                <w:rFonts w:ascii="Arial" w:eastAsia="Times New Roman" w:hAnsi="Arial" w:cs="Arial"/>
                <w:b/>
                <w:bCs/>
                <w:color w:val="000000"/>
                <w:sz w:val="20"/>
                <w:szCs w:val="20"/>
                <w:rtl/>
              </w:rPr>
              <w:t>שנה</w:t>
            </w:r>
          </w:p>
        </w:tc>
        <w:tc>
          <w:tcPr>
            <w:tcW w:w="1985"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360D5" w:rsidRPr="00380255" w:rsidRDefault="003360D5" w:rsidP="00F35092">
            <w:pPr>
              <w:spacing w:after="0" w:line="240" w:lineRule="auto"/>
              <w:jc w:val="center"/>
              <w:rPr>
                <w:rFonts w:ascii="Arial" w:eastAsia="Times New Roman" w:hAnsi="Arial" w:cs="Arial"/>
                <w:b/>
                <w:bCs/>
                <w:color w:val="000000"/>
                <w:sz w:val="20"/>
                <w:szCs w:val="20"/>
                <w:rtl/>
              </w:rPr>
            </w:pPr>
            <w:r w:rsidRPr="00380255">
              <w:rPr>
                <w:rFonts w:ascii="Arial" w:eastAsia="Times New Roman" w:hAnsi="Arial" w:cs="Arial"/>
                <w:b/>
                <w:bCs/>
                <w:color w:val="000000"/>
                <w:sz w:val="20"/>
                <w:szCs w:val="20"/>
                <w:rtl/>
              </w:rPr>
              <w:t>בית משפט</w:t>
            </w:r>
          </w:p>
        </w:tc>
        <w:tc>
          <w:tcPr>
            <w:tcW w:w="701"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360D5" w:rsidRPr="00380255" w:rsidRDefault="003360D5" w:rsidP="00F35092">
            <w:pPr>
              <w:spacing w:after="0" w:line="240" w:lineRule="auto"/>
              <w:jc w:val="center"/>
              <w:rPr>
                <w:rFonts w:ascii="Arial" w:eastAsia="Times New Roman" w:hAnsi="Arial" w:cs="Arial"/>
                <w:b/>
                <w:bCs/>
                <w:color w:val="000000"/>
                <w:sz w:val="20"/>
                <w:szCs w:val="20"/>
                <w:rtl/>
              </w:rPr>
            </w:pPr>
            <w:r w:rsidRPr="00380255">
              <w:rPr>
                <w:rFonts w:ascii="Arial" w:eastAsia="Times New Roman" w:hAnsi="Arial" w:cs="Arial"/>
                <w:b/>
                <w:bCs/>
                <w:color w:val="000000"/>
                <w:sz w:val="20"/>
                <w:szCs w:val="20"/>
                <w:rtl/>
              </w:rPr>
              <w:t>כמות</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2011</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באר שבע</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36</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2011</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חיפה</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72</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2011</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ירושלים</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74</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2011</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 xml:space="preserve">המחוזי מרכז </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125</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2011</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נצרת</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43</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2011</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תל אביב - יפו</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270</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2012</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באר שבע</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21</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2012</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חיפה</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73</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2012</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ירושלים</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75</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2012</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 xml:space="preserve">המחוזי מרכז </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122</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2012</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נצרת</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47</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2012</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תל אביב - יפו</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271</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2013</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באר שבע</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37</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2013</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חיפה</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63</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2013</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ירושלים</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53</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2013</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 xml:space="preserve">המחוזי מרכז </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124</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2013</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נצרת</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40</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2013</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תל אביב - יפו</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220</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2014</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באר שבע</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32</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2014</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חיפה</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46</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2014</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ירושלים</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51</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2014</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 xml:space="preserve">המחוזי מרכז </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109</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2014</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נצרת</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30</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2014</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תל אביב - יפו</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175</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2015</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באר שבע</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45</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2015</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חיפה</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61</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2015</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ירושלים</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50</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2015</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 xml:space="preserve">המחוזי מרכז </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101</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2015</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נצרת</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30</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2015</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תל אביב - יפו</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165</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2016</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באר שבע</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43</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2016</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חיפה</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94</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2016</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ירושלים</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68</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lastRenderedPageBreak/>
              <w:t>2016</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 xml:space="preserve">המחוזי מרכז </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131</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2016</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נצרת</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58</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2016</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תל אביב - יפו</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246</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2017</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באר שבע</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50</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2017</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חיפה</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86</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2017</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ירושלים</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79</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2017</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 xml:space="preserve">המחוזי מרכז </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147</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2017</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נצרת</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159</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2017</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תל אביב - יפו</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266</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2018</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באר שבע</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31</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2018</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חיפה</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50</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2018</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ירושלים</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46</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2018</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 xml:space="preserve">המחוזי מרכז </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97</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2018</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נצרת</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19</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2018</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תל אביב - יפו</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150</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2019</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באר שבע</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26</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2019</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חיפה</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49</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2019</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ירושלים</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39</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2019</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 xml:space="preserve">המחוזי מרכז </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90</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2019</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נצרת</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33</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2019</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תל אביב - יפו</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124</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2020</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באר שבע</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23</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2020</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חיפה</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54</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2020</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ירושלים</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30</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2020</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 xml:space="preserve">המחוזי מרכז </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135</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2020</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נצרת</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24</w:t>
            </w:r>
          </w:p>
        </w:tc>
      </w:tr>
      <w:tr w:rsidR="003360D5" w:rsidRPr="00380255" w:rsidTr="00F35092">
        <w:trPr>
          <w:trHeight w:val="276"/>
        </w:trPr>
        <w:tc>
          <w:tcPr>
            <w:tcW w:w="960"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Pr>
              <w:t>2020</w:t>
            </w:r>
          </w:p>
        </w:tc>
        <w:tc>
          <w:tcPr>
            <w:tcW w:w="1985"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spacing w:after="0" w:line="240" w:lineRule="auto"/>
              <w:jc w:val="center"/>
              <w:rPr>
                <w:rFonts w:ascii="Arial" w:eastAsia="Times New Roman" w:hAnsi="Arial" w:cs="Arial"/>
                <w:color w:val="000000"/>
                <w:sz w:val="20"/>
                <w:szCs w:val="20"/>
              </w:rPr>
            </w:pPr>
            <w:r w:rsidRPr="00380255">
              <w:rPr>
                <w:rFonts w:ascii="Arial" w:eastAsia="Times New Roman" w:hAnsi="Arial" w:cs="Arial"/>
                <w:color w:val="000000"/>
                <w:sz w:val="20"/>
                <w:szCs w:val="20"/>
                <w:rtl/>
              </w:rPr>
              <w:t>המחוזי תל אביב - יפו</w:t>
            </w:r>
          </w:p>
        </w:tc>
        <w:tc>
          <w:tcPr>
            <w:tcW w:w="701" w:type="dxa"/>
            <w:tcBorders>
              <w:top w:val="nil"/>
              <w:left w:val="single" w:sz="4" w:space="0" w:color="auto"/>
              <w:bottom w:val="single" w:sz="4" w:space="0" w:color="auto"/>
              <w:right w:val="single" w:sz="4" w:space="0" w:color="auto"/>
            </w:tcBorders>
            <w:shd w:val="clear" w:color="000000" w:fill="DDEBF7"/>
            <w:noWrap/>
            <w:vAlign w:val="bottom"/>
            <w:hideMark/>
          </w:tcPr>
          <w:p w:rsidR="003360D5" w:rsidRPr="00380255" w:rsidRDefault="003360D5" w:rsidP="00F35092">
            <w:pPr>
              <w:bidi w:val="0"/>
              <w:spacing w:after="0" w:line="240" w:lineRule="auto"/>
              <w:jc w:val="center"/>
              <w:rPr>
                <w:rFonts w:ascii="Arial" w:eastAsia="Times New Roman" w:hAnsi="Arial" w:cs="Arial"/>
                <w:color w:val="000000"/>
                <w:sz w:val="20"/>
                <w:szCs w:val="20"/>
                <w:rtl/>
              </w:rPr>
            </w:pPr>
            <w:r w:rsidRPr="00380255">
              <w:rPr>
                <w:rFonts w:ascii="Arial" w:eastAsia="Times New Roman" w:hAnsi="Arial" w:cs="Arial"/>
                <w:color w:val="000000"/>
                <w:sz w:val="20"/>
                <w:szCs w:val="20"/>
              </w:rPr>
              <w:t>159</w:t>
            </w:r>
          </w:p>
        </w:tc>
      </w:tr>
    </w:tbl>
    <w:p w:rsidR="003360D5" w:rsidRDefault="003360D5" w:rsidP="003360D5">
      <w:pPr>
        <w:pStyle w:val="a3"/>
        <w:autoSpaceDN w:val="0"/>
        <w:spacing w:after="200" w:line="360" w:lineRule="auto"/>
        <w:jc w:val="both"/>
        <w:rPr>
          <w:rtl/>
        </w:rPr>
      </w:pPr>
    </w:p>
    <w:p w:rsidR="003360D5" w:rsidRDefault="003360D5" w:rsidP="003360D5">
      <w:pPr>
        <w:pStyle w:val="a3"/>
        <w:autoSpaceDN w:val="0"/>
        <w:spacing w:after="200" w:line="360" w:lineRule="auto"/>
        <w:jc w:val="both"/>
        <w:rPr>
          <w:rtl/>
        </w:rPr>
      </w:pPr>
    </w:p>
    <w:p w:rsidR="003360D5" w:rsidRPr="00081455" w:rsidRDefault="003360D5" w:rsidP="003360D5">
      <w:pPr>
        <w:pStyle w:val="a3"/>
        <w:numPr>
          <w:ilvl w:val="0"/>
          <w:numId w:val="1"/>
        </w:numPr>
        <w:autoSpaceDN w:val="0"/>
        <w:spacing w:after="200" w:line="360" w:lineRule="auto"/>
        <w:jc w:val="both"/>
        <w:rPr>
          <w:rFonts w:ascii="FrankRuehl" w:hAnsi="FrankRuehl" w:cs="FrankRuehl"/>
          <w:sz w:val="28"/>
          <w:szCs w:val="28"/>
        </w:rPr>
      </w:pPr>
      <w:r>
        <w:rPr>
          <w:rFonts w:ascii="FrankRuehl" w:hAnsi="FrankRuehl" w:cs="FrankRuehl" w:hint="cs"/>
          <w:sz w:val="28"/>
          <w:szCs w:val="28"/>
          <w:rtl/>
        </w:rPr>
        <w:t xml:space="preserve">לעניין סעיפים 2-4 בבקשתך, פסקי הדין שניתנו בתיקי ערעור מס הכנסה, אשיב כי בקשתך </w:t>
      </w:r>
      <w:r>
        <w:rPr>
          <w:rFonts w:cs="FrankRuehl" w:hint="cs"/>
          <w:sz w:val="28"/>
          <w:szCs w:val="28"/>
          <w:rtl/>
        </w:rPr>
        <w:t xml:space="preserve">נבחנה והוחלט </w:t>
      </w:r>
      <w:r w:rsidRPr="00081455">
        <w:rPr>
          <w:rFonts w:cs="FrankRuehl" w:hint="cs"/>
          <w:sz w:val="28"/>
          <w:szCs w:val="28"/>
          <w:rtl/>
        </w:rPr>
        <w:t>לא ניתן להיעתר לה</w:t>
      </w:r>
      <w:r w:rsidRPr="00081455">
        <w:rPr>
          <w:rFonts w:ascii="FrankRuehl" w:hAnsi="FrankRuehl" w:cs="FrankRuehl"/>
          <w:sz w:val="28"/>
          <w:szCs w:val="28"/>
          <w:rtl/>
        </w:rPr>
        <w:t xml:space="preserve"> שכן אין ב</w:t>
      </w:r>
      <w:r>
        <w:rPr>
          <w:rFonts w:ascii="FrankRuehl" w:hAnsi="FrankRuehl" w:cs="FrankRuehl" w:hint="cs"/>
          <w:sz w:val="28"/>
          <w:szCs w:val="28"/>
          <w:rtl/>
        </w:rPr>
        <w:t>רשותנו</w:t>
      </w:r>
      <w:r w:rsidRPr="00081455">
        <w:rPr>
          <w:rFonts w:ascii="FrankRuehl" w:hAnsi="FrankRuehl" w:cs="FrankRuehl"/>
          <w:sz w:val="28"/>
          <w:szCs w:val="28"/>
          <w:rtl/>
        </w:rPr>
        <w:t xml:space="preserve"> ריכוז של נתונים אלה. </w:t>
      </w:r>
    </w:p>
    <w:p w:rsidR="003360D5" w:rsidRPr="00380255" w:rsidRDefault="003360D5" w:rsidP="003360D5">
      <w:pPr>
        <w:pStyle w:val="a3"/>
        <w:autoSpaceDN w:val="0"/>
        <w:spacing w:after="200" w:line="360" w:lineRule="auto"/>
        <w:jc w:val="both"/>
        <w:rPr>
          <w:rFonts w:ascii="FrankRuehl" w:hAnsi="FrankRuehl" w:cs="FrankRuehl"/>
          <w:sz w:val="28"/>
          <w:szCs w:val="28"/>
        </w:rPr>
      </w:pPr>
    </w:p>
    <w:p w:rsidR="003360D5" w:rsidRDefault="003360D5" w:rsidP="003360D5">
      <w:pPr>
        <w:pStyle w:val="a3"/>
        <w:autoSpaceDN w:val="0"/>
        <w:spacing w:after="200" w:line="360" w:lineRule="auto"/>
        <w:jc w:val="both"/>
        <w:rPr>
          <w:sz w:val="28"/>
          <w:szCs w:val="28"/>
        </w:rPr>
      </w:pPr>
      <w:r>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3360D5" w:rsidRDefault="003360D5" w:rsidP="003360D5">
      <w:pPr>
        <w:pStyle w:val="a3"/>
        <w:autoSpaceDN w:val="0"/>
        <w:spacing w:after="200" w:line="360" w:lineRule="auto"/>
        <w:jc w:val="both"/>
        <w:rPr>
          <w:rFonts w:ascii="FrankRuehl" w:hAnsi="FrankRuehl" w:cs="FrankRuehl"/>
          <w:sz w:val="28"/>
          <w:szCs w:val="28"/>
        </w:rPr>
      </w:pPr>
      <w:r>
        <w:rPr>
          <w:rFonts w:ascii="FrankRuehl" w:hAnsi="FrankRuehl" w:cs="FrankRuehl"/>
          <w:sz w:val="28"/>
          <w:szCs w:val="28"/>
          <w:rtl/>
        </w:rPr>
        <w:t xml:space="preserve">למעלה מן הצורך, </w:t>
      </w:r>
      <w:r w:rsidRPr="00380255">
        <w:rPr>
          <w:rFonts w:ascii="FrankRuehl" w:hAnsi="FrankRuehl" w:cs="FrankRuehl"/>
          <w:sz w:val="28"/>
          <w:szCs w:val="28"/>
          <w:rtl/>
        </w:rPr>
        <w:t>ובלי להידרש לקיומם של סייגים אחרים שבחוק הואיל והמידע המבוקש אינו ברשותנו, כאמור, יצוין כי לצורך הפקת המידע, תידרש כניסה לכל תיק ותיק באופן פרטני ו</w:t>
      </w:r>
      <w:r>
        <w:rPr>
          <w:rFonts w:ascii="FrankRuehl" w:hAnsi="FrankRuehl" w:cs="FrankRuehl"/>
          <w:sz w:val="28"/>
          <w:szCs w:val="28"/>
          <w:rtl/>
        </w:rPr>
        <w:t xml:space="preserve">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 </w:t>
      </w:r>
    </w:p>
    <w:p w:rsidR="003360D5" w:rsidRPr="00B15167" w:rsidRDefault="003360D5" w:rsidP="003360D5">
      <w:pPr>
        <w:pStyle w:val="a3"/>
        <w:autoSpaceDN w:val="0"/>
        <w:spacing w:after="200" w:line="360" w:lineRule="auto"/>
        <w:ind w:left="1076"/>
        <w:jc w:val="both"/>
        <w:rPr>
          <w:rFonts w:ascii="FrankRuehl" w:hAnsi="FrankRuehl" w:cs="FrankRuehl"/>
          <w:color w:val="000000" w:themeColor="text1"/>
          <w:sz w:val="28"/>
          <w:szCs w:val="28"/>
          <w:rtl/>
        </w:rPr>
      </w:pPr>
    </w:p>
    <w:p w:rsidR="003360D5" w:rsidRPr="00040363" w:rsidRDefault="003360D5" w:rsidP="003360D5">
      <w:pPr>
        <w:pStyle w:val="a3"/>
        <w:numPr>
          <w:ilvl w:val="0"/>
          <w:numId w:val="1"/>
        </w:numPr>
        <w:autoSpaceDN w:val="0"/>
        <w:spacing w:after="200" w:line="360" w:lineRule="auto"/>
        <w:jc w:val="both"/>
        <w:rPr>
          <w:rFonts w:ascii="FrankRuehl" w:hAnsi="FrankRuehl" w:cs="FrankRuehl"/>
          <w:color w:val="000000" w:themeColor="text1"/>
          <w:sz w:val="28"/>
          <w:szCs w:val="28"/>
          <w:rtl/>
        </w:rPr>
      </w:pPr>
      <w:r>
        <w:rPr>
          <w:rFonts w:ascii="FrankRuehl" w:hAnsi="FrankRuehl" w:cs="FrankRuehl"/>
          <w:color w:val="000000" w:themeColor="text1"/>
          <w:sz w:val="28"/>
          <w:szCs w:val="28"/>
          <w:rtl/>
        </w:rPr>
        <w:lastRenderedPageBreak/>
        <w:t xml:space="preserve">כנגד החלטה זו </w:t>
      </w:r>
      <w:r w:rsidRPr="00B15167">
        <w:rPr>
          <w:rFonts w:ascii="FrankRuehl" w:hAnsi="FrankRuehl" w:cs="FrankRuehl" w:hint="cs"/>
          <w:color w:val="000000" w:themeColor="text1"/>
          <w:sz w:val="28"/>
          <w:szCs w:val="28"/>
          <w:rtl/>
        </w:rPr>
        <w:t>אתה</w:t>
      </w:r>
      <w:r w:rsidRPr="00B15167">
        <w:rPr>
          <w:rFonts w:ascii="FrankRuehl" w:hAnsi="FrankRuehl" w:cs="FrankRuehl"/>
          <w:color w:val="000000" w:themeColor="text1"/>
          <w:sz w:val="28"/>
          <w:szCs w:val="28"/>
          <w:rtl/>
        </w:rPr>
        <w:t xml:space="preserve"> רשאי</w:t>
      </w:r>
      <w:r>
        <w:rPr>
          <w:rFonts w:ascii="FrankRuehl" w:hAnsi="FrankRuehl" w:cs="FrankRuehl"/>
          <w:color w:val="000000" w:themeColor="text1"/>
          <w:sz w:val="28"/>
          <w:szCs w:val="28"/>
          <w:rtl/>
        </w:rPr>
        <w:t xml:space="preserve"> להגיש עתירה מנהלית לבית המשפט לעניינים</w:t>
      </w:r>
      <w:r>
        <w:rPr>
          <w:rFonts w:ascii="FrankRuehl" w:hAnsi="FrankRuehl" w:cs="FrankRuehl" w:hint="cs"/>
          <w:color w:val="000000" w:themeColor="text1"/>
          <w:sz w:val="28"/>
          <w:szCs w:val="28"/>
          <w:rtl/>
        </w:rPr>
        <w:t xml:space="preserve"> </w:t>
      </w:r>
      <w:r>
        <w:rPr>
          <w:rFonts w:ascii="FrankRuehl" w:hAnsi="FrankRuehl" w:cs="FrankRuehl"/>
          <w:color w:val="000000" w:themeColor="text1"/>
          <w:sz w:val="28"/>
          <w:szCs w:val="28"/>
          <w:rtl/>
        </w:rPr>
        <w:t xml:space="preserve">מנהליים בירושלים. </w:t>
      </w:r>
    </w:p>
    <w:p w:rsidR="003360D5" w:rsidRDefault="003360D5" w:rsidP="003360D5">
      <w:pPr>
        <w:pStyle w:val="a3"/>
        <w:spacing w:line="276" w:lineRule="auto"/>
        <w:ind w:left="226"/>
        <w:rPr>
          <w:rFonts w:ascii="FrankRuehl" w:hAnsi="FrankRuehl" w:cs="FrankRuehl"/>
          <w:color w:val="000000" w:themeColor="text1"/>
          <w:sz w:val="28"/>
          <w:szCs w:val="28"/>
        </w:rPr>
      </w:pPr>
    </w:p>
    <w:p w:rsidR="003360D5" w:rsidRDefault="003360D5" w:rsidP="003360D5">
      <w:pPr>
        <w:pStyle w:val="a3"/>
        <w:numPr>
          <w:ilvl w:val="0"/>
          <w:numId w:val="1"/>
        </w:numPr>
        <w:autoSpaceDN w:val="0"/>
        <w:spacing w:after="200" w:line="276" w:lineRule="auto"/>
        <w:jc w:val="both"/>
        <w:rPr>
          <w:rFonts w:ascii="FrankRuehl" w:hAnsi="FrankRuehl" w:cs="FrankRuehl"/>
          <w:color w:val="000000" w:themeColor="text1"/>
          <w:sz w:val="28"/>
          <w:szCs w:val="28"/>
        </w:rPr>
      </w:pPr>
      <w:r>
        <w:rPr>
          <w:rFonts w:ascii="FrankRuehl" w:hAnsi="FrankRuehl" w:cs="FrankRuehl"/>
          <w:color w:val="000000" w:themeColor="text1"/>
          <w:sz w:val="28"/>
          <w:szCs w:val="28"/>
          <w:rtl/>
        </w:rPr>
        <w:t xml:space="preserve">אנו </w:t>
      </w:r>
      <w:r w:rsidRPr="00B15167">
        <w:rPr>
          <w:rFonts w:ascii="FrankRuehl" w:hAnsi="FrankRuehl" w:cs="FrankRuehl"/>
          <w:color w:val="000000" w:themeColor="text1"/>
          <w:sz w:val="28"/>
          <w:szCs w:val="28"/>
          <w:rtl/>
        </w:rPr>
        <w:t>לרשותך</w:t>
      </w:r>
      <w:r>
        <w:rPr>
          <w:rFonts w:ascii="FrankRuehl" w:hAnsi="FrankRuehl" w:cs="FrankRuehl"/>
          <w:color w:val="000000" w:themeColor="text1"/>
          <w:sz w:val="28"/>
          <w:szCs w:val="28"/>
          <w:rtl/>
        </w:rPr>
        <w:t xml:space="preserve"> ככל שיידרש. </w:t>
      </w: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A8D69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0D5"/>
    <w:rsid w:val="003360D5"/>
    <w:rsid w:val="006C5EE7"/>
    <w:rsid w:val="008E26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F8548C-9AA8-46BC-AE78-CC11BE860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60D5"/>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0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451</Words>
  <Characters>2255</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2021-07-18T11:14:00Z</dcterms:created>
  <dcterms:modified xsi:type="dcterms:W3CDTF">2021-07-18T11:14:00Z</dcterms:modified>
</cp:coreProperties>
</file>