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83CA2" w:rsidRPr="005875A9" w:rsidRDefault="00583CA2" w:rsidP="00583CA2">
      <w:pPr>
        <w:shd w:val="clear" w:color="auto" w:fill="FFFFFD"/>
        <w:jc w:val="both"/>
        <w:rPr>
          <w:rFonts w:cs="FrankRuehl"/>
          <w:sz w:val="28"/>
          <w:szCs w:val="28"/>
          <w:rtl/>
        </w:rPr>
      </w:pPr>
    </w:p>
    <w:p w:rsidR="00583CA2" w:rsidRPr="005875A9" w:rsidRDefault="00583CA2" w:rsidP="00583CA2">
      <w:pPr>
        <w:shd w:val="clear" w:color="auto" w:fill="FFFFFD"/>
        <w:spacing w:after="0" w:line="240" w:lineRule="auto"/>
        <w:jc w:val="center"/>
        <w:rPr>
          <w:rFonts w:cs="FrankRuehl"/>
          <w:sz w:val="28"/>
          <w:szCs w:val="28"/>
          <w:u w:val="single"/>
          <w:rtl/>
        </w:rPr>
      </w:pPr>
      <w:r w:rsidRPr="005875A9">
        <w:rPr>
          <w:rFonts w:cs="FrankRuehl"/>
          <w:sz w:val="28"/>
          <w:szCs w:val="28"/>
          <w:rtl/>
        </w:rPr>
        <w:t xml:space="preserve">הנדון: </w:t>
      </w:r>
      <w:r>
        <w:rPr>
          <w:rFonts w:cs="FrankRuehl"/>
          <w:b/>
          <w:bCs/>
          <w:sz w:val="28"/>
          <w:szCs w:val="28"/>
          <w:u w:val="single"/>
          <w:rtl/>
        </w:rPr>
        <w:t>בקשת</w:t>
      </w:r>
      <w:r>
        <w:rPr>
          <w:rFonts w:cs="FrankRuehl" w:hint="cs"/>
          <w:b/>
          <w:bCs/>
          <w:sz w:val="28"/>
          <w:szCs w:val="28"/>
          <w:u w:val="single"/>
          <w:rtl/>
        </w:rPr>
        <w:t xml:space="preserve">ך </w:t>
      </w:r>
      <w:r w:rsidRPr="005875A9">
        <w:rPr>
          <w:rFonts w:cs="FrankRuehl"/>
          <w:b/>
          <w:bCs/>
          <w:sz w:val="28"/>
          <w:szCs w:val="28"/>
          <w:u w:val="single"/>
          <w:rtl/>
        </w:rPr>
        <w:t>לקבלת מידע לפי חוק חופש המידע, התשנ"ח-1998</w:t>
      </w:r>
    </w:p>
    <w:p w:rsidR="00583CA2" w:rsidRPr="005875A9" w:rsidRDefault="00583CA2" w:rsidP="00583CA2">
      <w:pPr>
        <w:tabs>
          <w:tab w:val="center" w:pos="6321"/>
        </w:tabs>
        <w:spacing w:after="0" w:line="240" w:lineRule="auto"/>
        <w:ind w:firstLine="454"/>
        <w:jc w:val="center"/>
        <w:rPr>
          <w:rFonts w:cs="FrankRuehl"/>
          <w:sz w:val="24"/>
          <w:rtl/>
        </w:rPr>
      </w:pPr>
      <w:r w:rsidRPr="005875A9">
        <w:rPr>
          <w:rFonts w:cs="FrankRuehl"/>
          <w:sz w:val="24"/>
          <w:rtl/>
        </w:rPr>
        <w:t xml:space="preserve">סימוכין: </w:t>
      </w:r>
      <w:r>
        <w:rPr>
          <w:rFonts w:cs="FrankRuehl" w:hint="cs"/>
          <w:sz w:val="24"/>
          <w:rtl/>
        </w:rPr>
        <w:t>בקשה מיום 2.5.2021</w:t>
      </w:r>
    </w:p>
    <w:p w:rsidR="00583CA2" w:rsidRPr="005875A9" w:rsidRDefault="00583CA2" w:rsidP="00583CA2">
      <w:pPr>
        <w:tabs>
          <w:tab w:val="center" w:pos="6321"/>
        </w:tabs>
        <w:spacing w:after="0" w:line="240" w:lineRule="auto"/>
        <w:ind w:firstLine="454"/>
        <w:jc w:val="center"/>
        <w:rPr>
          <w:rFonts w:cs="FrankRuehl"/>
          <w:sz w:val="24"/>
          <w:szCs w:val="24"/>
        </w:rPr>
      </w:pPr>
    </w:p>
    <w:p w:rsidR="00583CA2" w:rsidRDefault="00583CA2" w:rsidP="00583CA2">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sidRPr="004F06AE">
        <w:rPr>
          <w:rFonts w:cs="FrankRuehl"/>
          <w:sz w:val="28"/>
          <w:szCs w:val="28"/>
          <w:rtl/>
        </w:rPr>
        <w:t xml:space="preserve">הבקשה שבסימוכין </w:t>
      </w:r>
      <w:r w:rsidRPr="004F06AE">
        <w:rPr>
          <w:rFonts w:cs="FrankRuehl" w:hint="cs"/>
          <w:color w:val="000000"/>
          <w:sz w:val="28"/>
          <w:szCs w:val="28"/>
          <w:rtl/>
        </w:rPr>
        <w:t xml:space="preserve">לקבלת מידע </w:t>
      </w:r>
      <w:r w:rsidRPr="004F06AE">
        <w:rPr>
          <w:rFonts w:ascii="FrankRuehl" w:hAnsi="FrankRuehl" w:cs="FrankRuehl"/>
          <w:sz w:val="28"/>
          <w:szCs w:val="28"/>
          <w:rtl/>
        </w:rPr>
        <w:t>לפי חוק חופש המידע התשנ"ח-1998 (להלן" החוק)</w:t>
      </w:r>
      <w:r>
        <w:rPr>
          <w:rFonts w:ascii="FrankRuehl" w:hAnsi="FrankRuehl" w:cs="FrankRuehl" w:hint="cs"/>
          <w:sz w:val="28"/>
          <w:szCs w:val="28"/>
          <w:rtl/>
        </w:rPr>
        <w:t xml:space="preserve">, לקבלת תחקיר וסרטונים מאירוע עם משמר בתי המשפט בבית המשפט המחוזי לוד מיום 21.1.2020, </w:t>
      </w:r>
      <w:r>
        <w:rPr>
          <w:rFonts w:cs="FrankRuehl" w:hint="cs"/>
          <w:color w:val="000000"/>
          <w:sz w:val="28"/>
          <w:szCs w:val="28"/>
          <w:rtl/>
        </w:rPr>
        <w:t xml:space="preserve">נבחנה והוחלט שלא ניתן להיעתר לה כפי שיפורט להלן. </w:t>
      </w:r>
    </w:p>
    <w:p w:rsidR="00583CA2" w:rsidRDefault="00583CA2" w:rsidP="00583CA2">
      <w:pPr>
        <w:overflowPunct w:val="0"/>
        <w:autoSpaceDE w:val="0"/>
        <w:autoSpaceDN w:val="0"/>
        <w:adjustRightInd w:val="0"/>
        <w:spacing w:after="0" w:line="360" w:lineRule="auto"/>
        <w:ind w:left="720"/>
        <w:jc w:val="both"/>
        <w:textAlignment w:val="baseline"/>
        <w:rPr>
          <w:rFonts w:cs="FrankRuehl"/>
          <w:color w:val="000000"/>
          <w:sz w:val="28"/>
          <w:szCs w:val="28"/>
        </w:rPr>
      </w:pPr>
    </w:p>
    <w:p w:rsidR="00583CA2" w:rsidRDefault="00583CA2" w:rsidP="00583CA2">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Pr>
          <w:rFonts w:cs="FrankRuehl" w:hint="cs"/>
          <w:sz w:val="28"/>
          <w:szCs w:val="28"/>
          <w:rtl/>
        </w:rPr>
        <w:t>לעניין בקשתך לקבלת דו"ח תחקיר האירוע נשוא הבקשה, אשיב כי</w:t>
      </w:r>
      <w:r>
        <w:rPr>
          <w:rFonts w:cs="FrankRuehl" w:hint="cs"/>
          <w:color w:val="000000"/>
          <w:sz w:val="28"/>
          <w:szCs w:val="28"/>
          <w:rtl/>
        </w:rPr>
        <w:t xml:space="preserve"> </w:t>
      </w:r>
      <w:r w:rsidRPr="00B32F78">
        <w:rPr>
          <w:rFonts w:cs="FrankRuehl"/>
          <w:color w:val="000000"/>
          <w:sz w:val="28"/>
          <w:szCs w:val="28"/>
          <w:rtl/>
        </w:rPr>
        <w:t xml:space="preserve">מדובר בדו"ח אירוע פנימי של אגף הביטחון שאין למוסרו בהתאם לסעיפים 9(ב)(4) ו-9(ב)(1) לחוק, שכן מסירת מידע מסוג זה עלולה לחשוף שיטות אבטחה באופן שיש בו כדי לשבש את עבודת הרשות.  </w:t>
      </w:r>
    </w:p>
    <w:p w:rsidR="00583CA2" w:rsidRPr="00B32F78" w:rsidRDefault="00583CA2" w:rsidP="00583CA2">
      <w:pPr>
        <w:overflowPunct w:val="0"/>
        <w:autoSpaceDE w:val="0"/>
        <w:autoSpaceDN w:val="0"/>
        <w:adjustRightInd w:val="0"/>
        <w:spacing w:after="0" w:line="360" w:lineRule="auto"/>
        <w:ind w:left="720"/>
        <w:jc w:val="both"/>
        <w:textAlignment w:val="baseline"/>
        <w:rPr>
          <w:rFonts w:cs="FrankRuehl"/>
          <w:color w:val="000000"/>
          <w:sz w:val="28"/>
          <w:szCs w:val="28"/>
        </w:rPr>
      </w:pPr>
    </w:p>
    <w:p w:rsidR="00583CA2" w:rsidRPr="007A2F81" w:rsidRDefault="00583CA2" w:rsidP="00583CA2">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Pr>
          <w:rFonts w:cs="FrankRuehl" w:hint="cs"/>
          <w:sz w:val="28"/>
          <w:szCs w:val="28"/>
          <w:rtl/>
        </w:rPr>
        <w:t xml:space="preserve">לעניין בקשתך לקבלת סרטונים מהאירוע אשיב כי המידע המבוקש אינו קיים. למעלה מן הדרוש אציין כי מדובר במידע שגם לו היה קיים הוא לא היה נמסר על יסוד סעיף 9(א)(3) לחוק ו9(א)(4) לחוק. תכלית השימוש במצלמות המעקב המותקנות בבתי המשפט היא לצרכי אגף הביטחון. בהתאם להנחיית רשם מאגרי מידע מס' 4/2012 "שימוש במצלמות אבטחה ומעקב במאגרי התמונות הנקלטות בהן", אין למסור צילומים ממצלמות אבטחה לגורמים שאינם קשורים לארגון מציב המצלמות, אלא בכפוף לצו שיפוטי המורה לעשות כן. </w:t>
      </w:r>
      <w:r>
        <w:rPr>
          <w:rFonts w:cs="FrankRuehl" w:hint="cs"/>
          <w:color w:val="000000"/>
          <w:sz w:val="28"/>
          <w:szCs w:val="28"/>
          <w:rtl/>
        </w:rPr>
        <w:t xml:space="preserve">בנוסף, מסירת </w:t>
      </w:r>
      <w:r w:rsidRPr="007A2F81">
        <w:rPr>
          <w:rFonts w:cs="FrankRuehl" w:hint="cs"/>
          <w:color w:val="000000"/>
          <w:sz w:val="28"/>
          <w:szCs w:val="28"/>
          <w:rtl/>
        </w:rPr>
        <w:t xml:space="preserve">מידע </w:t>
      </w:r>
      <w:r>
        <w:rPr>
          <w:rFonts w:cs="FrankRuehl" w:hint="cs"/>
          <w:color w:val="000000"/>
          <w:sz w:val="28"/>
          <w:szCs w:val="28"/>
          <w:rtl/>
        </w:rPr>
        <w:t xml:space="preserve">מסוג זה </w:t>
      </w:r>
      <w:r w:rsidRPr="007A2F81">
        <w:rPr>
          <w:rFonts w:cs="FrankRuehl" w:hint="cs"/>
          <w:color w:val="000000"/>
          <w:sz w:val="28"/>
          <w:szCs w:val="28"/>
          <w:rtl/>
        </w:rPr>
        <w:t>עשויה לפגוע בפרטיותם של מצולמים אחרים.</w:t>
      </w:r>
    </w:p>
    <w:p w:rsidR="00583CA2" w:rsidRPr="00C92666" w:rsidRDefault="00583CA2" w:rsidP="00583CA2">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Pr>
          <w:rFonts w:cs="FrankRuehl" w:hint="cs"/>
          <w:sz w:val="28"/>
          <w:szCs w:val="28"/>
          <w:rtl/>
        </w:rPr>
        <w:t xml:space="preserve">כנגד </w:t>
      </w:r>
      <w:r>
        <w:rPr>
          <w:rFonts w:cs="FrankRuehl" w:hint="cs"/>
          <w:color w:val="000000"/>
          <w:sz w:val="28"/>
          <w:szCs w:val="28"/>
          <w:rtl/>
        </w:rPr>
        <w:t>החלטה זו</w:t>
      </w:r>
      <w:r w:rsidRPr="00C92666">
        <w:rPr>
          <w:rFonts w:cs="FrankRuehl" w:hint="cs"/>
          <w:color w:val="000000"/>
          <w:sz w:val="28"/>
          <w:szCs w:val="28"/>
          <w:rtl/>
        </w:rPr>
        <w:t xml:space="preserve"> </w:t>
      </w:r>
      <w:r w:rsidRPr="00C92666">
        <w:rPr>
          <w:rFonts w:cs="FrankRuehl" w:hint="cs"/>
          <w:sz w:val="28"/>
          <w:szCs w:val="28"/>
          <w:rtl/>
        </w:rPr>
        <w:t>ניתן להגיש עתירה מנהלית בתוך 45 יום לבית המשפט לעניינים מנהליים בירושלים.</w:t>
      </w:r>
    </w:p>
    <w:p w:rsidR="00583CA2" w:rsidRPr="00411B0C" w:rsidRDefault="00583CA2" w:rsidP="00583CA2">
      <w:pPr>
        <w:overflowPunct w:val="0"/>
        <w:autoSpaceDE w:val="0"/>
        <w:autoSpaceDN w:val="0"/>
        <w:adjustRightInd w:val="0"/>
        <w:spacing w:after="0" w:line="360" w:lineRule="auto"/>
        <w:ind w:left="720"/>
        <w:jc w:val="both"/>
        <w:textAlignment w:val="baseline"/>
        <w:rPr>
          <w:rFonts w:cs="FrankRuehl"/>
          <w:color w:val="000000"/>
          <w:sz w:val="28"/>
          <w:szCs w:val="28"/>
        </w:rPr>
      </w:pPr>
      <w:r>
        <w:rPr>
          <w:rFonts w:cs="FrankRuehl" w:hint="cs"/>
          <w:sz w:val="28"/>
          <w:szCs w:val="28"/>
          <w:rtl/>
        </w:rPr>
        <w:t xml:space="preserve">    </w:t>
      </w:r>
    </w:p>
    <w:p w:rsidR="00583CA2" w:rsidRPr="00F45056" w:rsidRDefault="00583CA2" w:rsidP="00583CA2">
      <w:pPr>
        <w:numPr>
          <w:ilvl w:val="0"/>
          <w:numId w:val="1"/>
        </w:numPr>
        <w:overflowPunct w:val="0"/>
        <w:autoSpaceDE w:val="0"/>
        <w:autoSpaceDN w:val="0"/>
        <w:adjustRightInd w:val="0"/>
        <w:spacing w:after="0" w:line="360" w:lineRule="auto"/>
        <w:ind w:left="720"/>
        <w:jc w:val="both"/>
        <w:textAlignment w:val="baseline"/>
        <w:rPr>
          <w:rFonts w:cs="FrankRuehl"/>
          <w:color w:val="000000"/>
          <w:sz w:val="28"/>
          <w:szCs w:val="28"/>
        </w:rPr>
      </w:pPr>
      <w:r w:rsidRPr="00F45056">
        <w:rPr>
          <w:rFonts w:cs="FrankRuehl" w:hint="cs"/>
          <w:color w:val="000000"/>
          <w:sz w:val="28"/>
          <w:szCs w:val="28"/>
          <w:rtl/>
        </w:rPr>
        <w:t xml:space="preserve">אנו </w:t>
      </w:r>
      <w:r w:rsidRPr="006B7638">
        <w:rPr>
          <w:rFonts w:cs="FrankRuehl" w:hint="cs"/>
          <w:color w:val="000000"/>
          <w:sz w:val="28"/>
          <w:szCs w:val="28"/>
          <w:rtl/>
        </w:rPr>
        <w:t>לרשותך</w:t>
      </w:r>
      <w:r w:rsidRPr="00F45056">
        <w:rPr>
          <w:rFonts w:cs="FrankRuehl" w:hint="cs"/>
          <w:color w:val="000000"/>
          <w:sz w:val="28"/>
          <w:szCs w:val="28"/>
          <w:rtl/>
        </w:rPr>
        <w:t xml:space="preserve"> ככל שיידר</w:t>
      </w:r>
      <w:r w:rsidRPr="00F45056">
        <w:rPr>
          <w:rFonts w:cs="FrankRuehl" w:hint="eastAsia"/>
          <w:color w:val="000000"/>
          <w:sz w:val="28"/>
          <w:szCs w:val="28"/>
          <w:rtl/>
        </w:rPr>
        <w:t>ש</w:t>
      </w:r>
      <w:r w:rsidRPr="00F45056">
        <w:rPr>
          <w:rFonts w:cs="FrankRuehl" w:hint="cs"/>
          <w:color w:val="000000"/>
          <w:sz w:val="28"/>
          <w:szCs w:val="28"/>
          <w:rtl/>
        </w:rPr>
        <w:t xml:space="preserve">. </w:t>
      </w:r>
    </w:p>
    <w:p w:rsidR="00583CA2" w:rsidRDefault="00583CA2" w:rsidP="00583CA2">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p>
    <w:p w:rsidR="00583CA2" w:rsidRDefault="00583CA2" w:rsidP="00583CA2">
      <w:pPr>
        <w:tabs>
          <w:tab w:val="left" w:pos="5336"/>
          <w:tab w:val="left" w:pos="6328"/>
        </w:tabs>
        <w:overflowPunct w:val="0"/>
        <w:autoSpaceDE w:val="0"/>
        <w:autoSpaceDN w:val="0"/>
        <w:adjustRightInd w:val="0"/>
        <w:spacing w:before="240" w:after="0" w:line="360" w:lineRule="auto"/>
        <w:jc w:val="center"/>
        <w:textAlignment w:val="baseline"/>
        <w:rPr>
          <w:rFonts w:ascii="Times New Roman" w:eastAsia="Times New Roman" w:hAnsi="Times New Roman" w:cs="FrankRuehl"/>
          <w:sz w:val="28"/>
          <w:szCs w:val="28"/>
          <w:rtl/>
          <w:lang w:eastAsia="he-IL"/>
        </w:rPr>
      </w:pPr>
    </w:p>
    <w:p w:rsidR="006C5EE7" w:rsidRDefault="006C5EE7">
      <w:bookmarkStart w:id="0" w:name="_GoBack"/>
      <w:bookmarkEnd w:id="0"/>
    </w:p>
    <w:sectPr w:rsidR="006C5EE7" w:rsidSect="008E26B2">
      <w:pgSz w:w="11906" w:h="16838"/>
      <w:pgMar w:top="1440" w:right="1800" w:bottom="1440" w:left="1800" w:header="708" w:footer="708" w:gutter="0"/>
      <w:cols w:space="708"/>
      <w:bidi/>
      <w:rtlGutter/>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CE46ABB"/>
    <w:multiLevelType w:val="hybridMultilevel"/>
    <w:tmpl w:val="AE30FF5C"/>
    <w:lvl w:ilvl="0" w:tplc="F25C79B4">
      <w:start w:val="1"/>
      <w:numFmt w:val="decimal"/>
      <w:lvlText w:val="%1."/>
      <w:lvlJc w:val="left"/>
      <w:pPr>
        <w:ind w:left="360" w:hanging="360"/>
      </w:pPr>
      <w:rPr>
        <w:rFonts w:hint="default"/>
        <w:b w:val="0"/>
        <w:bCs w:val="0"/>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CA2"/>
    <w:rsid w:val="00583CA2"/>
    <w:rsid w:val="006C5EE7"/>
    <w:rsid w:val="008E26B2"/>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2DFC015-7739-4CBD-BF5D-CB0EF8F59B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83CA2"/>
    <w:pPr>
      <w:bidi/>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194</Words>
  <Characters>971</Characters>
  <Application>Microsoft Office Word</Application>
  <DocSecurity>0</DocSecurity>
  <Lines>8</Lines>
  <Paragraphs>2</Paragraphs>
  <ScaleCrop>false</ScaleCrop>
  <HeadingPairs>
    <vt:vector size="2" baseType="variant">
      <vt:variant>
        <vt:lpstr>שם</vt:lpstr>
      </vt:variant>
      <vt:variant>
        <vt:i4>1</vt:i4>
      </vt:variant>
    </vt:vector>
  </HeadingPairs>
  <TitlesOfParts>
    <vt:vector size="1" baseType="lpstr">
      <vt:lpstr/>
    </vt:vector>
  </TitlesOfParts>
  <Company>Court</Company>
  <LinksUpToDate>false</LinksUpToDate>
  <CharactersWithSpaces>1163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עינת צבאג</dc:creator>
  <cp:keywords/>
  <dc:description/>
  <cp:lastModifiedBy>עינת צבאג</cp:lastModifiedBy>
  <cp:revision>1</cp:revision>
  <dcterms:created xsi:type="dcterms:W3CDTF">2021-07-14T11:32:00Z</dcterms:created>
  <dcterms:modified xsi:type="dcterms:W3CDTF">2021-07-14T11:33:00Z</dcterms:modified>
</cp:coreProperties>
</file>