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55EF" w:rsidRPr="00813003" w:rsidRDefault="00FA55EF" w:rsidP="00FA55EF">
      <w:pPr>
        <w:spacing w:after="0"/>
        <w:jc w:val="both"/>
        <w:rPr>
          <w:rFonts w:cs="FrankRuehl"/>
          <w:sz w:val="28"/>
          <w:szCs w:val="28"/>
          <w:rtl/>
        </w:rPr>
      </w:pPr>
    </w:p>
    <w:p w:rsidR="00813003" w:rsidRPr="00813003" w:rsidRDefault="00813003" w:rsidP="00813003">
      <w:pPr>
        <w:tabs>
          <w:tab w:val="center" w:pos="6321"/>
        </w:tabs>
        <w:spacing w:after="0" w:line="240" w:lineRule="auto"/>
        <w:ind w:firstLine="454"/>
        <w:jc w:val="center"/>
        <w:rPr>
          <w:rFonts w:cs="FrankRuehl"/>
          <w:sz w:val="28"/>
          <w:szCs w:val="28"/>
          <w:u w:val="single"/>
          <w:rtl/>
        </w:rPr>
      </w:pPr>
      <w:r w:rsidRPr="00813003">
        <w:rPr>
          <w:rFonts w:cs="FrankRuehl" w:hint="cs"/>
          <w:sz w:val="28"/>
          <w:szCs w:val="28"/>
          <w:rtl/>
        </w:rPr>
        <w:t>ה</w:t>
      </w:r>
      <w:r w:rsidRPr="00813003">
        <w:rPr>
          <w:rFonts w:cs="FrankRuehl"/>
          <w:sz w:val="28"/>
          <w:szCs w:val="28"/>
          <w:rtl/>
        </w:rPr>
        <w:t xml:space="preserve">נדון: </w:t>
      </w:r>
      <w:r w:rsidRPr="00813003">
        <w:rPr>
          <w:rFonts w:cs="FrankRuehl"/>
          <w:b/>
          <w:bCs/>
          <w:sz w:val="28"/>
          <w:szCs w:val="28"/>
          <w:u w:val="single"/>
          <w:rtl/>
        </w:rPr>
        <w:t>בקש</w:t>
      </w:r>
      <w:r w:rsidR="00FA55EF">
        <w:rPr>
          <w:rFonts w:cs="FrankRuehl" w:hint="cs"/>
          <w:b/>
          <w:bCs/>
          <w:sz w:val="28"/>
          <w:szCs w:val="28"/>
          <w:u w:val="single"/>
          <w:rtl/>
        </w:rPr>
        <w:t>תך</w:t>
      </w:r>
      <w:r w:rsidRPr="00813003">
        <w:rPr>
          <w:rFonts w:cs="FrankRuehl"/>
          <w:b/>
          <w:bCs/>
          <w:sz w:val="28"/>
          <w:szCs w:val="28"/>
          <w:u w:val="single"/>
          <w:rtl/>
        </w:rPr>
        <w:t xml:space="preserve"> לקבלת מידע לפי חוק חופש המידע, התשנ"ח-1998</w:t>
      </w:r>
    </w:p>
    <w:p w:rsidR="00813003" w:rsidRPr="00813003" w:rsidRDefault="00813003" w:rsidP="00813003">
      <w:pPr>
        <w:tabs>
          <w:tab w:val="center" w:pos="6321"/>
        </w:tabs>
        <w:spacing w:after="0" w:line="240" w:lineRule="auto"/>
        <w:ind w:firstLine="454"/>
        <w:jc w:val="center"/>
        <w:rPr>
          <w:rFonts w:cs="FrankRuehl"/>
          <w:rtl/>
        </w:rPr>
      </w:pPr>
      <w:r w:rsidRPr="00813003">
        <w:rPr>
          <w:rFonts w:cs="FrankRuehl"/>
          <w:rtl/>
        </w:rPr>
        <w:t xml:space="preserve">סימוכין: </w:t>
      </w:r>
      <w:r w:rsidRPr="00813003">
        <w:rPr>
          <w:rFonts w:cs="FrankRuehl" w:hint="cs"/>
          <w:rtl/>
        </w:rPr>
        <w:t xml:space="preserve">בקשה מיום </w:t>
      </w:r>
      <w:r w:rsidR="00FA55EF">
        <w:rPr>
          <w:rFonts w:cs="FrankRuehl" w:hint="cs"/>
          <w:rtl/>
        </w:rPr>
        <w:t>20.4.2021</w:t>
      </w:r>
    </w:p>
    <w:p w:rsidR="00813003" w:rsidRPr="005875A9" w:rsidRDefault="00813003" w:rsidP="00813003">
      <w:pPr>
        <w:tabs>
          <w:tab w:val="center" w:pos="6321"/>
        </w:tabs>
        <w:spacing w:after="0" w:line="240" w:lineRule="auto"/>
        <w:ind w:firstLine="454"/>
        <w:jc w:val="center"/>
        <w:rPr>
          <w:rFonts w:cs="FrankRuehl"/>
          <w:sz w:val="24"/>
          <w:szCs w:val="24"/>
        </w:rPr>
      </w:pPr>
    </w:p>
    <w:p w:rsidR="00813003" w:rsidRPr="005875A9" w:rsidRDefault="00813003" w:rsidP="00813003">
      <w:pPr>
        <w:tabs>
          <w:tab w:val="center" w:pos="6321"/>
        </w:tabs>
        <w:spacing w:after="0" w:line="240" w:lineRule="auto"/>
        <w:ind w:firstLine="454"/>
        <w:jc w:val="both"/>
        <w:rPr>
          <w:rFonts w:cs="FrankRuehl"/>
          <w:sz w:val="24"/>
          <w:szCs w:val="24"/>
        </w:rPr>
      </w:pPr>
    </w:p>
    <w:p w:rsidR="00FA55EF" w:rsidRDefault="00040363" w:rsidP="00040363">
      <w:pPr>
        <w:pStyle w:val="a9"/>
        <w:numPr>
          <w:ilvl w:val="0"/>
          <w:numId w:val="2"/>
        </w:numPr>
        <w:autoSpaceDN w:val="0"/>
        <w:spacing w:after="200" w:line="360" w:lineRule="auto"/>
        <w:jc w:val="both"/>
        <w:rPr>
          <w:rFonts w:ascii="FrankRuehl" w:hAnsi="FrankRuehl" w:cs="FrankRuehl"/>
          <w:sz w:val="28"/>
          <w:szCs w:val="28"/>
        </w:rPr>
      </w:pPr>
      <w:r>
        <w:rPr>
          <w:rFonts w:cs="FrankRuehl" w:hint="cs"/>
          <w:sz w:val="28"/>
          <w:szCs w:val="28"/>
          <w:rtl/>
        </w:rPr>
        <w:t xml:space="preserve">הבקשה שבסימוכין </w:t>
      </w:r>
      <w:r w:rsidRPr="00081455">
        <w:rPr>
          <w:rFonts w:cs="FrankRuehl" w:hint="cs"/>
          <w:sz w:val="28"/>
          <w:szCs w:val="28"/>
          <w:rtl/>
        </w:rPr>
        <w:t xml:space="preserve">לקבלת מידע </w:t>
      </w:r>
      <w:r>
        <w:rPr>
          <w:rFonts w:ascii="FrankRuehl" w:hAnsi="FrankRuehl" w:cs="FrankRuehl" w:hint="cs"/>
          <w:color w:val="000000" w:themeColor="text1"/>
          <w:sz w:val="28"/>
          <w:szCs w:val="28"/>
          <w:rtl/>
        </w:rPr>
        <w:t xml:space="preserve">לפי חוק חופש המידע התשנ"ח-1998 (להלן: </w:t>
      </w:r>
      <w:r w:rsidRPr="00081455">
        <w:rPr>
          <w:rFonts w:ascii="FrankRuehl" w:hAnsi="FrankRuehl" w:cs="FrankRuehl" w:hint="cs"/>
          <w:color w:val="000000" w:themeColor="text1"/>
          <w:sz w:val="28"/>
          <w:szCs w:val="28"/>
          <w:rtl/>
        </w:rPr>
        <w:t xml:space="preserve">החוק), </w:t>
      </w:r>
      <w:r w:rsidRPr="00081455">
        <w:rPr>
          <w:rFonts w:cs="FrankRuehl" w:hint="cs"/>
          <w:sz w:val="28"/>
          <w:szCs w:val="28"/>
          <w:rtl/>
        </w:rPr>
        <w:t xml:space="preserve">על אודות </w:t>
      </w:r>
      <w:r w:rsidR="00FA55EF">
        <w:rPr>
          <w:rFonts w:cs="FrankRuehl" w:hint="cs"/>
          <w:sz w:val="28"/>
          <w:szCs w:val="28"/>
          <w:rtl/>
        </w:rPr>
        <w:t>כמות נייר המפונה מבתי המשפט ואחוז התיקים בוועדת ערר</w:t>
      </w:r>
      <w:r>
        <w:rPr>
          <w:rFonts w:cs="FrankRuehl" w:hint="cs"/>
          <w:sz w:val="28"/>
          <w:szCs w:val="28"/>
          <w:rtl/>
        </w:rPr>
        <w:t>,</w:t>
      </w:r>
      <w:r w:rsidRPr="00081455">
        <w:rPr>
          <w:rFonts w:cs="FrankRuehl" w:hint="cs"/>
          <w:sz w:val="28"/>
          <w:szCs w:val="28"/>
          <w:rtl/>
        </w:rPr>
        <w:t xml:space="preserve"> נבחנה והוחלט </w:t>
      </w:r>
      <w:r w:rsidR="00FA55EF">
        <w:rPr>
          <w:rFonts w:cs="FrankRuehl" w:hint="cs"/>
          <w:sz w:val="28"/>
          <w:szCs w:val="28"/>
          <w:rtl/>
        </w:rPr>
        <w:t xml:space="preserve">שניתן להיעתר לה באופן חלקי. </w:t>
      </w:r>
    </w:p>
    <w:p w:rsidR="00BB7A10" w:rsidRPr="00FA55EF" w:rsidRDefault="00BB7A10" w:rsidP="00BB7A10">
      <w:pPr>
        <w:pStyle w:val="a9"/>
        <w:autoSpaceDN w:val="0"/>
        <w:spacing w:after="200" w:line="360" w:lineRule="auto"/>
        <w:jc w:val="both"/>
        <w:rPr>
          <w:rFonts w:ascii="FrankRuehl" w:hAnsi="FrankRuehl" w:cs="FrankRuehl"/>
          <w:sz w:val="28"/>
          <w:szCs w:val="28"/>
        </w:rPr>
      </w:pPr>
    </w:p>
    <w:p w:rsidR="00FA55EF" w:rsidRPr="00FA55EF" w:rsidRDefault="00FA55EF" w:rsidP="00040363">
      <w:pPr>
        <w:pStyle w:val="a9"/>
        <w:numPr>
          <w:ilvl w:val="0"/>
          <w:numId w:val="2"/>
        </w:numPr>
        <w:autoSpaceDN w:val="0"/>
        <w:spacing w:after="200" w:line="360" w:lineRule="auto"/>
        <w:jc w:val="both"/>
        <w:rPr>
          <w:rFonts w:ascii="FrankRuehl" w:hAnsi="FrankRuehl" w:cs="FrankRuehl"/>
          <w:sz w:val="28"/>
          <w:szCs w:val="28"/>
        </w:rPr>
      </w:pPr>
      <w:r>
        <w:rPr>
          <w:rFonts w:cs="FrankRuehl" w:hint="cs"/>
          <w:sz w:val="28"/>
          <w:szCs w:val="28"/>
          <w:rtl/>
        </w:rPr>
        <w:t>לעניין בקשתך בסעיף 3 א 1, כמות הנייר במשקל המפונה מבתי המשפט בשלוש הש</w:t>
      </w:r>
      <w:r w:rsidR="00BB7A10">
        <w:rPr>
          <w:rFonts w:cs="FrankRuehl" w:hint="cs"/>
          <w:sz w:val="28"/>
          <w:szCs w:val="28"/>
          <w:rtl/>
        </w:rPr>
        <w:t>נים האחרונות, מצ"ב המידע המבוקש.</w:t>
      </w:r>
    </w:p>
    <w:p w:rsidR="00FA55EF" w:rsidRPr="00FA55EF" w:rsidRDefault="00FA55EF" w:rsidP="00FA55EF">
      <w:pPr>
        <w:pStyle w:val="a9"/>
        <w:autoSpaceDN w:val="0"/>
        <w:spacing w:after="200" w:line="360" w:lineRule="auto"/>
        <w:jc w:val="both"/>
        <w:rPr>
          <w:rFonts w:ascii="FrankRuehl" w:hAnsi="FrankRuehl" w:cs="FrankRuehl"/>
          <w:sz w:val="28"/>
          <w:szCs w:val="28"/>
        </w:rPr>
      </w:pPr>
    </w:p>
    <w:p w:rsidR="00FA55EF" w:rsidRPr="00F92721" w:rsidRDefault="00FA55EF" w:rsidP="00F92721">
      <w:pPr>
        <w:pStyle w:val="a9"/>
        <w:numPr>
          <w:ilvl w:val="0"/>
          <w:numId w:val="2"/>
        </w:numPr>
        <w:autoSpaceDN w:val="0"/>
        <w:spacing w:after="200" w:line="360" w:lineRule="auto"/>
        <w:jc w:val="both"/>
        <w:rPr>
          <w:rFonts w:ascii="FrankRuehl" w:hAnsi="FrankRuehl" w:cs="FrankRuehl"/>
          <w:sz w:val="28"/>
          <w:szCs w:val="28"/>
        </w:rPr>
      </w:pPr>
      <w:r>
        <w:rPr>
          <w:rFonts w:ascii="FrankRuehl" w:hAnsi="FrankRuehl" w:cs="FrankRuehl" w:hint="cs"/>
          <w:sz w:val="28"/>
          <w:szCs w:val="28"/>
          <w:rtl/>
        </w:rPr>
        <w:t>לעניין בקשתך בסעיף 3 א 2, עלות פינוי הנייר בפילוח ל</w:t>
      </w:r>
      <w:r w:rsidR="00F92721">
        <w:rPr>
          <w:rFonts w:ascii="FrankRuehl" w:hAnsi="FrankRuehl" w:cs="FrankRuehl" w:hint="cs"/>
          <w:sz w:val="28"/>
          <w:szCs w:val="28"/>
          <w:rtl/>
        </w:rPr>
        <w:t>פי בית משפט, מצ"ב המידע המבוקש.</w:t>
      </w:r>
    </w:p>
    <w:p w:rsidR="00FA55EF" w:rsidRPr="00FA55EF" w:rsidRDefault="00FA55EF" w:rsidP="00FA55EF">
      <w:pPr>
        <w:pStyle w:val="a9"/>
        <w:autoSpaceDN w:val="0"/>
        <w:spacing w:after="200" w:line="360" w:lineRule="auto"/>
        <w:jc w:val="both"/>
        <w:rPr>
          <w:rFonts w:ascii="FrankRuehl" w:hAnsi="FrankRuehl" w:cs="FrankRuehl"/>
          <w:sz w:val="28"/>
          <w:szCs w:val="28"/>
        </w:rPr>
      </w:pPr>
    </w:p>
    <w:p w:rsidR="00040363" w:rsidRDefault="00FA55EF" w:rsidP="00FA55EF">
      <w:pPr>
        <w:pStyle w:val="a9"/>
        <w:numPr>
          <w:ilvl w:val="0"/>
          <w:numId w:val="2"/>
        </w:numPr>
        <w:autoSpaceDN w:val="0"/>
        <w:spacing w:after="200" w:line="360" w:lineRule="auto"/>
        <w:jc w:val="both"/>
        <w:rPr>
          <w:rFonts w:ascii="FrankRuehl" w:hAnsi="FrankRuehl" w:cs="FrankRuehl"/>
          <w:sz w:val="28"/>
          <w:szCs w:val="28"/>
        </w:rPr>
      </w:pPr>
      <w:r>
        <w:rPr>
          <w:rFonts w:cs="FrankRuehl" w:hint="cs"/>
          <w:sz w:val="28"/>
          <w:szCs w:val="28"/>
          <w:rtl/>
        </w:rPr>
        <w:lastRenderedPageBreak/>
        <w:t xml:space="preserve">לעניין סעיף ב' בבקשתך, אחוז התיקים בוועדות הערר המגיעים לפסק דין מנומק, לעומת האחוז בהם הערר נמחק או נדחה לפני שמיעת ראיות, אשיב </w:t>
      </w:r>
      <w:r w:rsidR="00040363" w:rsidRPr="00081455">
        <w:rPr>
          <w:rFonts w:cs="FrankRuehl" w:hint="cs"/>
          <w:sz w:val="28"/>
          <w:szCs w:val="28"/>
          <w:rtl/>
        </w:rPr>
        <w:t>שלא ניתן להיעתר לה</w:t>
      </w:r>
      <w:r w:rsidR="00040363" w:rsidRPr="00081455">
        <w:rPr>
          <w:rFonts w:ascii="FrankRuehl" w:hAnsi="FrankRuehl" w:cs="FrankRuehl"/>
          <w:sz w:val="28"/>
          <w:szCs w:val="28"/>
          <w:rtl/>
        </w:rPr>
        <w:t xml:space="preserve"> שכן אין ב</w:t>
      </w:r>
      <w:r w:rsidR="00040363">
        <w:rPr>
          <w:rFonts w:ascii="FrankRuehl" w:hAnsi="FrankRuehl" w:cs="FrankRuehl" w:hint="cs"/>
          <w:sz w:val="28"/>
          <w:szCs w:val="28"/>
          <w:rtl/>
        </w:rPr>
        <w:t>רשותנו</w:t>
      </w:r>
      <w:r w:rsidR="00040363" w:rsidRPr="00081455">
        <w:rPr>
          <w:rFonts w:ascii="FrankRuehl" w:hAnsi="FrankRuehl" w:cs="FrankRuehl"/>
          <w:sz w:val="28"/>
          <w:szCs w:val="28"/>
          <w:rtl/>
        </w:rPr>
        <w:t xml:space="preserve"> ריכוז של נתונים אלה. </w:t>
      </w:r>
    </w:p>
    <w:p w:rsidR="00BB7A10" w:rsidRPr="00081455" w:rsidRDefault="00BB7A10" w:rsidP="00BB7A10">
      <w:pPr>
        <w:pStyle w:val="a9"/>
        <w:autoSpaceDN w:val="0"/>
        <w:spacing w:after="200" w:line="360" w:lineRule="auto"/>
        <w:jc w:val="both"/>
        <w:rPr>
          <w:rFonts w:ascii="FrankRuehl" w:hAnsi="FrankRuehl" w:cs="FrankRuehl"/>
          <w:sz w:val="28"/>
          <w:szCs w:val="28"/>
        </w:rPr>
      </w:pPr>
    </w:p>
    <w:p w:rsidR="00040363" w:rsidRPr="00A94B0A" w:rsidRDefault="00040363" w:rsidP="00040363">
      <w:pPr>
        <w:pStyle w:val="a9"/>
        <w:autoSpaceDN w:val="0"/>
        <w:spacing w:after="200" w:line="360" w:lineRule="auto"/>
        <w:jc w:val="both"/>
        <w:rPr>
          <w:rFonts w:cs="FrankRuehl"/>
          <w:sz w:val="28"/>
          <w:szCs w:val="28"/>
          <w:rtl/>
        </w:rPr>
      </w:pPr>
      <w:r w:rsidRPr="00A94B0A">
        <w:rPr>
          <w:rFonts w:cs="FrankRuehl"/>
          <w:sz w:val="28"/>
          <w:szCs w:val="28"/>
          <w:rtl/>
        </w:rPr>
        <w:t xml:space="preserve">מטבע הדברים, במערכת אשר במסגרתה מתנהלים הליכים רבים מסוגים שונים ורבים, קיימים אינסוף של פילוחים אפשריים, שרובם הגדול אינם מקבלים ביטוי במערכות הממוחשבות. כמו כן, בהתאם לסעיף 7(ה) לחוק, רשות ציבורית אינה מחויבת לעבד את המידע לצרכיו של המבקש אלא רק מידע כפי שהוא מצוי בידי הרשות הציבורית. </w:t>
      </w:r>
    </w:p>
    <w:p w:rsidR="00040363" w:rsidRPr="00A94B0A" w:rsidRDefault="00040363" w:rsidP="00040363">
      <w:pPr>
        <w:pStyle w:val="a9"/>
        <w:autoSpaceDN w:val="0"/>
        <w:spacing w:after="200" w:line="360" w:lineRule="auto"/>
        <w:jc w:val="both"/>
        <w:rPr>
          <w:rFonts w:cs="FrankRuehl"/>
          <w:sz w:val="28"/>
          <w:szCs w:val="28"/>
          <w:rtl/>
        </w:rPr>
      </w:pPr>
      <w:r w:rsidRPr="00A94B0A">
        <w:rPr>
          <w:rFonts w:cs="FrankRuehl"/>
          <w:sz w:val="28"/>
          <w:szCs w:val="28"/>
          <w:rtl/>
        </w:rPr>
        <w:t xml:space="preserve">למעלה מן הצורך, יצוין כי לצורך הפקת המידע, תידרש כניסה לכל תיק ותיק באופן פרטני ולחילוץ המידע המבוקש מתוך התיקים, דבר שיהיה כרוך בהקצאת משאבים בלתי סבירה. לפיכך, אין בידנו להיעתר לבקשתך לקבלת מידע זה, כאמור, בין היתר, על יסוד סעיפים 8(1) ו-8(3) לחוק. </w:t>
      </w:r>
    </w:p>
    <w:p w:rsidR="00040363" w:rsidRDefault="00040363" w:rsidP="00040363">
      <w:pPr>
        <w:pStyle w:val="a9"/>
        <w:autoSpaceDN w:val="0"/>
        <w:spacing w:after="200" w:line="360" w:lineRule="auto"/>
        <w:ind w:left="1076"/>
        <w:jc w:val="both"/>
        <w:rPr>
          <w:rFonts w:ascii="FrankRuehl" w:hAnsi="FrankRuehl" w:cs="FrankRuehl"/>
          <w:color w:val="000000" w:themeColor="text1"/>
          <w:sz w:val="28"/>
          <w:szCs w:val="28"/>
          <w:rtl/>
        </w:rPr>
      </w:pPr>
    </w:p>
    <w:p w:rsidR="00040363" w:rsidRPr="00040363" w:rsidRDefault="00040363" w:rsidP="00040363">
      <w:pPr>
        <w:pStyle w:val="a9"/>
        <w:numPr>
          <w:ilvl w:val="0"/>
          <w:numId w:val="2"/>
        </w:numPr>
        <w:autoSpaceDN w:val="0"/>
        <w:spacing w:after="200" w:line="360" w:lineRule="auto"/>
        <w:jc w:val="both"/>
        <w:rPr>
          <w:rFonts w:ascii="FrankRuehl" w:hAnsi="FrankRuehl" w:cs="FrankRuehl"/>
          <w:color w:val="000000" w:themeColor="text1"/>
          <w:sz w:val="28"/>
          <w:szCs w:val="28"/>
          <w:rtl/>
        </w:rPr>
      </w:pPr>
      <w:r>
        <w:rPr>
          <w:rFonts w:ascii="FrankRuehl" w:hAnsi="FrankRuehl" w:cs="FrankRuehl"/>
          <w:color w:val="000000" w:themeColor="text1"/>
          <w:sz w:val="28"/>
          <w:szCs w:val="28"/>
          <w:rtl/>
        </w:rPr>
        <w:t xml:space="preserve">כנגד החלטה זו </w:t>
      </w:r>
      <w:r w:rsidRPr="00BB7A10">
        <w:rPr>
          <w:rFonts w:ascii="FrankRuehl" w:hAnsi="FrankRuehl" w:cs="FrankRuehl" w:hint="cs"/>
          <w:color w:val="000000" w:themeColor="text1"/>
          <w:sz w:val="28"/>
          <w:szCs w:val="28"/>
          <w:rtl/>
        </w:rPr>
        <w:t>אתה</w:t>
      </w:r>
      <w:r w:rsidRPr="00BB7A10">
        <w:rPr>
          <w:rFonts w:ascii="FrankRuehl" w:hAnsi="FrankRuehl" w:cs="FrankRuehl"/>
          <w:color w:val="000000" w:themeColor="text1"/>
          <w:sz w:val="28"/>
          <w:szCs w:val="28"/>
          <w:rtl/>
        </w:rPr>
        <w:t xml:space="preserve"> רשאי</w:t>
      </w:r>
      <w:r>
        <w:rPr>
          <w:rFonts w:ascii="FrankRuehl" w:hAnsi="FrankRuehl" w:cs="FrankRuehl"/>
          <w:color w:val="000000" w:themeColor="text1"/>
          <w:sz w:val="28"/>
          <w:szCs w:val="28"/>
          <w:rtl/>
        </w:rPr>
        <w:t xml:space="preserve"> להגיש עתירה מנהלית לבית המשפט לעניינים</w:t>
      </w:r>
      <w:r>
        <w:rPr>
          <w:rFonts w:ascii="FrankRuehl" w:hAnsi="FrankRuehl" w:cs="FrankRuehl" w:hint="cs"/>
          <w:color w:val="000000" w:themeColor="text1"/>
          <w:sz w:val="28"/>
          <w:szCs w:val="28"/>
          <w:rtl/>
        </w:rPr>
        <w:t xml:space="preserve"> </w:t>
      </w:r>
      <w:r>
        <w:rPr>
          <w:rFonts w:ascii="FrankRuehl" w:hAnsi="FrankRuehl" w:cs="FrankRuehl"/>
          <w:color w:val="000000" w:themeColor="text1"/>
          <w:sz w:val="28"/>
          <w:szCs w:val="28"/>
          <w:rtl/>
        </w:rPr>
        <w:t xml:space="preserve">מנהליים בירושלים. </w:t>
      </w:r>
    </w:p>
    <w:p w:rsidR="00040363" w:rsidRDefault="00040363" w:rsidP="00040363">
      <w:pPr>
        <w:pStyle w:val="a9"/>
        <w:spacing w:line="276" w:lineRule="auto"/>
        <w:ind w:left="226"/>
        <w:rPr>
          <w:rFonts w:ascii="FrankRuehl" w:hAnsi="FrankRuehl" w:cs="FrankRuehl"/>
          <w:color w:val="000000" w:themeColor="text1"/>
          <w:sz w:val="28"/>
          <w:szCs w:val="28"/>
        </w:rPr>
      </w:pPr>
    </w:p>
    <w:p w:rsidR="00B16422" w:rsidRDefault="00040363" w:rsidP="00040363">
      <w:pPr>
        <w:pStyle w:val="a9"/>
        <w:numPr>
          <w:ilvl w:val="0"/>
          <w:numId w:val="2"/>
        </w:numPr>
        <w:autoSpaceDN w:val="0"/>
        <w:spacing w:after="200" w:line="276" w:lineRule="auto"/>
        <w:jc w:val="both"/>
        <w:rPr>
          <w:rFonts w:ascii="FrankRuehl" w:hAnsi="FrankRuehl" w:cs="FrankRuehl"/>
          <w:color w:val="000000" w:themeColor="text1"/>
          <w:sz w:val="28"/>
          <w:szCs w:val="28"/>
        </w:rPr>
      </w:pPr>
      <w:r>
        <w:rPr>
          <w:rFonts w:ascii="FrankRuehl" w:hAnsi="FrankRuehl" w:cs="FrankRuehl"/>
          <w:color w:val="000000" w:themeColor="text1"/>
          <w:sz w:val="28"/>
          <w:szCs w:val="28"/>
          <w:rtl/>
        </w:rPr>
        <w:t xml:space="preserve">אנו </w:t>
      </w:r>
      <w:r w:rsidRPr="00BB7A10">
        <w:rPr>
          <w:rFonts w:ascii="FrankRuehl" w:hAnsi="FrankRuehl" w:cs="FrankRuehl"/>
          <w:color w:val="000000" w:themeColor="text1"/>
          <w:sz w:val="28"/>
          <w:szCs w:val="28"/>
          <w:rtl/>
        </w:rPr>
        <w:t>לרשותך</w:t>
      </w:r>
      <w:r>
        <w:rPr>
          <w:rFonts w:ascii="FrankRuehl" w:hAnsi="FrankRuehl" w:cs="FrankRuehl"/>
          <w:color w:val="000000" w:themeColor="text1"/>
          <w:sz w:val="28"/>
          <w:szCs w:val="28"/>
          <w:rtl/>
        </w:rPr>
        <w:t xml:space="preserve"> ככל שיידרש. </w:t>
      </w:r>
    </w:p>
    <w:p w:rsidR="00BB7A10" w:rsidRDefault="00BB7A10" w:rsidP="00BB7A10">
      <w:pPr>
        <w:autoSpaceDN w:val="0"/>
        <w:spacing w:after="200" w:line="276" w:lineRule="auto"/>
        <w:jc w:val="both"/>
        <w:rPr>
          <w:rFonts w:ascii="FrankRuehl" w:hAnsi="FrankRuehl" w:cs="FrankRuehl"/>
          <w:color w:val="000000" w:themeColor="text1"/>
          <w:sz w:val="28"/>
          <w:szCs w:val="28"/>
          <w:rtl/>
        </w:rPr>
      </w:pPr>
    </w:p>
    <w:p w:rsidR="00BB7A10" w:rsidRDefault="00BB7A10" w:rsidP="00BB7A10">
      <w:pPr>
        <w:autoSpaceDN w:val="0"/>
        <w:spacing w:after="200" w:line="276" w:lineRule="auto"/>
        <w:jc w:val="both"/>
        <w:rPr>
          <w:rFonts w:ascii="FrankRuehl" w:hAnsi="FrankRuehl" w:cs="FrankRuehl"/>
          <w:color w:val="000000" w:themeColor="text1"/>
          <w:sz w:val="28"/>
          <w:szCs w:val="28"/>
          <w:rtl/>
        </w:rPr>
      </w:pPr>
    </w:p>
    <w:p w:rsidR="00F92721" w:rsidRDefault="00F92721" w:rsidP="00BB7A10">
      <w:pPr>
        <w:autoSpaceDN w:val="0"/>
        <w:spacing w:after="200" w:line="276" w:lineRule="auto"/>
        <w:jc w:val="both"/>
        <w:rPr>
          <w:rFonts w:ascii="FrankRuehl" w:hAnsi="FrankRuehl" w:cs="FrankRuehl"/>
          <w:color w:val="000000" w:themeColor="text1"/>
          <w:sz w:val="28"/>
          <w:szCs w:val="28"/>
          <w:rtl/>
        </w:rPr>
      </w:pPr>
    </w:p>
    <w:p w:rsidR="002453CF" w:rsidRPr="00040363" w:rsidRDefault="002453CF" w:rsidP="00040363">
      <w:pPr>
        <w:tabs>
          <w:tab w:val="left" w:pos="5336"/>
          <w:tab w:val="left" w:pos="6328"/>
        </w:tabs>
        <w:overflowPunct w:val="0"/>
        <w:autoSpaceDE w:val="0"/>
        <w:autoSpaceDN w:val="0"/>
        <w:adjustRightInd w:val="0"/>
        <w:spacing w:before="240" w:after="0" w:line="360" w:lineRule="auto"/>
        <w:jc w:val="center"/>
        <w:textAlignment w:val="baseline"/>
        <w:rPr>
          <w:rFonts w:ascii="Times New Roman" w:eastAsia="Times New Roman" w:hAnsi="Times New Roman" w:cs="FrankRuehl"/>
          <w:sz w:val="28"/>
          <w:szCs w:val="28"/>
          <w:rtl/>
          <w:lang w:eastAsia="he-IL"/>
        </w:rPr>
      </w:pPr>
      <w:bookmarkStart w:id="0" w:name="_GoBack"/>
      <w:bookmarkEnd w:id="0"/>
    </w:p>
    <w:sectPr w:rsidR="002453CF" w:rsidRPr="00040363" w:rsidSect="00B16422">
      <w:headerReference w:type="default" r:id="rId8"/>
      <w:footerReference w:type="default" r:id="rId9"/>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0CA1" w:rsidRDefault="00730CA1" w:rsidP="00730CA1">
      <w:pPr>
        <w:spacing w:after="0" w:line="240" w:lineRule="auto"/>
      </w:pPr>
      <w:r>
        <w:separator/>
      </w:r>
    </w:p>
  </w:endnote>
  <w:endnote w:type="continuationSeparator" w:id="0">
    <w:p w:rsidR="00730CA1" w:rsidRDefault="00730CA1" w:rsidP="00730C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00"/>
    <w:family w:val="swiss"/>
    <w:pitch w:val="variable"/>
    <w:sig w:usb0="00000803" w:usb1="00000000" w:usb2="00000000" w:usb3="00000000" w:csb0="00000021" w:csb1="00000000"/>
  </w:font>
  <w:font w:name="David">
    <w:panose1 w:val="020E0502060401010101"/>
    <w:charset w:val="B1"/>
    <w:family w:val="swiss"/>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1E49" w:rsidRPr="009C1E49" w:rsidRDefault="009C1E49" w:rsidP="009C1E49">
    <w:pPr>
      <w:tabs>
        <w:tab w:val="center" w:pos="4153"/>
        <w:tab w:val="right" w:pos="8306"/>
      </w:tabs>
      <w:overflowPunct w:val="0"/>
      <w:autoSpaceDE w:val="0"/>
      <w:autoSpaceDN w:val="0"/>
      <w:adjustRightInd w:val="0"/>
      <w:spacing w:after="0" w:line="240" w:lineRule="auto"/>
      <w:textAlignment w:val="baseline"/>
      <w:rPr>
        <w:rFonts w:ascii="Times New Roman" w:eastAsia="Times New Roman" w:hAnsi="Times New Roman" w:cs="FrankRuehl"/>
        <w:color w:val="000080"/>
        <w:spacing w:val="10"/>
        <w:kern w:val="22"/>
        <w:sz w:val="28"/>
        <w:szCs w:val="28"/>
        <w:lang w:eastAsia="he-IL"/>
      </w:rPr>
    </w:pPr>
  </w:p>
  <w:p w:rsidR="009C1E49" w:rsidRPr="009C1E49" w:rsidRDefault="009C1E49" w:rsidP="009C1E49">
    <w:pPr>
      <w:pBdr>
        <w:top w:val="single" w:sz="6" w:space="1" w:color="auto"/>
      </w:pBdr>
      <w:tabs>
        <w:tab w:val="center" w:pos="4153"/>
        <w:tab w:val="right" w:pos="10466"/>
      </w:tabs>
      <w:overflowPunct w:val="0"/>
      <w:autoSpaceDE w:val="0"/>
      <w:autoSpaceDN w:val="0"/>
      <w:adjustRightInd w:val="0"/>
      <w:spacing w:after="0" w:line="240" w:lineRule="auto"/>
      <w:ind w:left="-540" w:right="-694"/>
      <w:jc w:val="center"/>
      <w:textAlignment w:val="baseline"/>
      <w:rPr>
        <w:rFonts w:ascii="Times New Roman" w:eastAsia="Times New Roman" w:hAnsi="Times New Roman" w:cs="David"/>
        <w:spacing w:val="26"/>
        <w:sz w:val="20"/>
        <w:szCs w:val="20"/>
        <w:rtl/>
        <w:lang w:eastAsia="he-IL"/>
      </w:rPr>
    </w:pPr>
    <w:r w:rsidRPr="009C1E49">
      <w:rPr>
        <w:rFonts w:ascii="Times New Roman" w:eastAsia="Times New Roman" w:hAnsi="Times New Roman" w:cs="David" w:hint="cs"/>
        <w:spacing w:val="26"/>
        <w:sz w:val="20"/>
        <w:szCs w:val="20"/>
        <w:rtl/>
        <w:lang w:eastAsia="he-IL"/>
      </w:rPr>
      <w:t xml:space="preserve">רח' כנפי נשרים 22, גבעת שאול, ירושלים 95464 </w:t>
    </w:r>
    <w:r w:rsidRPr="009C1E49">
      <w:rPr>
        <w:rFonts w:ascii="Times New Roman" w:eastAsia="Times New Roman" w:hAnsi="Times New Roman" w:cs="David"/>
        <w:spacing w:val="26"/>
        <w:szCs w:val="20"/>
        <w:lang w:eastAsia="he-IL"/>
      </w:rPr>
      <w:sym w:font="Wingdings" w:char="0028"/>
    </w:r>
    <w:r w:rsidRPr="009C1E49">
      <w:rPr>
        <w:rFonts w:ascii="Times New Roman" w:eastAsia="Times New Roman" w:hAnsi="Times New Roman" w:cs="David" w:hint="cs"/>
        <w:spacing w:val="26"/>
        <w:sz w:val="20"/>
        <w:szCs w:val="20"/>
        <w:rtl/>
        <w:lang w:eastAsia="he-IL"/>
      </w:rPr>
      <w:t xml:space="preserve"> 074-7481919  פקס': 074-7481887</w:t>
    </w:r>
  </w:p>
  <w:p w:rsidR="007007D7" w:rsidRPr="009C1E49" w:rsidRDefault="009C1E49" w:rsidP="009C1E49">
    <w:pPr>
      <w:pBdr>
        <w:top w:val="single" w:sz="6" w:space="1" w:color="auto"/>
      </w:pBdr>
      <w:tabs>
        <w:tab w:val="center" w:pos="4153"/>
        <w:tab w:val="right" w:pos="10466"/>
      </w:tabs>
      <w:overflowPunct w:val="0"/>
      <w:autoSpaceDE w:val="0"/>
      <w:autoSpaceDN w:val="0"/>
      <w:adjustRightInd w:val="0"/>
      <w:spacing w:after="0" w:line="240" w:lineRule="auto"/>
      <w:ind w:left="-540" w:right="-694"/>
      <w:jc w:val="center"/>
      <w:textAlignment w:val="baseline"/>
      <w:rPr>
        <w:rFonts w:ascii="Times New Roman" w:eastAsia="Times New Roman" w:hAnsi="Times New Roman" w:cs="David"/>
        <w:b/>
        <w:bCs/>
        <w:spacing w:val="26"/>
        <w:sz w:val="20"/>
        <w:szCs w:val="20"/>
        <w:lang w:eastAsia="he-IL"/>
      </w:rPr>
    </w:pPr>
    <w:r w:rsidRPr="009C1E49">
      <w:rPr>
        <w:rFonts w:ascii="Times New Roman" w:eastAsia="Times New Roman" w:hAnsi="Times New Roman" w:cs="David"/>
        <w:b/>
        <w:bCs/>
        <w:spacing w:val="26"/>
        <w:sz w:val="20"/>
        <w:szCs w:val="20"/>
        <w:u w:val="single"/>
        <w:lang w:eastAsia="he-IL"/>
      </w:rPr>
      <w:t>hofesh-</w:t>
    </w:r>
    <w:proofErr w:type="gramStart"/>
    <w:r w:rsidRPr="009C1E49">
      <w:rPr>
        <w:rFonts w:ascii="Times New Roman" w:eastAsia="Times New Roman" w:hAnsi="Times New Roman" w:cs="David"/>
        <w:b/>
        <w:bCs/>
        <w:spacing w:val="26"/>
        <w:sz w:val="20"/>
        <w:szCs w:val="20"/>
        <w:u w:val="single"/>
        <w:lang w:eastAsia="he-IL"/>
      </w:rPr>
      <w:t xml:space="preserve">hamida@court.gov.il </w:t>
    </w:r>
    <w:r w:rsidRPr="009C1E49">
      <w:rPr>
        <w:rFonts w:ascii="Times New Roman" w:eastAsia="Times New Roman" w:hAnsi="Times New Roman" w:cs="David" w:hint="cs"/>
        <w:b/>
        <w:bCs/>
        <w:spacing w:val="26"/>
        <w:sz w:val="20"/>
        <w:szCs w:val="20"/>
        <w:rtl/>
        <w:lang w:eastAsia="he-IL"/>
      </w:rPr>
      <w:t xml:space="preserve"> </w:t>
    </w:r>
    <w:r w:rsidRPr="009C1E49">
      <w:rPr>
        <w:rFonts w:ascii="Times New Roman" w:eastAsia="Times New Roman" w:hAnsi="Times New Roman" w:cs="David"/>
        <w:b/>
        <w:bCs/>
        <w:spacing w:val="26"/>
        <w:sz w:val="20"/>
        <w:szCs w:val="20"/>
        <w:lang w:eastAsia="he-IL"/>
      </w:rPr>
      <w:t>E</w:t>
    </w:r>
    <w:proofErr w:type="gramEnd"/>
    <w:r w:rsidRPr="009C1E49">
      <w:rPr>
        <w:rFonts w:ascii="Times New Roman" w:eastAsia="Times New Roman" w:hAnsi="Times New Roman" w:cs="David"/>
        <w:b/>
        <w:bCs/>
        <w:spacing w:val="26"/>
        <w:sz w:val="20"/>
        <w:szCs w:val="20"/>
        <w:lang w:eastAsia="he-IL"/>
      </w:rPr>
      <w:t>-mail:</w:t>
    </w:r>
    <w:r w:rsidRPr="009C1E49">
      <w:rPr>
        <w:rFonts w:ascii="Times New Roman" w:eastAsia="Times New Roman" w:hAnsi="Times New Roman" w:cs="David" w:hint="cs"/>
        <w:b/>
        <w:bCs/>
        <w:spacing w:val="26"/>
        <w:sz w:val="20"/>
        <w:szCs w:val="20"/>
        <w:rtl/>
        <w:lang w:eastAsia="he-IL"/>
      </w:rPr>
      <w:t xml:space="preserve"> - עדיפות לדוא"ל</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0CA1" w:rsidRDefault="00730CA1" w:rsidP="00730CA1">
      <w:pPr>
        <w:spacing w:after="0" w:line="240" w:lineRule="auto"/>
      </w:pPr>
      <w:r>
        <w:separator/>
      </w:r>
    </w:p>
  </w:footnote>
  <w:footnote w:type="continuationSeparator" w:id="0">
    <w:p w:rsidR="00730CA1" w:rsidRDefault="00730CA1" w:rsidP="00730C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5F9" w:rsidRPr="009C1E49" w:rsidRDefault="00E455F9" w:rsidP="00E455F9">
    <w:pPr>
      <w:tabs>
        <w:tab w:val="num" w:pos="720"/>
      </w:tabs>
      <w:spacing w:after="0" w:line="240" w:lineRule="auto"/>
      <w:ind w:left="360"/>
      <w:jc w:val="center"/>
      <w:rPr>
        <w:rFonts w:ascii="Times New Roman" w:eastAsia="Times New Roman" w:hAnsi="Times New Roman" w:cs="David"/>
        <w:b/>
        <w:bCs/>
        <w:color w:val="000080"/>
        <w:sz w:val="56"/>
        <w:szCs w:val="56"/>
        <w:rtl/>
        <w:lang w:eastAsia="he-IL"/>
      </w:rPr>
    </w:pPr>
    <w:r w:rsidRPr="009C1E49">
      <w:rPr>
        <w:rFonts w:ascii="Times New Roman" w:eastAsia="Times New Roman" w:hAnsi="Times New Roman" w:cs="David"/>
        <w:b/>
        <w:bCs/>
        <w:noProof/>
        <w:sz w:val="96"/>
        <w:szCs w:val="96"/>
      </w:rPr>
      <w:drawing>
        <wp:inline distT="0" distB="0" distL="0" distR="0">
          <wp:extent cx="523875" cy="619125"/>
          <wp:effectExtent l="0" t="0" r="9525" b="9525"/>
          <wp:docPr id="1" name="תמונה 1" descr="sem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me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3875" cy="619125"/>
                  </a:xfrm>
                  <a:prstGeom prst="rect">
                    <a:avLst/>
                  </a:prstGeom>
                  <a:noFill/>
                  <a:ln>
                    <a:noFill/>
                  </a:ln>
                </pic:spPr>
              </pic:pic>
            </a:graphicData>
          </a:graphic>
        </wp:inline>
      </w:drawing>
    </w:r>
  </w:p>
  <w:p w:rsidR="00E455F9" w:rsidRPr="009C1E49" w:rsidRDefault="00E455F9" w:rsidP="00E455F9">
    <w:pPr>
      <w:tabs>
        <w:tab w:val="num" w:pos="720"/>
      </w:tabs>
      <w:spacing w:after="0" w:line="240" w:lineRule="auto"/>
      <w:jc w:val="center"/>
      <w:rPr>
        <w:rFonts w:ascii="Times New Roman" w:eastAsia="Times New Roman" w:hAnsi="Times New Roman" w:cs="David"/>
        <w:color w:val="000080"/>
        <w:sz w:val="32"/>
        <w:szCs w:val="32"/>
        <w:rtl/>
        <w:lang w:eastAsia="he-IL"/>
      </w:rPr>
    </w:pPr>
    <w:r w:rsidRPr="009C1E49">
      <w:rPr>
        <w:rFonts w:ascii="Times New Roman" w:eastAsia="Times New Roman" w:hAnsi="Times New Roman" w:cs="David" w:hint="cs"/>
        <w:color w:val="000080"/>
        <w:sz w:val="32"/>
        <w:szCs w:val="32"/>
        <w:rtl/>
        <w:lang w:eastAsia="he-IL"/>
      </w:rPr>
      <w:t xml:space="preserve">      </w:t>
    </w:r>
    <w:r w:rsidRPr="009C1E49">
      <w:rPr>
        <w:rFonts w:ascii="Times New Roman" w:eastAsia="Times New Roman" w:hAnsi="Times New Roman" w:cs="FrankRuehl" w:hint="cs"/>
        <w:color w:val="000080"/>
        <w:spacing w:val="6"/>
        <w:sz w:val="96"/>
        <w:szCs w:val="36"/>
        <w:rtl/>
        <w:lang w:eastAsia="he-IL"/>
      </w:rPr>
      <w:t>הנהלת בתי המשפט</w:t>
    </w:r>
  </w:p>
  <w:p w:rsidR="00E455F9" w:rsidRPr="009C1E49" w:rsidRDefault="00E455F9" w:rsidP="00E455F9">
    <w:pPr>
      <w:tabs>
        <w:tab w:val="num" w:pos="720"/>
      </w:tabs>
      <w:spacing w:after="0" w:line="240" w:lineRule="auto"/>
      <w:jc w:val="center"/>
      <w:rPr>
        <w:rFonts w:ascii="Times New Roman" w:eastAsia="Times New Roman" w:hAnsi="Times New Roman" w:cs="Times New Roman"/>
        <w:b/>
        <w:bCs/>
        <w:color w:val="000080"/>
        <w:spacing w:val="6"/>
        <w:sz w:val="28"/>
        <w:szCs w:val="28"/>
        <w:rtl/>
      </w:rPr>
    </w:pPr>
    <w:r w:rsidRPr="009C1E49">
      <w:rPr>
        <w:rFonts w:ascii="Times New Roman" w:eastAsia="Times New Roman" w:hAnsi="Times New Roman" w:cs="David"/>
        <w:b/>
        <w:bCs/>
        <w:color w:val="000080"/>
        <w:spacing w:val="6"/>
        <w:sz w:val="24"/>
        <w:szCs w:val="28"/>
        <w:lang w:eastAsia="he-IL"/>
      </w:rPr>
      <w:t>ADMINISTRATION OF COURTS</w:t>
    </w:r>
    <w:r w:rsidRPr="009C1E49">
      <w:rPr>
        <w:rFonts w:ascii="Times New Roman" w:eastAsia="Times New Roman" w:hAnsi="Times New Roman" w:cs="Times New Roman"/>
        <w:b/>
        <w:bCs/>
        <w:color w:val="000080"/>
        <w:spacing w:val="6"/>
        <w:sz w:val="28"/>
        <w:szCs w:val="28"/>
      </w:rPr>
      <w:t xml:space="preserve">      </w:t>
    </w:r>
    <w:r w:rsidRPr="009C1E49">
      <w:rPr>
        <w:rFonts w:ascii="Times New Roman" w:eastAsia="Times New Roman" w:hAnsi="Times New Roman" w:cs="Times New Roman" w:hint="cs"/>
        <w:b/>
        <w:bCs/>
        <w:color w:val="000080"/>
        <w:spacing w:val="6"/>
        <w:sz w:val="28"/>
        <w:szCs w:val="28"/>
        <w:rtl/>
      </w:rPr>
      <w:t xml:space="preserve"> </w:t>
    </w:r>
  </w:p>
  <w:p w:rsidR="00E455F9" w:rsidRPr="009C1E49" w:rsidRDefault="00E455F9" w:rsidP="00E455F9">
    <w:pPr>
      <w:tabs>
        <w:tab w:val="num" w:pos="720"/>
      </w:tabs>
      <w:spacing w:after="0" w:line="240" w:lineRule="auto"/>
      <w:jc w:val="center"/>
      <w:rPr>
        <w:rFonts w:ascii="Times New Roman" w:eastAsia="Times New Roman" w:hAnsi="Times New Roman" w:cs="Times New Roman"/>
        <w:b/>
        <w:bCs/>
        <w:color w:val="000080"/>
        <w:spacing w:val="6"/>
        <w:sz w:val="28"/>
        <w:szCs w:val="28"/>
        <w:rtl/>
      </w:rPr>
    </w:pPr>
  </w:p>
  <w:p w:rsidR="00E455F9" w:rsidRDefault="00E455F9" w:rsidP="00E455F9">
    <w:pPr>
      <w:tabs>
        <w:tab w:val="center" w:pos="4153"/>
        <w:tab w:val="right" w:pos="8306"/>
      </w:tabs>
      <w:overflowPunct w:val="0"/>
      <w:autoSpaceDE w:val="0"/>
      <w:autoSpaceDN w:val="0"/>
      <w:adjustRightInd w:val="0"/>
      <w:spacing w:after="0" w:line="240" w:lineRule="auto"/>
      <w:textAlignment w:val="baseline"/>
      <w:rPr>
        <w:rFonts w:ascii="Times New Roman" w:eastAsia="Times New Roman" w:hAnsi="Times New Roman" w:cs="FrankRuehl"/>
        <w:color w:val="000080"/>
        <w:sz w:val="28"/>
        <w:szCs w:val="28"/>
        <w:lang w:eastAsia="he-IL"/>
      </w:rPr>
    </w:pPr>
    <w:r w:rsidRPr="009C1E49">
      <w:rPr>
        <w:rFonts w:ascii="Times New Roman" w:eastAsia="Times New Roman" w:hAnsi="Times New Roman" w:cs="FrankRuehl"/>
        <w:color w:val="000080"/>
        <w:sz w:val="28"/>
        <w:szCs w:val="28"/>
        <w:rtl/>
        <w:lang w:eastAsia="he-IL"/>
      </w:rPr>
      <w:t xml:space="preserve">לשכת היועץ המשפטי                                       </w:t>
    </w:r>
    <w:r w:rsidRPr="009C1E49">
      <w:rPr>
        <w:rFonts w:ascii="Times New Roman" w:eastAsia="Times New Roman" w:hAnsi="Times New Roman" w:cs="FrankRuehl" w:hint="cs"/>
        <w:color w:val="000080"/>
        <w:sz w:val="28"/>
        <w:szCs w:val="28"/>
        <w:rtl/>
        <w:lang w:eastAsia="he-IL"/>
      </w:rPr>
      <w:t xml:space="preserve">  </w:t>
    </w:r>
    <w:r w:rsidRPr="009C1E49">
      <w:rPr>
        <w:rFonts w:ascii="Times New Roman" w:eastAsia="Times New Roman" w:hAnsi="Times New Roman" w:cs="FrankRuehl"/>
        <w:color w:val="000080"/>
        <w:sz w:val="28"/>
        <w:szCs w:val="28"/>
        <w:rtl/>
        <w:lang w:eastAsia="he-IL"/>
      </w:rPr>
      <w:t xml:space="preserve">         </w:t>
    </w:r>
    <w:r w:rsidRPr="009C1E49">
      <w:rPr>
        <w:rFonts w:ascii="Times New Roman" w:eastAsia="Times New Roman" w:hAnsi="Times New Roman" w:cs="FrankRuehl" w:hint="cs"/>
        <w:color w:val="000080"/>
        <w:sz w:val="28"/>
        <w:szCs w:val="28"/>
        <w:rtl/>
        <w:lang w:eastAsia="he-IL"/>
      </w:rPr>
      <w:t xml:space="preserve">     </w:t>
    </w:r>
    <w:r w:rsidRPr="009C1E49">
      <w:rPr>
        <w:rFonts w:ascii="Times New Roman" w:eastAsia="Times New Roman" w:hAnsi="Times New Roman" w:cs="FrankRuehl"/>
        <w:color w:val="000080"/>
        <w:sz w:val="28"/>
        <w:szCs w:val="28"/>
        <w:lang w:eastAsia="he-IL"/>
      </w:rPr>
      <w:t>Office Of the Legal Adviser</w:t>
    </w:r>
  </w:p>
  <w:p w:rsidR="00E455F9" w:rsidRPr="0063654C" w:rsidRDefault="00E455F9" w:rsidP="00E455F9">
    <w:pPr>
      <w:pStyle w:val="a5"/>
      <w:rPr>
        <w:rFonts w:ascii="Times New Roman" w:eastAsia="Times New Roman" w:hAnsi="Times New Roman" w:cs="FrankRuehl"/>
        <w:color w:val="000080"/>
        <w:sz w:val="28"/>
        <w:szCs w:val="28"/>
        <w:rtl/>
        <w:lang w:eastAsia="he-IL"/>
      </w:rPr>
    </w:pPr>
    <w:r w:rsidRPr="0063654C">
      <w:rPr>
        <w:rFonts w:ascii="Times New Roman" w:eastAsia="Times New Roman" w:hAnsi="Times New Roman" w:cs="FrankRuehl" w:hint="cs"/>
        <w:color w:val="000080"/>
        <w:sz w:val="28"/>
        <w:szCs w:val="28"/>
        <w:rtl/>
        <w:lang w:eastAsia="he-IL"/>
      </w:rPr>
      <w:t xml:space="preserve">היחידה לחופש המידע </w:t>
    </w:r>
    <w:r w:rsidRPr="0063654C">
      <w:rPr>
        <w:rFonts w:ascii="Times New Roman" w:eastAsia="Times New Roman" w:hAnsi="Times New Roman" w:cs="FrankRuehl" w:hint="cs"/>
        <w:color w:val="000080"/>
        <w:sz w:val="28"/>
        <w:szCs w:val="28"/>
        <w:rtl/>
        <w:lang w:eastAsia="he-IL"/>
      </w:rPr>
      <w:tab/>
    </w:r>
    <w:r w:rsidRPr="0063654C">
      <w:rPr>
        <w:rFonts w:ascii="Times New Roman" w:eastAsia="Times New Roman" w:hAnsi="Times New Roman" w:cs="FrankRuehl" w:hint="cs"/>
        <w:color w:val="000080"/>
        <w:sz w:val="28"/>
        <w:szCs w:val="28"/>
        <w:rtl/>
        <w:lang w:eastAsia="he-IL"/>
      </w:rPr>
      <w:tab/>
    </w:r>
    <w:r w:rsidRPr="0063654C">
      <w:rPr>
        <w:rFonts w:ascii="Times New Roman" w:eastAsia="Times New Roman" w:hAnsi="Times New Roman" w:cs="FrankRuehl"/>
        <w:color w:val="000080"/>
        <w:sz w:val="28"/>
        <w:szCs w:val="28"/>
        <w:lang w:eastAsia="he-IL"/>
      </w:rPr>
      <w:t>Freedom of Information Unit</w:t>
    </w:r>
  </w:p>
  <w:p w:rsidR="007007D7" w:rsidRPr="009C1E49" w:rsidRDefault="007007D7" w:rsidP="00E455F9">
    <w:pPr>
      <w:tabs>
        <w:tab w:val="num" w:pos="720"/>
      </w:tabs>
      <w:spacing w:after="0" w:line="240" w:lineRule="auto"/>
      <w:ind w:left="360"/>
      <w:jc w:val="center"/>
      <w:rPr>
        <w:rFonts w:ascii="Times New Roman" w:eastAsia="Times New Roman" w:hAnsi="Times New Roman" w:cs="David"/>
        <w:sz w:val="20"/>
        <w:szCs w:val="24"/>
        <w:lang w:eastAsia="he-I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F8499A"/>
    <w:multiLevelType w:val="hybridMultilevel"/>
    <w:tmpl w:val="A8D698E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1831426E"/>
    <w:multiLevelType w:val="hybridMultilevel"/>
    <w:tmpl w:val="BF801AE2"/>
    <w:lvl w:ilvl="0" w:tplc="12EA1576">
      <w:start w:val="1"/>
      <w:numFmt w:val="decimal"/>
      <w:lvlText w:val="%1."/>
      <w:lvlJc w:val="left"/>
      <w:pPr>
        <w:ind w:left="444" w:hanging="360"/>
      </w:pPr>
      <w:rPr>
        <w:rFonts w:hint="default"/>
      </w:rPr>
    </w:lvl>
    <w:lvl w:ilvl="1" w:tplc="04090019" w:tentative="1">
      <w:start w:val="1"/>
      <w:numFmt w:val="lowerLetter"/>
      <w:lvlText w:val="%2."/>
      <w:lvlJc w:val="left"/>
      <w:pPr>
        <w:ind w:left="1164" w:hanging="360"/>
      </w:pPr>
    </w:lvl>
    <w:lvl w:ilvl="2" w:tplc="0409001B" w:tentative="1">
      <w:start w:val="1"/>
      <w:numFmt w:val="lowerRoman"/>
      <w:lvlText w:val="%3."/>
      <w:lvlJc w:val="right"/>
      <w:pPr>
        <w:ind w:left="1884" w:hanging="180"/>
      </w:pPr>
    </w:lvl>
    <w:lvl w:ilvl="3" w:tplc="0409000F" w:tentative="1">
      <w:start w:val="1"/>
      <w:numFmt w:val="decimal"/>
      <w:lvlText w:val="%4."/>
      <w:lvlJc w:val="left"/>
      <w:pPr>
        <w:ind w:left="2604" w:hanging="360"/>
      </w:pPr>
    </w:lvl>
    <w:lvl w:ilvl="4" w:tplc="04090019" w:tentative="1">
      <w:start w:val="1"/>
      <w:numFmt w:val="lowerLetter"/>
      <w:lvlText w:val="%5."/>
      <w:lvlJc w:val="left"/>
      <w:pPr>
        <w:ind w:left="3324" w:hanging="360"/>
      </w:pPr>
    </w:lvl>
    <w:lvl w:ilvl="5" w:tplc="0409001B" w:tentative="1">
      <w:start w:val="1"/>
      <w:numFmt w:val="lowerRoman"/>
      <w:lvlText w:val="%6."/>
      <w:lvlJc w:val="right"/>
      <w:pPr>
        <w:ind w:left="4044" w:hanging="180"/>
      </w:pPr>
    </w:lvl>
    <w:lvl w:ilvl="6" w:tplc="0409000F" w:tentative="1">
      <w:start w:val="1"/>
      <w:numFmt w:val="decimal"/>
      <w:lvlText w:val="%7."/>
      <w:lvlJc w:val="left"/>
      <w:pPr>
        <w:ind w:left="4764" w:hanging="360"/>
      </w:pPr>
    </w:lvl>
    <w:lvl w:ilvl="7" w:tplc="04090019" w:tentative="1">
      <w:start w:val="1"/>
      <w:numFmt w:val="lowerLetter"/>
      <w:lvlText w:val="%8."/>
      <w:lvlJc w:val="left"/>
      <w:pPr>
        <w:ind w:left="5484" w:hanging="360"/>
      </w:pPr>
    </w:lvl>
    <w:lvl w:ilvl="8" w:tplc="0409001B" w:tentative="1">
      <w:start w:val="1"/>
      <w:numFmt w:val="lowerRoman"/>
      <w:lvlText w:val="%9."/>
      <w:lvlJc w:val="right"/>
      <w:pPr>
        <w:ind w:left="6204" w:hanging="180"/>
      </w:p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53CF"/>
    <w:rsid w:val="000011AE"/>
    <w:rsid w:val="00025761"/>
    <w:rsid w:val="00040363"/>
    <w:rsid w:val="001D42A7"/>
    <w:rsid w:val="001E1EC3"/>
    <w:rsid w:val="002453CF"/>
    <w:rsid w:val="002C0E83"/>
    <w:rsid w:val="003921C3"/>
    <w:rsid w:val="003E6E39"/>
    <w:rsid w:val="00426AA7"/>
    <w:rsid w:val="00690B6F"/>
    <w:rsid w:val="006B7B96"/>
    <w:rsid w:val="006C3B1F"/>
    <w:rsid w:val="006F1E1F"/>
    <w:rsid w:val="007007D7"/>
    <w:rsid w:val="00711675"/>
    <w:rsid w:val="00730CA1"/>
    <w:rsid w:val="007A429D"/>
    <w:rsid w:val="00813003"/>
    <w:rsid w:val="008C02E0"/>
    <w:rsid w:val="00983123"/>
    <w:rsid w:val="009C1E49"/>
    <w:rsid w:val="009E3870"/>
    <w:rsid w:val="009E5C0E"/>
    <w:rsid w:val="00A303A5"/>
    <w:rsid w:val="00A3623C"/>
    <w:rsid w:val="00AD7644"/>
    <w:rsid w:val="00AF647E"/>
    <w:rsid w:val="00B16422"/>
    <w:rsid w:val="00B35DF4"/>
    <w:rsid w:val="00BA3143"/>
    <w:rsid w:val="00BB7A10"/>
    <w:rsid w:val="00BF4DEB"/>
    <w:rsid w:val="00C22E08"/>
    <w:rsid w:val="00C37F37"/>
    <w:rsid w:val="00C50C55"/>
    <w:rsid w:val="00C529CC"/>
    <w:rsid w:val="00C842A7"/>
    <w:rsid w:val="00C85A27"/>
    <w:rsid w:val="00CA2D6A"/>
    <w:rsid w:val="00CB4940"/>
    <w:rsid w:val="00D11F77"/>
    <w:rsid w:val="00D205AB"/>
    <w:rsid w:val="00D43C0E"/>
    <w:rsid w:val="00D47C8E"/>
    <w:rsid w:val="00E35DF3"/>
    <w:rsid w:val="00E455F9"/>
    <w:rsid w:val="00EB6609"/>
    <w:rsid w:val="00F46250"/>
    <w:rsid w:val="00F92721"/>
    <w:rsid w:val="00FA55EF"/>
    <w:rsid w:val="00FF555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F280CA2"/>
  <w15:chartTrackingRefBased/>
  <w15:docId w15:val="{73C43B57-6867-4F06-9DF1-55588D3D5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26AA7"/>
    <w:pPr>
      <w:spacing w:after="0" w:line="240" w:lineRule="auto"/>
    </w:pPr>
    <w:rPr>
      <w:rFonts w:ascii="Tahoma" w:hAnsi="Tahoma" w:cs="Tahoma"/>
      <w:sz w:val="18"/>
      <w:szCs w:val="18"/>
    </w:rPr>
  </w:style>
  <w:style w:type="character" w:customStyle="1" w:styleId="a4">
    <w:name w:val="טקסט בלונים תו"/>
    <w:basedOn w:val="a0"/>
    <w:link w:val="a3"/>
    <w:uiPriority w:val="99"/>
    <w:semiHidden/>
    <w:rsid w:val="00426AA7"/>
    <w:rPr>
      <w:rFonts w:ascii="Tahoma" w:hAnsi="Tahoma" w:cs="Tahoma"/>
      <w:sz w:val="18"/>
      <w:szCs w:val="18"/>
    </w:rPr>
  </w:style>
  <w:style w:type="character" w:styleId="Hyperlink">
    <w:name w:val="Hyperlink"/>
    <w:basedOn w:val="a0"/>
    <w:uiPriority w:val="99"/>
    <w:unhideWhenUsed/>
    <w:rsid w:val="00E35DF3"/>
    <w:rPr>
      <w:color w:val="0563C1" w:themeColor="hyperlink"/>
      <w:u w:val="single"/>
    </w:rPr>
  </w:style>
  <w:style w:type="paragraph" w:styleId="a5">
    <w:name w:val="header"/>
    <w:basedOn w:val="a"/>
    <w:link w:val="a6"/>
    <w:uiPriority w:val="99"/>
    <w:unhideWhenUsed/>
    <w:rsid w:val="00730CA1"/>
    <w:pPr>
      <w:tabs>
        <w:tab w:val="center" w:pos="4153"/>
        <w:tab w:val="right" w:pos="8306"/>
      </w:tabs>
      <w:spacing w:after="0" w:line="240" w:lineRule="auto"/>
    </w:pPr>
  </w:style>
  <w:style w:type="character" w:customStyle="1" w:styleId="a6">
    <w:name w:val="כותרת עליונה תו"/>
    <w:basedOn w:val="a0"/>
    <w:link w:val="a5"/>
    <w:uiPriority w:val="99"/>
    <w:rsid w:val="00730CA1"/>
  </w:style>
  <w:style w:type="paragraph" w:styleId="a7">
    <w:name w:val="footer"/>
    <w:basedOn w:val="a"/>
    <w:link w:val="a8"/>
    <w:uiPriority w:val="99"/>
    <w:unhideWhenUsed/>
    <w:rsid w:val="00730CA1"/>
    <w:pPr>
      <w:tabs>
        <w:tab w:val="center" w:pos="4153"/>
        <w:tab w:val="right" w:pos="8306"/>
      </w:tabs>
      <w:spacing w:after="0" w:line="240" w:lineRule="auto"/>
    </w:pPr>
  </w:style>
  <w:style w:type="character" w:customStyle="1" w:styleId="a8">
    <w:name w:val="כותרת תחתונה תו"/>
    <w:basedOn w:val="a0"/>
    <w:link w:val="a7"/>
    <w:uiPriority w:val="99"/>
    <w:rsid w:val="00730CA1"/>
  </w:style>
  <w:style w:type="paragraph" w:styleId="a9">
    <w:name w:val="List Paragraph"/>
    <w:basedOn w:val="a"/>
    <w:uiPriority w:val="34"/>
    <w:qFormat/>
    <w:rsid w:val="0081300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52304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ns30:Sources xmlns:w="http://schemas.openxmlformats.org/wordprocessingml/2006/main" xmlns:m="http://schemas.openxmlformats.org/officeDocument/2006/math" xmlns:r="http://schemas.openxmlformats.org/officeDocument/2006/relationships"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tyleName="APA" SelectedStyle="\APASixthEditionOfficeOnline.xsl"/>
</file>

<file path=customXml/itemProps1.xml><?xml version="1.0" encoding="utf-8"?>
<ds:datastoreItem xmlns:ds="http://schemas.openxmlformats.org/officeDocument/2006/customXml" ds:itemID="{9A3A3C64-1CD4-4B64-98CE-F961DA175CBE}">
  <ds:schemaRefs>
    <ds:schemaRef ds:uri="http://schemas.openxmlformats.org/wordprocessingml/2006/main"/>
    <ds:schemaRef ds:uri="http://schemas.openxmlformats.org/officeDocument/2006/math"/>
    <ds:schemaRef ds:uri="http://schemas.openxmlformats.org/officeDocument/2006/relationships"/>
    <ds:schemaRef ds:uri="http://schemas.microsoft.com/office/word/2010/wordml"/>
    <ds:schemaRef ds:uri="http://schemas.openxmlformats.org/drawingml/2006/wordprocessingDrawing"/>
    <ds:schemaRef ds:uri="http://schemas.openxmlformats.org/drawingml/2006/main"/>
    <ds:schemaRef ds:uri="http://schemas.microsoft.com/office/word/2012/wordml"/>
    <ds:schemaRef ds:uri="http://schemas.openxmlformats.org/markup-compatibility/2006"/>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215</Words>
  <Characters>1076</Characters>
  <Application>Microsoft Office Word</Application>
  <DocSecurity>4</DocSecurity>
  <Lines>8</Lines>
  <Paragraphs>2</Paragraphs>
  <ScaleCrop>false</ScaleCrop>
  <HeadingPairs>
    <vt:vector size="2" baseType="variant">
      <vt:variant>
        <vt:lpstr>שם</vt:lpstr>
      </vt:variant>
      <vt:variant>
        <vt:i4>1</vt:i4>
      </vt:variant>
    </vt:vector>
  </HeadingPairs>
  <TitlesOfParts>
    <vt:vector size="1" baseType="lpstr">
      <vt:lpstr/>
    </vt:vector>
  </TitlesOfParts>
  <Company>court</Company>
  <LinksUpToDate>false</LinksUpToDate>
  <CharactersWithSpaces>1289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נירית לזימי</dc:creator>
  <cp:keywords/>
  <dc:description/>
  <cp:lastModifiedBy>עינת צבאג</cp:lastModifiedBy>
  <cp:revision>2</cp:revision>
  <cp:lastPrinted>2017-11-13T12:38:00Z</cp:lastPrinted>
  <dcterms:created xsi:type="dcterms:W3CDTF">2021-06-20T08:50:00Z</dcterms:created>
  <dcterms:modified xsi:type="dcterms:W3CDTF">2021-06-20T08:50:00Z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DateEng">
    <vt:lpwstr>05 במאי 2021</vt:lpwstr>
  </property>
  <property fmtid="{D5CDD505-2E9C-101B-9397-08002B2CF9AE}" pid="3" name="DocNumber">
    <vt:lpwstr>4700-1012-2021-005571</vt:lpwstr>
  </property>
  <property fmtid="{D5CDD505-2E9C-101B-9397-08002B2CF9AE}" pid="4" name="DocRecipientsName">
    <vt:lpwstr/>
  </property>
  <property fmtid="{D5CDD505-2E9C-101B-9397-08002B2CF9AE}" pid="5" name="DocToName">
    <vt:lpwstr/>
  </property>
  <property fmtid="{D5CDD505-2E9C-101B-9397-08002B2CF9AE}" pid="6" name="DocObjectName">
    <vt:lpwstr>מענה לפניית עו ד משה הר שמש לקבלת מידע אודות כמות נייר המפונה מבתי המשפט ואחוז התיקים בוועדות הערר</vt:lpwstr>
  </property>
  <property fmtid="{D5CDD505-2E9C-101B-9397-08002B2CF9AE}" pid="7" name="DocDateHebB">
    <vt:lpwstr>כ"ג באייר התשפ"א</vt:lpwstr>
  </property>
</Properties>
</file>