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7D5" w:rsidRPr="005875A9" w:rsidRDefault="00A617D5" w:rsidP="00A617D5">
      <w:pPr>
        <w:shd w:val="clear" w:color="auto" w:fill="FFFFFD"/>
        <w:jc w:val="both"/>
        <w:rPr>
          <w:rFonts w:cs="FrankRuehl"/>
          <w:sz w:val="28"/>
          <w:szCs w:val="28"/>
          <w:rtl/>
        </w:rPr>
      </w:pPr>
      <w:bookmarkStart w:id="0" w:name="_GoBack"/>
      <w:bookmarkEnd w:id="0"/>
    </w:p>
    <w:p w:rsidR="00A617D5" w:rsidRPr="005875A9" w:rsidRDefault="00A617D5" w:rsidP="00A617D5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</w:t>
      </w:r>
      <w:r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A617D5" w:rsidRPr="005875A9" w:rsidRDefault="00A617D5" w:rsidP="00A617D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28.9.2022</w:t>
      </w:r>
    </w:p>
    <w:p w:rsidR="00A617D5" w:rsidRPr="005875A9" w:rsidRDefault="00A617D5" w:rsidP="00A617D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A617D5" w:rsidRDefault="00A617D5" w:rsidP="00A617D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4074C7">
        <w:rPr>
          <w:rFonts w:cs="FrankRuehl" w:hint="cs"/>
          <w:sz w:val="28"/>
          <w:szCs w:val="28"/>
          <w:rtl/>
        </w:rPr>
        <w:t xml:space="preserve">לאחר שבחנו את הבקשה שבסימוכין לפי חוק חופש המידע התשנ"ח-1998, לקבלת  מידע על אודות פעילות ועדת </w:t>
      </w:r>
      <w:proofErr w:type="spellStart"/>
      <w:r w:rsidRPr="004074C7">
        <w:rPr>
          <w:rFonts w:cs="FrankRuehl" w:hint="cs"/>
          <w:sz w:val="28"/>
          <w:szCs w:val="28"/>
          <w:rtl/>
        </w:rPr>
        <w:t>אנגלרד</w:t>
      </w:r>
      <w:proofErr w:type="spellEnd"/>
      <w:r w:rsidRPr="004074C7">
        <w:rPr>
          <w:rFonts w:cs="FrankRuehl" w:hint="cs"/>
          <w:sz w:val="28"/>
          <w:szCs w:val="28"/>
          <w:rtl/>
        </w:rPr>
        <w:t xml:space="preserve">, אשיב כי </w:t>
      </w:r>
      <w:r w:rsidRPr="004074C7">
        <w:rPr>
          <w:rFonts w:cs="FrankRuehl"/>
          <w:sz w:val="28"/>
          <w:szCs w:val="28"/>
          <w:rtl/>
        </w:rPr>
        <w:t xml:space="preserve"> הוועדה טרם סיימה את עבודתה. יובהר כי הוועדה מצויה בשלבי סיום מתקדמים ועתידה לפרסם דו"ח לציבור בקרוב. </w:t>
      </w:r>
    </w:p>
    <w:p w:rsidR="00A617D5" w:rsidRDefault="00A617D5" w:rsidP="00A617D5">
      <w:pPr>
        <w:pStyle w:val="a9"/>
        <w:spacing w:line="360" w:lineRule="auto"/>
        <w:jc w:val="both"/>
        <w:rPr>
          <w:rFonts w:cs="FrankRuehl"/>
          <w:sz w:val="28"/>
          <w:szCs w:val="28"/>
          <w:rtl/>
        </w:rPr>
      </w:pPr>
      <w:r w:rsidRPr="004074C7">
        <w:rPr>
          <w:rFonts w:cs="FrankRuehl"/>
          <w:sz w:val="28"/>
          <w:szCs w:val="28"/>
          <w:rtl/>
        </w:rPr>
        <w:t xml:space="preserve">על כן, בשלב זה, וכדי לאפשר לחברי הוועדה למצות את מלוא ההתייעצויות והדיונים הפנימיים, לא תיבחן מסירה של פרוטוקולים של הדיונים, וזאת על יסוד סעיף 9(ב)(4) לחוק. </w:t>
      </w:r>
    </w:p>
    <w:p w:rsidR="00A617D5" w:rsidRDefault="00A617D5" w:rsidP="00A617D5">
      <w:pPr>
        <w:pStyle w:val="a9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A617D5" w:rsidRPr="004074C7" w:rsidRDefault="00A617D5" w:rsidP="00A617D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  <w:rtl/>
        </w:rPr>
      </w:pPr>
      <w:r w:rsidRPr="004074C7">
        <w:rPr>
          <w:rFonts w:cs="FrankRuehl"/>
          <w:sz w:val="28"/>
          <w:szCs w:val="28"/>
          <w:rtl/>
        </w:rPr>
        <w:t>הגם שאין כך, לא מצאנו מניעה למסור כבר בשלב זה חלק מהמידע שהתבקש.</w:t>
      </w:r>
    </w:p>
    <w:p w:rsidR="00A617D5" w:rsidRDefault="00A617D5" w:rsidP="00A617D5">
      <w:pPr>
        <w:pStyle w:val="a9"/>
        <w:spacing w:line="360" w:lineRule="auto"/>
        <w:jc w:val="both"/>
        <w:rPr>
          <w:rFonts w:cs="FrankRuehl"/>
          <w:sz w:val="28"/>
          <w:szCs w:val="28"/>
          <w:rtl/>
        </w:rPr>
      </w:pPr>
      <w:r w:rsidRPr="004074C7">
        <w:rPr>
          <w:rFonts w:cs="FrankRuehl"/>
          <w:sz w:val="28"/>
          <w:szCs w:val="28"/>
          <w:rtl/>
        </w:rPr>
        <w:t xml:space="preserve">להלן המידע שאותר: </w:t>
      </w:r>
    </w:p>
    <w:p w:rsidR="00A617D5" w:rsidRDefault="00A617D5" w:rsidP="00A617D5">
      <w:pPr>
        <w:pStyle w:val="a9"/>
        <w:numPr>
          <w:ilvl w:val="0"/>
          <w:numId w:val="2"/>
        </w:numPr>
        <w:spacing w:line="360" w:lineRule="auto"/>
        <w:jc w:val="both"/>
        <w:rPr>
          <w:rFonts w:cs="FrankRuehl"/>
          <w:sz w:val="28"/>
          <w:szCs w:val="28"/>
          <w:rtl/>
        </w:rPr>
      </w:pPr>
      <w:r w:rsidRPr="004074C7">
        <w:rPr>
          <w:rFonts w:cs="FrankRuehl"/>
          <w:sz w:val="28"/>
          <w:szCs w:val="28"/>
          <w:rtl/>
        </w:rPr>
        <w:t>תאריכי הישיבות בהם התכנסה הוועדה</w:t>
      </w:r>
      <w:r>
        <w:rPr>
          <w:rFonts w:cs="FrankRuehl" w:hint="cs"/>
          <w:sz w:val="28"/>
          <w:szCs w:val="28"/>
          <w:rtl/>
        </w:rPr>
        <w:t xml:space="preserve"> -</w:t>
      </w:r>
      <w:r w:rsidRPr="004074C7">
        <w:rPr>
          <w:rFonts w:cs="FrankRuehl"/>
          <w:sz w:val="28"/>
          <w:szCs w:val="28"/>
          <w:rtl/>
        </w:rPr>
        <w:t xml:space="preserve"> מצ"ב הרשימה.</w:t>
      </w:r>
      <w:r>
        <w:rPr>
          <w:rFonts w:cs="FrankRuehl" w:hint="cs"/>
          <w:sz w:val="28"/>
          <w:szCs w:val="28"/>
          <w:rtl/>
        </w:rPr>
        <w:t xml:space="preserve"> </w:t>
      </w:r>
    </w:p>
    <w:p w:rsidR="00A617D5" w:rsidRDefault="00A617D5" w:rsidP="00A617D5">
      <w:pPr>
        <w:pStyle w:val="a9"/>
        <w:numPr>
          <w:ilvl w:val="0"/>
          <w:numId w:val="2"/>
        </w:numPr>
        <w:spacing w:line="360" w:lineRule="auto"/>
        <w:jc w:val="both"/>
        <w:rPr>
          <w:rFonts w:cs="FrankRuehl"/>
          <w:sz w:val="28"/>
          <w:szCs w:val="28"/>
        </w:rPr>
      </w:pPr>
      <w:r w:rsidRPr="00C313B7">
        <w:rPr>
          <w:rFonts w:cs="FrankRuehl"/>
          <w:sz w:val="28"/>
          <w:szCs w:val="28"/>
          <w:rtl/>
        </w:rPr>
        <w:t xml:space="preserve">רשימת הגורמים שהופיעו בפני הוועדה והתאריכים – </w:t>
      </w:r>
      <w:r w:rsidRPr="00C313B7">
        <w:rPr>
          <w:rFonts w:cs="FrankRuehl" w:hint="cs"/>
          <w:sz w:val="28"/>
          <w:szCs w:val="28"/>
          <w:rtl/>
        </w:rPr>
        <w:t xml:space="preserve">מצ"ב הרשימה. </w:t>
      </w:r>
    </w:p>
    <w:p w:rsidR="00A617D5" w:rsidRPr="00C313B7" w:rsidRDefault="00A617D5" w:rsidP="00A617D5">
      <w:pPr>
        <w:pStyle w:val="a9"/>
        <w:spacing w:line="360" w:lineRule="auto"/>
        <w:ind w:left="1080"/>
        <w:jc w:val="both"/>
        <w:rPr>
          <w:rFonts w:cs="FrankRuehl"/>
          <w:sz w:val="28"/>
          <w:szCs w:val="28"/>
        </w:rPr>
      </w:pPr>
    </w:p>
    <w:p w:rsidR="00A617D5" w:rsidRDefault="00A617D5" w:rsidP="00A617D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יצוין כי לא אותר אצלנו מידע אודות </w:t>
      </w:r>
      <w:r w:rsidRPr="004074C7">
        <w:rPr>
          <w:rFonts w:cs="FrankRuehl"/>
          <w:sz w:val="28"/>
          <w:szCs w:val="28"/>
          <w:rtl/>
        </w:rPr>
        <w:t>פניות מלשכת השרה או מלשכת היועץ המשפטי לממשלה בבקשה לפרסום הדו"ח של הוועדה</w:t>
      </w:r>
      <w:r>
        <w:rPr>
          <w:rFonts w:cs="FrankRuehl" w:hint="cs"/>
          <w:sz w:val="28"/>
          <w:szCs w:val="28"/>
          <w:rtl/>
        </w:rPr>
        <w:t xml:space="preserve"> ולא אותרו "קולות קוראים" שפרסמה הוועדה. נוכח חלוף הזמן, אין באפשרותנו לדעת אודות קיומם או היעדרם של מסמכים אלה. יתכן כי מסמכים אלה כלל לא קיימים.</w:t>
      </w:r>
    </w:p>
    <w:p w:rsidR="00A617D5" w:rsidRDefault="00A617D5" w:rsidP="00A617D5">
      <w:pPr>
        <w:pStyle w:val="a9"/>
        <w:spacing w:line="360" w:lineRule="auto"/>
        <w:jc w:val="both"/>
        <w:rPr>
          <w:rFonts w:cs="FrankRuehl"/>
          <w:sz w:val="28"/>
          <w:szCs w:val="28"/>
        </w:rPr>
      </w:pPr>
    </w:p>
    <w:p w:rsidR="00A617D5" w:rsidRPr="004074C7" w:rsidRDefault="00A617D5" w:rsidP="00A617D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  <w:rtl/>
        </w:rPr>
      </w:pPr>
      <w:r w:rsidRPr="004074C7">
        <w:rPr>
          <w:rFonts w:cs="FrankRuehl"/>
          <w:sz w:val="28"/>
          <w:szCs w:val="28"/>
          <w:rtl/>
        </w:rPr>
        <w:t>כנגד החלטה זו את רשאי</w:t>
      </w:r>
      <w:r>
        <w:rPr>
          <w:rFonts w:cs="FrankRuehl" w:hint="cs"/>
          <w:sz w:val="28"/>
          <w:szCs w:val="28"/>
          <w:rtl/>
        </w:rPr>
        <w:t>ת</w:t>
      </w:r>
      <w:r w:rsidRPr="004074C7">
        <w:rPr>
          <w:rFonts w:cs="FrankRuehl"/>
          <w:sz w:val="28"/>
          <w:szCs w:val="28"/>
          <w:rtl/>
        </w:rPr>
        <w:t xml:space="preserve"> להגיש עתירה מנהלית לבית המשפט לעניינים מנהליים</w:t>
      </w:r>
    </w:p>
    <w:p w:rsidR="00A617D5" w:rsidRDefault="00A617D5" w:rsidP="00A617D5">
      <w:pPr>
        <w:pStyle w:val="a9"/>
        <w:spacing w:line="360" w:lineRule="auto"/>
        <w:jc w:val="both"/>
        <w:rPr>
          <w:rFonts w:cs="FrankRuehl"/>
          <w:sz w:val="28"/>
          <w:szCs w:val="28"/>
          <w:rtl/>
        </w:rPr>
      </w:pPr>
      <w:r w:rsidRPr="004074C7">
        <w:rPr>
          <w:rFonts w:cs="FrankRuehl"/>
          <w:sz w:val="28"/>
          <w:szCs w:val="28"/>
          <w:rtl/>
        </w:rPr>
        <w:t>בירושלים.</w:t>
      </w:r>
    </w:p>
    <w:p w:rsidR="00A617D5" w:rsidRDefault="00A617D5" w:rsidP="00A617D5">
      <w:pPr>
        <w:pStyle w:val="a9"/>
        <w:spacing w:line="360" w:lineRule="auto"/>
        <w:jc w:val="both"/>
        <w:rPr>
          <w:rFonts w:cs="FrankRuehl"/>
          <w:sz w:val="28"/>
          <w:szCs w:val="28"/>
          <w:rtl/>
        </w:rPr>
      </w:pPr>
    </w:p>
    <w:p w:rsidR="00A617D5" w:rsidRPr="004074C7" w:rsidRDefault="00A617D5" w:rsidP="00A617D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4074C7">
        <w:rPr>
          <w:rFonts w:cs="FrankRuehl" w:hint="cs"/>
          <w:sz w:val="28"/>
          <w:szCs w:val="28"/>
          <w:rtl/>
        </w:rPr>
        <w:t>אנו לרשותך ככל שיידרש.</w:t>
      </w:r>
    </w:p>
    <w:p w:rsidR="00A617D5" w:rsidRDefault="00A617D5" w:rsidP="00A617D5">
      <w:pPr>
        <w:spacing w:line="360" w:lineRule="auto"/>
        <w:rPr>
          <w:rFonts w:cs="David"/>
          <w:sz w:val="24"/>
          <w:szCs w:val="24"/>
          <w:rtl/>
        </w:rPr>
      </w:pPr>
    </w:p>
    <w:p w:rsidR="00A617D5" w:rsidRDefault="00A617D5" w:rsidP="00A617D5">
      <w:pPr>
        <w:spacing w:line="360" w:lineRule="auto"/>
        <w:rPr>
          <w:rFonts w:cs="David"/>
          <w:sz w:val="24"/>
          <w:szCs w:val="24"/>
          <w:rtl/>
        </w:rPr>
      </w:pPr>
    </w:p>
    <w:p w:rsidR="00A617D5" w:rsidRPr="009E3870" w:rsidRDefault="00A617D5" w:rsidP="00A617D5">
      <w:pPr>
        <w:spacing w:line="360" w:lineRule="auto"/>
        <w:rPr>
          <w:rFonts w:cs="David"/>
          <w:sz w:val="24"/>
          <w:szCs w:val="24"/>
          <w:rtl/>
        </w:rPr>
      </w:pPr>
    </w:p>
    <w:p w:rsidR="00A617D5" w:rsidRPr="009E3870" w:rsidRDefault="00A617D5" w:rsidP="00A617D5">
      <w:pPr>
        <w:spacing w:line="360" w:lineRule="auto"/>
        <w:ind w:left="5040"/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w:drawing>
          <wp:inline distT="0" distB="0" distL="0" distR="0" wp14:anchorId="323340F0" wp14:editId="734EFD2B">
            <wp:extent cx="1432560" cy="1242060"/>
            <wp:effectExtent l="0" t="0" r="0" b="0"/>
            <wp:docPr id="2" name="תמונה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17D5" w:rsidRPr="00D205AB" w:rsidRDefault="00A617D5" w:rsidP="00A617D5">
      <w:pPr>
        <w:rPr>
          <w:rFonts w:cs="David"/>
          <w:b/>
          <w:bCs/>
          <w:color w:val="002060"/>
          <w:sz w:val="24"/>
          <w:szCs w:val="24"/>
          <w:rtl/>
        </w:rPr>
      </w:pPr>
    </w:p>
    <w:p w:rsidR="00A617D5" w:rsidRPr="008761F6" w:rsidRDefault="00A617D5" w:rsidP="00A617D5">
      <w:pPr>
        <w:rPr>
          <w:rtl/>
        </w:rPr>
      </w:pPr>
    </w:p>
    <w:p w:rsidR="00A617D5" w:rsidRPr="00D62ABF" w:rsidRDefault="00A617D5" w:rsidP="00A617D5">
      <w:pPr>
        <w:rPr>
          <w:rtl/>
        </w:rPr>
      </w:pPr>
    </w:p>
    <w:p w:rsidR="002453CF" w:rsidRPr="00A617D5" w:rsidRDefault="002453CF" w:rsidP="00A617D5">
      <w:pPr>
        <w:rPr>
          <w:rtl/>
        </w:rPr>
      </w:pPr>
    </w:p>
    <w:sectPr w:rsidR="002453CF" w:rsidRPr="00A617D5" w:rsidSect="00B16422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E9F" w:rsidRDefault="00EB4E9F" w:rsidP="00730CA1">
      <w:pPr>
        <w:spacing w:after="0" w:line="240" w:lineRule="auto"/>
      </w:pPr>
      <w:r>
        <w:separator/>
      </w:r>
    </w:p>
  </w:endnote>
  <w:endnote w:type="continuationSeparator" w:id="0">
    <w:p w:rsidR="00EB4E9F" w:rsidRDefault="00EB4E9F" w:rsidP="0073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E49" w:rsidRPr="009C1E49" w:rsidRDefault="009C1E49" w:rsidP="009C1E4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pacing w:val="10"/>
        <w:kern w:val="22"/>
        <w:sz w:val="28"/>
        <w:szCs w:val="28"/>
        <w:lang w:eastAsia="he-IL"/>
      </w:rPr>
    </w:pPr>
  </w:p>
  <w:p w:rsidR="009C1E49" w:rsidRPr="009C1E49" w:rsidRDefault="009C1E49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spacing w:val="26"/>
        <w:sz w:val="20"/>
        <w:szCs w:val="20"/>
        <w:rtl/>
        <w:lang w:eastAsia="he-IL"/>
      </w:rPr>
    </w:pP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רח' כנפי נשרים 22, גבעת שאול, ירושלים 95464 </w:t>
    </w:r>
    <w:r w:rsidRPr="009C1E49">
      <w:rPr>
        <w:rFonts w:ascii="Times New Roman" w:eastAsia="Times New Roman" w:hAnsi="Times New Roman" w:cs="David"/>
        <w:spacing w:val="26"/>
        <w:szCs w:val="20"/>
        <w:lang w:eastAsia="he-IL"/>
      </w:rPr>
      <w:sym w:font="Wingdings" w:char="0028"/>
    </w: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 074-7481919  פקס': 074-7481887</w:t>
    </w:r>
  </w:p>
  <w:p w:rsidR="007007D7" w:rsidRPr="009C1E49" w:rsidRDefault="009C1E49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</w:pP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>hofesh-</w:t>
    </w:r>
    <w:proofErr w:type="gramStart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 xml:space="preserve">hamida@court.gov.il 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</w:t>
    </w: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E</w:t>
    </w:r>
    <w:proofErr w:type="gramEnd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-mail: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- עדיפות לדוא"ל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E9F" w:rsidRDefault="00EB4E9F" w:rsidP="00730CA1">
      <w:pPr>
        <w:spacing w:after="0" w:line="240" w:lineRule="auto"/>
      </w:pPr>
      <w:r>
        <w:separator/>
      </w:r>
    </w:p>
  </w:footnote>
  <w:footnote w:type="continuationSeparator" w:id="0">
    <w:p w:rsidR="00EB4E9F" w:rsidRDefault="00EB4E9F" w:rsidP="00730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807" w:rsidRPr="009C1E49" w:rsidRDefault="007B3807" w:rsidP="007B3807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b/>
        <w:bCs/>
        <w:color w:val="000080"/>
        <w:sz w:val="56"/>
        <w:szCs w:val="56"/>
        <w:rtl/>
        <w:lang w:eastAsia="he-IL"/>
      </w:rPr>
    </w:pPr>
    <w:r w:rsidRPr="009C1E49">
      <w:rPr>
        <w:rFonts w:ascii="Times New Roman" w:eastAsia="Times New Roman" w:hAnsi="Times New Roman" w:cs="David"/>
        <w:b/>
        <w:bCs/>
        <w:noProof/>
        <w:sz w:val="96"/>
        <w:szCs w:val="96"/>
      </w:rPr>
      <w:drawing>
        <wp:inline distT="0" distB="0" distL="0" distR="0">
          <wp:extent cx="523875" cy="619125"/>
          <wp:effectExtent l="0" t="0" r="9525" b="9525"/>
          <wp:docPr id="1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B3807" w:rsidRPr="009C1E49" w:rsidRDefault="007B3807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David"/>
        <w:color w:val="000080"/>
        <w:sz w:val="32"/>
        <w:szCs w:val="32"/>
        <w:rtl/>
        <w:lang w:eastAsia="he-IL"/>
      </w:rPr>
    </w:pPr>
    <w:r w:rsidRPr="009C1E49">
      <w:rPr>
        <w:rFonts w:ascii="Times New Roman" w:eastAsia="Times New Roman" w:hAnsi="Times New Roman" w:cs="David" w:hint="cs"/>
        <w:color w:val="000080"/>
        <w:sz w:val="32"/>
        <w:szCs w:val="32"/>
        <w:rtl/>
        <w:lang w:eastAsia="he-IL"/>
      </w:rPr>
      <w:t xml:space="preserve">      </w:t>
    </w:r>
    <w:r w:rsidRPr="009C1E49">
      <w:rPr>
        <w:rFonts w:ascii="Times New Roman" w:eastAsia="Times New Roman" w:hAnsi="Times New Roman" w:cs="FrankRuehl" w:hint="cs"/>
        <w:color w:val="000080"/>
        <w:spacing w:val="6"/>
        <w:sz w:val="96"/>
        <w:szCs w:val="36"/>
        <w:rtl/>
        <w:lang w:eastAsia="he-IL"/>
      </w:rPr>
      <w:t>הנהלת בתי המשפט</w:t>
    </w:r>
  </w:p>
  <w:p w:rsidR="007B3807" w:rsidRPr="009C1E49" w:rsidRDefault="007B3807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  <w:r w:rsidRPr="009C1E49">
      <w:rPr>
        <w:rFonts w:ascii="Times New Roman" w:eastAsia="Times New Roman" w:hAnsi="Times New Roman" w:cs="David"/>
        <w:b/>
        <w:bCs/>
        <w:color w:val="000080"/>
        <w:spacing w:val="6"/>
        <w:sz w:val="24"/>
        <w:szCs w:val="28"/>
        <w:lang w:eastAsia="he-IL"/>
      </w:rPr>
      <w:t>ADMINISTRATION OF COURTS</w:t>
    </w:r>
    <w:r w:rsidRPr="009C1E49"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</w:rPr>
      <w:t xml:space="preserve">      </w:t>
    </w:r>
    <w:r w:rsidRPr="009C1E49">
      <w:rPr>
        <w:rFonts w:ascii="Times New Roman" w:eastAsia="Times New Roman" w:hAnsi="Times New Roman" w:cs="Times New Roman" w:hint="cs"/>
        <w:b/>
        <w:bCs/>
        <w:color w:val="000080"/>
        <w:spacing w:val="6"/>
        <w:sz w:val="28"/>
        <w:szCs w:val="28"/>
        <w:rtl/>
      </w:rPr>
      <w:t xml:space="preserve"> </w:t>
    </w:r>
  </w:p>
  <w:p w:rsidR="007B3807" w:rsidRPr="009C1E49" w:rsidRDefault="007B3807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</w:p>
  <w:p w:rsidR="007B3807" w:rsidRDefault="007B3807" w:rsidP="007B380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</w:pP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לשכת היועץ המשפטי                              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 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Office Of the Legal Adviser</w:t>
    </w:r>
  </w:p>
  <w:p w:rsidR="007B3807" w:rsidRPr="0063654C" w:rsidRDefault="007B3807" w:rsidP="007B3807">
    <w:pPr>
      <w:pStyle w:val="a5"/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</w:pP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היחידה לחופש המידע </w:t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Freedom of Information Unit</w:t>
    </w:r>
  </w:p>
  <w:p w:rsidR="007007D7" w:rsidRPr="009C1E49" w:rsidRDefault="007007D7" w:rsidP="007B3807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sz w:val="20"/>
        <w:szCs w:val="24"/>
        <w:lang w:eastAsia="he-I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801DF"/>
    <w:multiLevelType w:val="hybridMultilevel"/>
    <w:tmpl w:val="8A8C9F58"/>
    <w:lvl w:ilvl="0" w:tplc="2018C33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3CF"/>
    <w:rsid w:val="000011AE"/>
    <w:rsid w:val="00025761"/>
    <w:rsid w:val="001D1EC6"/>
    <w:rsid w:val="001D42A7"/>
    <w:rsid w:val="002453CF"/>
    <w:rsid w:val="002C0E83"/>
    <w:rsid w:val="003921C3"/>
    <w:rsid w:val="003E6E39"/>
    <w:rsid w:val="00406560"/>
    <w:rsid w:val="004074C7"/>
    <w:rsid w:val="00426AA7"/>
    <w:rsid w:val="005C71D3"/>
    <w:rsid w:val="00690B6F"/>
    <w:rsid w:val="00697F38"/>
    <w:rsid w:val="006B7B96"/>
    <w:rsid w:val="006C3B1F"/>
    <w:rsid w:val="006F1E1F"/>
    <w:rsid w:val="007007D7"/>
    <w:rsid w:val="00711675"/>
    <w:rsid w:val="00730CA1"/>
    <w:rsid w:val="007B3807"/>
    <w:rsid w:val="008364BB"/>
    <w:rsid w:val="008761F6"/>
    <w:rsid w:val="008C02E0"/>
    <w:rsid w:val="008C565F"/>
    <w:rsid w:val="008C6876"/>
    <w:rsid w:val="009532BF"/>
    <w:rsid w:val="00983123"/>
    <w:rsid w:val="009C1E49"/>
    <w:rsid w:val="009E3870"/>
    <w:rsid w:val="009E5C0E"/>
    <w:rsid w:val="00A303A5"/>
    <w:rsid w:val="00A332B0"/>
    <w:rsid w:val="00A3623C"/>
    <w:rsid w:val="00A4186B"/>
    <w:rsid w:val="00A617D5"/>
    <w:rsid w:val="00AD7644"/>
    <w:rsid w:val="00B16422"/>
    <w:rsid w:val="00B6273E"/>
    <w:rsid w:val="00BA3143"/>
    <w:rsid w:val="00C22E08"/>
    <w:rsid w:val="00C313B7"/>
    <w:rsid w:val="00C37F37"/>
    <w:rsid w:val="00C50C55"/>
    <w:rsid w:val="00C529CC"/>
    <w:rsid w:val="00C842A7"/>
    <w:rsid w:val="00C85A27"/>
    <w:rsid w:val="00CA2D6A"/>
    <w:rsid w:val="00CB4940"/>
    <w:rsid w:val="00D11F77"/>
    <w:rsid w:val="00D205AB"/>
    <w:rsid w:val="00D43C0E"/>
    <w:rsid w:val="00D47C8E"/>
    <w:rsid w:val="00D62ABF"/>
    <w:rsid w:val="00E35DF3"/>
    <w:rsid w:val="00EB4E9F"/>
    <w:rsid w:val="00EB6609"/>
    <w:rsid w:val="00F1078B"/>
    <w:rsid w:val="00F46250"/>
    <w:rsid w:val="00FF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E5554"/>
  <w15:chartTrackingRefBased/>
  <w15:docId w15:val="{73C43B57-6867-4F06-9DF1-55588D3D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7D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AA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426AA7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35DF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0C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30CA1"/>
  </w:style>
  <w:style w:type="paragraph" w:styleId="a7">
    <w:name w:val="footer"/>
    <w:basedOn w:val="a"/>
    <w:link w:val="a8"/>
    <w:uiPriority w:val="99"/>
    <w:unhideWhenUsed/>
    <w:rsid w:val="00730C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30CA1"/>
  </w:style>
  <w:style w:type="paragraph" w:styleId="a9">
    <w:name w:val="List Paragraph"/>
    <w:basedOn w:val="a"/>
    <w:uiPriority w:val="34"/>
    <w:qFormat/>
    <w:rsid w:val="00A41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8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D7D02636-4182-43D0-82FF-FE43B1537A11}">
  <ds:schemaRefs>
    <ds:schemaRef ds:uri="http://schemas.openxmlformats.org/wordprocessingml/2006/main"/>
    <ds:schemaRef ds:uri="http://schemas.openxmlformats.org/officeDocument/2006/math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170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נירית לזימי</dc:creator>
  <cp:keywords/>
  <dc:description/>
  <cp:lastModifiedBy>עינת צבאג</cp:lastModifiedBy>
  <cp:revision>3</cp:revision>
  <cp:lastPrinted>2017-11-13T12:38:00Z</cp:lastPrinted>
  <dcterms:created xsi:type="dcterms:W3CDTF">2023-02-14T12:32:00Z</dcterms:created>
  <dcterms:modified xsi:type="dcterms:W3CDTF">2023-02-14T12:32:00Z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">
    <vt:lpwstr>27 באוקטובר 2022</vt:lpwstr>
  </property>
  <property fmtid="{D5CDD505-2E9C-101B-9397-08002B2CF9AE}" pid="3" name="DocNumber">
    <vt:lpwstr>4700-1012-2022-013658</vt:lpwstr>
  </property>
  <property fmtid="{D5CDD505-2E9C-101B-9397-08002B2CF9AE}" pid="4" name="DocRecipientsName">
    <vt:lpwstr/>
  </property>
  <property fmtid="{D5CDD505-2E9C-101B-9397-08002B2CF9AE}" pid="5" name="DocToName">
    <vt:lpwstr/>
  </property>
  <property fmtid="{D5CDD505-2E9C-101B-9397-08002B2CF9AE}" pid="6" name="DocObjectName">
    <vt:lpwstr>מענה לפניית עו"ד יפה דנה - קבלת מידע אודות פעילות ועדת אנגלרד</vt:lpwstr>
  </property>
  <property fmtid="{D5CDD505-2E9C-101B-9397-08002B2CF9AE}" pid="7" name="DocDateHebB">
    <vt:lpwstr>ב' בחשוון התשפ"ג</vt:lpwstr>
  </property>
</Properties>
</file>