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C4" w:rsidRPr="008B43D6" w:rsidRDefault="003C20C4" w:rsidP="003C20C4">
      <w:pPr>
        <w:spacing w:after="0"/>
        <w:jc w:val="both"/>
        <w:rPr>
          <w:rFonts w:ascii="David" w:hAnsi="David" w:cs="David"/>
          <w:sz w:val="24"/>
          <w:szCs w:val="24"/>
          <w:rtl/>
        </w:rPr>
      </w:pPr>
      <w:r w:rsidRPr="005875A9">
        <w:rPr>
          <w:rFonts w:ascii="David" w:hAnsi="David" w:cs="David"/>
          <w:sz w:val="24"/>
          <w:szCs w:val="24"/>
        </w:rPr>
        <w:fldChar w:fldCharType="begin"/>
      </w:r>
      <w:r w:rsidRPr="005875A9">
        <w:rPr>
          <w:rFonts w:ascii="David" w:hAnsi="David" w:cs="David"/>
          <w:sz w:val="24"/>
          <w:szCs w:val="24"/>
        </w:rPr>
        <w:instrText xml:space="preserve"> DOCPROPERTY  DocToName  \* MERGEFORMAT </w:instrText>
      </w:r>
      <w:r w:rsidRPr="005875A9">
        <w:rPr>
          <w:rFonts w:ascii="David" w:hAnsi="David" w:cs="David"/>
          <w:sz w:val="24"/>
          <w:szCs w:val="24"/>
        </w:rPr>
        <w:fldChar w:fldCharType="end"/>
      </w:r>
    </w:p>
    <w:p w:rsidR="003C20C4" w:rsidRPr="008B43D6" w:rsidRDefault="003C20C4" w:rsidP="003C20C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B43D6">
        <w:rPr>
          <w:rFonts w:cs="FrankRuehl"/>
          <w:sz w:val="28"/>
          <w:szCs w:val="28"/>
          <w:rtl/>
        </w:rPr>
        <w:t xml:space="preserve">הנדון: </w:t>
      </w:r>
      <w:r w:rsidRPr="008B43D6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B43D6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B43D6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3C20C4" w:rsidRDefault="003C20C4" w:rsidP="003C20C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B43D6">
        <w:rPr>
          <w:rFonts w:cs="FrankRuehl"/>
          <w:rtl/>
        </w:rPr>
        <w:t>סימוכין:</w:t>
      </w:r>
      <w:r>
        <w:rPr>
          <w:rFonts w:cs="FrankRuehl" w:hint="cs"/>
          <w:rtl/>
        </w:rPr>
        <w:t xml:space="preserve"> מכתבו של מנהל בתי המשפט מיום 28.12.2021</w:t>
      </w:r>
    </w:p>
    <w:p w:rsidR="003C20C4" w:rsidRDefault="003C20C4" w:rsidP="003C20C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>
        <w:rPr>
          <w:rFonts w:cs="FrankRuehl" w:hint="cs"/>
          <w:rtl/>
        </w:rPr>
        <w:t>מכתבנו מיום 24.11.2021</w:t>
      </w:r>
    </w:p>
    <w:p w:rsidR="003C20C4" w:rsidRPr="008B43D6" w:rsidRDefault="003C20C4" w:rsidP="003C20C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B43D6">
        <w:rPr>
          <w:rFonts w:cs="FrankRuehl"/>
          <w:rtl/>
        </w:rPr>
        <w:t xml:space="preserve"> </w:t>
      </w:r>
      <w:r w:rsidRPr="008B43D6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30.10.2021</w:t>
      </w:r>
    </w:p>
    <w:p w:rsidR="003C20C4" w:rsidRDefault="003C20C4" w:rsidP="003C20C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  <w:rtl/>
        </w:rPr>
      </w:pPr>
    </w:p>
    <w:p w:rsidR="003C20C4" w:rsidRDefault="003C20C4" w:rsidP="003C20C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  <w:rtl/>
        </w:rPr>
      </w:pPr>
    </w:p>
    <w:p w:rsidR="003C20C4" w:rsidRPr="005875A9" w:rsidRDefault="003C20C4" w:rsidP="003C20C4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3C20C4" w:rsidRDefault="003C20C4" w:rsidP="003C20C4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לקבלת מידע על אודות הכנסות והוצאות של מערכת בתי המשפט, לפי חוק חופש המידע התשנ"ח-1998 (להלן-"החוק") הריני משיבה </w:t>
      </w:r>
      <w:r w:rsidRPr="00C36A96">
        <w:rPr>
          <w:rFonts w:cs="FrankRuehl" w:hint="cs"/>
          <w:sz w:val="28"/>
          <w:szCs w:val="28"/>
          <w:rtl/>
        </w:rPr>
        <w:t xml:space="preserve">לך </w:t>
      </w:r>
      <w:r>
        <w:rPr>
          <w:rFonts w:cs="FrankRuehl" w:hint="cs"/>
          <w:sz w:val="28"/>
          <w:szCs w:val="28"/>
          <w:rtl/>
        </w:rPr>
        <w:t>שבאפשרותנו</w:t>
      </w:r>
      <w:r w:rsidRPr="008C7B7C">
        <w:rPr>
          <w:rFonts w:cs="FrankRuehl" w:hint="cs"/>
          <w:sz w:val="28"/>
          <w:szCs w:val="28"/>
          <w:rtl/>
        </w:rPr>
        <w:t xml:space="preserve"> לקבלה</w:t>
      </w:r>
      <w:r>
        <w:rPr>
          <w:rFonts w:cs="FrankRuehl" w:hint="cs"/>
          <w:sz w:val="28"/>
          <w:szCs w:val="28"/>
          <w:rtl/>
        </w:rPr>
        <w:t xml:space="preserve"> חלקית</w:t>
      </w:r>
      <w:r w:rsidDel="00E13880">
        <w:rPr>
          <w:rFonts w:cs="FrankRuehl" w:hint="cs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ו</w:t>
      </w:r>
      <w:r w:rsidRPr="008C7B7C">
        <w:rPr>
          <w:rFonts w:cs="FrankRuehl" w:hint="cs"/>
          <w:sz w:val="28"/>
          <w:szCs w:val="28"/>
          <w:rtl/>
        </w:rPr>
        <w:t>ל</w:t>
      </w:r>
      <w:r>
        <w:rPr>
          <w:rFonts w:cs="FrankRuehl" w:hint="cs"/>
          <w:sz w:val="28"/>
          <w:szCs w:val="28"/>
          <w:rtl/>
        </w:rPr>
        <w:t xml:space="preserve">מסור לך אלא את המידע המצוי ברשותנו בלבד. </w:t>
      </w:r>
      <w:r w:rsidRPr="00E17B04">
        <w:rPr>
          <w:rFonts w:cs="FrankRuehl"/>
          <w:sz w:val="28"/>
          <w:szCs w:val="28"/>
          <w:rtl/>
        </w:rPr>
        <w:t>להלן המידע כפי שנמסר מהגור</w:t>
      </w:r>
      <w:r w:rsidRPr="00E17B04">
        <w:rPr>
          <w:rFonts w:cs="FrankRuehl" w:hint="cs"/>
          <w:sz w:val="28"/>
          <w:szCs w:val="28"/>
          <w:rtl/>
        </w:rPr>
        <w:t>מים</w:t>
      </w:r>
      <w:r w:rsidRPr="00E17B04">
        <w:rPr>
          <w:rFonts w:cs="FrankRuehl"/>
          <w:sz w:val="28"/>
          <w:szCs w:val="28"/>
          <w:rtl/>
        </w:rPr>
        <w:t xml:space="preserve"> המקצועי</w:t>
      </w:r>
      <w:r w:rsidRPr="00E17B04">
        <w:rPr>
          <w:rFonts w:cs="FrankRuehl" w:hint="cs"/>
          <w:sz w:val="28"/>
          <w:szCs w:val="28"/>
          <w:rtl/>
        </w:rPr>
        <w:t>ים</w:t>
      </w:r>
      <w:r w:rsidRPr="00E17B04">
        <w:rPr>
          <w:rFonts w:cs="FrankRuehl"/>
          <w:sz w:val="28"/>
          <w:szCs w:val="28"/>
          <w:rtl/>
        </w:rPr>
        <w:t xml:space="preserve"> הרלוונטי</w:t>
      </w:r>
      <w:r w:rsidRPr="00E17B04">
        <w:rPr>
          <w:rFonts w:cs="FrankRuehl" w:hint="cs"/>
          <w:sz w:val="28"/>
          <w:szCs w:val="28"/>
          <w:rtl/>
        </w:rPr>
        <w:t>ים</w:t>
      </w:r>
      <w:r w:rsidRPr="00E17B04">
        <w:rPr>
          <w:rFonts w:cs="FrankRuehl"/>
          <w:sz w:val="28"/>
          <w:szCs w:val="28"/>
          <w:rtl/>
        </w:rPr>
        <w:t xml:space="preserve"> בהנהלת בתי המשפט</w:t>
      </w:r>
      <w:r>
        <w:rPr>
          <w:rFonts w:cs="FrankRuehl" w:hint="cs"/>
          <w:sz w:val="28"/>
          <w:szCs w:val="28"/>
          <w:rtl/>
        </w:rPr>
        <w:t>:</w:t>
      </w:r>
    </w:p>
    <w:p w:rsidR="003C20C4" w:rsidRPr="00C36A96" w:rsidRDefault="003C20C4" w:rsidP="003C20C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 w:rsidRPr="00C36A96">
        <w:rPr>
          <w:rFonts w:cs="FrankRuehl" w:hint="cs"/>
          <w:sz w:val="28"/>
          <w:szCs w:val="28"/>
          <w:rtl/>
        </w:rPr>
        <w:t xml:space="preserve">אשר לסעיפים 2-1 לבקשתך מצורפת בזה טבלה שכוללת את העמודות הבאות: </w:t>
      </w:r>
      <w:r w:rsidRPr="00C36A96">
        <w:rPr>
          <w:rFonts w:cs="FrankRuehl"/>
          <w:sz w:val="28"/>
          <w:szCs w:val="28"/>
          <w:rtl/>
        </w:rPr>
        <w:t>שנה</w:t>
      </w:r>
      <w:r w:rsidRPr="00C36A96">
        <w:rPr>
          <w:rFonts w:cs="FrankRuehl" w:hint="cs"/>
          <w:sz w:val="28"/>
          <w:szCs w:val="28"/>
          <w:rtl/>
        </w:rPr>
        <w:t xml:space="preserve">, </w:t>
      </w:r>
      <w:r w:rsidRPr="00C36A96">
        <w:rPr>
          <w:rFonts w:cs="FrankRuehl"/>
          <w:sz w:val="28"/>
          <w:szCs w:val="28"/>
          <w:rtl/>
        </w:rPr>
        <w:t>ערכאה</w:t>
      </w:r>
      <w:r w:rsidRPr="00C36A96">
        <w:rPr>
          <w:rFonts w:cs="FrankRuehl" w:hint="cs"/>
          <w:sz w:val="28"/>
          <w:szCs w:val="28"/>
          <w:rtl/>
        </w:rPr>
        <w:t xml:space="preserve">, </w:t>
      </w:r>
      <w:r w:rsidRPr="00C36A96">
        <w:rPr>
          <w:rFonts w:cs="FrankRuehl"/>
          <w:sz w:val="28"/>
          <w:szCs w:val="28"/>
          <w:rtl/>
        </w:rPr>
        <w:t>מחוז</w:t>
      </w:r>
      <w:r w:rsidRPr="00C36A96">
        <w:rPr>
          <w:rFonts w:cs="FrankRuehl" w:hint="cs"/>
          <w:sz w:val="28"/>
          <w:szCs w:val="28"/>
          <w:rtl/>
        </w:rPr>
        <w:t xml:space="preserve">, </w:t>
      </w:r>
      <w:r w:rsidRPr="00C36A96">
        <w:rPr>
          <w:rFonts w:cs="FrankRuehl"/>
          <w:sz w:val="28"/>
          <w:szCs w:val="28"/>
          <w:rtl/>
        </w:rPr>
        <w:t>מספר התיקים שנפתחו</w:t>
      </w:r>
      <w:r w:rsidRPr="00C36A96">
        <w:rPr>
          <w:rFonts w:cs="FrankRuehl" w:hint="cs"/>
          <w:sz w:val="28"/>
          <w:szCs w:val="28"/>
          <w:rtl/>
        </w:rPr>
        <w:t xml:space="preserve">, </w:t>
      </w:r>
      <w:r w:rsidRPr="00C36A96">
        <w:rPr>
          <w:rFonts w:cs="FrankRuehl"/>
          <w:sz w:val="28"/>
          <w:szCs w:val="28"/>
          <w:rtl/>
        </w:rPr>
        <w:t>מספר התיקים ששולמה בהם אגרת פתיחת תיק</w:t>
      </w:r>
      <w:r w:rsidRPr="00C36A96">
        <w:rPr>
          <w:rFonts w:cs="FrankRuehl" w:hint="cs"/>
          <w:sz w:val="28"/>
          <w:szCs w:val="28"/>
          <w:rtl/>
        </w:rPr>
        <w:t xml:space="preserve">, </w:t>
      </w:r>
      <w:r w:rsidRPr="00C36A96">
        <w:rPr>
          <w:rFonts w:cs="FrankRuehl"/>
          <w:sz w:val="28"/>
          <w:szCs w:val="28"/>
          <w:rtl/>
        </w:rPr>
        <w:t>הכנסות כתוצאה מתשלום אגרת פתיחת תיק</w:t>
      </w:r>
      <w:r>
        <w:rPr>
          <w:rFonts w:cs="FrankRuehl" w:hint="cs"/>
          <w:sz w:val="28"/>
          <w:szCs w:val="28"/>
          <w:rtl/>
        </w:rPr>
        <w:t>.</w:t>
      </w:r>
    </w:p>
    <w:p w:rsidR="003C20C4" w:rsidRDefault="003C20C4" w:rsidP="003C20C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E50E4F">
        <w:rPr>
          <w:rFonts w:cs="FrankRuehl" w:hint="cs"/>
          <w:sz w:val="28"/>
          <w:szCs w:val="28"/>
          <w:rtl/>
        </w:rPr>
        <w:t xml:space="preserve">אשר לסעיף 3 לבקשתך לקבלת מידע על הוצאות מערכת בתי המשפט  בחלוקה לערכאות ולמחוזות אשיב שאין </w:t>
      </w:r>
      <w:r w:rsidRPr="00BC060B">
        <w:rPr>
          <w:rFonts w:cs="FrankRuehl" w:hint="eastAsia"/>
          <w:sz w:val="28"/>
          <w:szCs w:val="28"/>
          <w:rtl/>
        </w:rPr>
        <w:t>ברשותנו</w:t>
      </w:r>
      <w:r w:rsidRPr="00BC060B">
        <w:rPr>
          <w:rFonts w:cs="FrankRuehl"/>
          <w:sz w:val="28"/>
          <w:szCs w:val="28"/>
          <w:rtl/>
        </w:rPr>
        <w:t xml:space="preserve"> את </w:t>
      </w:r>
      <w:r w:rsidRPr="00BC060B">
        <w:rPr>
          <w:rFonts w:cs="FrankRuehl" w:hint="cs"/>
          <w:sz w:val="28"/>
          <w:szCs w:val="28"/>
          <w:rtl/>
        </w:rPr>
        <w:t>ה</w:t>
      </w:r>
      <w:r w:rsidRPr="00BC060B">
        <w:rPr>
          <w:rFonts w:cs="FrankRuehl" w:hint="eastAsia"/>
          <w:sz w:val="28"/>
          <w:szCs w:val="28"/>
          <w:rtl/>
        </w:rPr>
        <w:t>מידע</w:t>
      </w:r>
      <w:r w:rsidRPr="00BC060B">
        <w:rPr>
          <w:rFonts w:cs="FrankRuehl"/>
          <w:sz w:val="28"/>
          <w:szCs w:val="28"/>
          <w:rtl/>
        </w:rPr>
        <w:t xml:space="preserve"> בתצורה </w:t>
      </w:r>
      <w:r w:rsidRPr="00BC060B">
        <w:rPr>
          <w:rFonts w:cs="FrankRuehl" w:hint="eastAsia"/>
          <w:sz w:val="28"/>
          <w:szCs w:val="28"/>
          <w:rtl/>
        </w:rPr>
        <w:t>המבוקשת</w:t>
      </w:r>
      <w:r w:rsidRPr="00BC060B">
        <w:rPr>
          <w:rFonts w:cs="FrankRuehl"/>
          <w:sz w:val="28"/>
          <w:szCs w:val="28"/>
          <w:rtl/>
        </w:rPr>
        <w:t xml:space="preserve"> על ידך באופן </w:t>
      </w:r>
      <w:r w:rsidRPr="00BC060B">
        <w:rPr>
          <w:rFonts w:cs="FrankRuehl" w:hint="eastAsia"/>
          <w:sz w:val="28"/>
          <w:szCs w:val="28"/>
          <w:rtl/>
        </w:rPr>
        <w:t>שניתן</w:t>
      </w:r>
      <w:r w:rsidRPr="00BC060B">
        <w:rPr>
          <w:rFonts w:cs="FrankRuehl"/>
          <w:sz w:val="28"/>
          <w:szCs w:val="28"/>
          <w:rtl/>
        </w:rPr>
        <w:t xml:space="preserve"> </w:t>
      </w:r>
      <w:r w:rsidRPr="00BC060B">
        <w:rPr>
          <w:rFonts w:cs="FrankRuehl" w:hint="eastAsia"/>
          <w:sz w:val="28"/>
          <w:szCs w:val="28"/>
          <w:rtl/>
        </w:rPr>
        <w:t>להיסמך</w:t>
      </w:r>
      <w:r w:rsidRPr="00BC060B">
        <w:rPr>
          <w:rFonts w:cs="FrankRuehl"/>
          <w:sz w:val="28"/>
          <w:szCs w:val="28"/>
          <w:rtl/>
        </w:rPr>
        <w:t xml:space="preserve"> </w:t>
      </w:r>
      <w:r w:rsidRPr="00BC060B">
        <w:rPr>
          <w:rFonts w:cs="FrankRuehl" w:hint="eastAsia"/>
          <w:sz w:val="28"/>
          <w:szCs w:val="28"/>
          <w:rtl/>
        </w:rPr>
        <w:t>עליו</w:t>
      </w:r>
      <w:r w:rsidRPr="00BC060B">
        <w:rPr>
          <w:rFonts w:cs="FrankRuehl"/>
          <w:sz w:val="28"/>
          <w:szCs w:val="28"/>
          <w:rtl/>
        </w:rPr>
        <w:t>. אשר  על כן,</w:t>
      </w:r>
      <w:r w:rsidRPr="00BC060B">
        <w:rPr>
          <w:rFonts w:cs="FrankRuehl" w:hint="cs"/>
          <w:sz w:val="28"/>
          <w:szCs w:val="28"/>
          <w:rtl/>
        </w:rPr>
        <w:t xml:space="preserve"> לא</w:t>
      </w:r>
      <w:r>
        <w:rPr>
          <w:rFonts w:cs="FrankRuehl" w:hint="cs"/>
          <w:sz w:val="28"/>
          <w:szCs w:val="28"/>
          <w:rtl/>
        </w:rPr>
        <w:t xml:space="preserve"> יימסר לך אלא המידע המצוי ברשותנו וזאת </w:t>
      </w:r>
      <w:r w:rsidRPr="00E50E4F">
        <w:rPr>
          <w:rFonts w:cs="FrankRuehl" w:hint="cs"/>
          <w:sz w:val="28"/>
          <w:szCs w:val="28"/>
          <w:rtl/>
        </w:rPr>
        <w:t xml:space="preserve">בהתאם לסעיף 8(3) לחוק. </w:t>
      </w:r>
      <w:r>
        <w:rPr>
          <w:rFonts w:cs="FrankRuehl" w:hint="cs"/>
          <w:sz w:val="28"/>
          <w:szCs w:val="28"/>
          <w:rtl/>
        </w:rPr>
        <w:t xml:space="preserve"> </w:t>
      </w:r>
      <w:r w:rsidRPr="00E50E4F">
        <w:rPr>
          <w:rFonts w:cs="FrankRuehl" w:hint="cs"/>
          <w:sz w:val="28"/>
          <w:szCs w:val="28"/>
          <w:rtl/>
        </w:rPr>
        <w:t xml:space="preserve">מצורפת בזה </w:t>
      </w:r>
      <w:r>
        <w:rPr>
          <w:rFonts w:cs="FrankRuehl" w:hint="cs"/>
          <w:sz w:val="28"/>
          <w:szCs w:val="28"/>
          <w:rtl/>
        </w:rPr>
        <w:t xml:space="preserve">אפוא </w:t>
      </w:r>
      <w:r w:rsidRPr="00E50E4F">
        <w:rPr>
          <w:rFonts w:cs="FrankRuehl" w:hint="cs"/>
          <w:sz w:val="28"/>
          <w:szCs w:val="28"/>
          <w:rtl/>
        </w:rPr>
        <w:t>טבלה שכוללת את הוצאות מערכת בתי המשפט ברמה ארצית</w:t>
      </w:r>
      <w:r>
        <w:rPr>
          <w:rFonts w:cs="FrankRuehl" w:hint="cs"/>
          <w:sz w:val="28"/>
          <w:szCs w:val="28"/>
          <w:rtl/>
        </w:rPr>
        <w:t>, כפי שהתקבל מהגורמים המקצועיים הרלוונטיים בהנהלת בתי המשפט</w:t>
      </w:r>
      <w:r w:rsidRPr="00E50E4F">
        <w:rPr>
          <w:rFonts w:cs="FrankRuehl" w:hint="cs"/>
          <w:sz w:val="28"/>
          <w:szCs w:val="28"/>
          <w:rtl/>
        </w:rPr>
        <w:t>.</w:t>
      </w:r>
    </w:p>
    <w:p w:rsidR="003C20C4" w:rsidRPr="00D31D9A" w:rsidRDefault="003C20C4" w:rsidP="003C20C4">
      <w:pPr>
        <w:pStyle w:val="a3"/>
        <w:rPr>
          <w:rFonts w:ascii="Arial" w:hAnsi="Arial" w:cs="Arial"/>
          <w:color w:val="1F497D"/>
        </w:rPr>
      </w:pPr>
    </w:p>
    <w:tbl>
      <w:tblPr>
        <w:bidiVisual/>
        <w:tblW w:w="4699" w:type="dxa"/>
        <w:tblInd w:w="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9"/>
        <w:gridCol w:w="3450"/>
      </w:tblGrid>
      <w:tr w:rsidR="003C20C4" w:rsidTr="000166C7">
        <w:trPr>
          <w:trHeight w:val="300"/>
          <w:tblHeader/>
        </w:trPr>
        <w:tc>
          <w:tcPr>
            <w:tcW w:w="12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ind w:left="286"/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 xml:space="preserve">שנה </w:t>
            </w:r>
          </w:p>
        </w:tc>
        <w:tc>
          <w:tcPr>
            <w:tcW w:w="3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 xml:space="preserve">הוצאה ברוטו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2010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1,458,251,538.83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2011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1,499,798,625.35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2012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1,583,857,539.95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2013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1,547,675,512.37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2014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1,640,604,701.21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2015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1,697,212,970.11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2016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1,757,357,363.44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1,817,986,659.45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2,066,489,610.33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2019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1,998,330,499.57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2,003,504,974.08 </w:t>
            </w:r>
          </w:p>
        </w:tc>
      </w:tr>
      <w:tr w:rsidR="003C20C4" w:rsidTr="000166C7">
        <w:trPr>
          <w:trHeight w:val="285"/>
        </w:trPr>
        <w:tc>
          <w:tcPr>
            <w:tcW w:w="1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1-11.2021</w:t>
            </w:r>
          </w:p>
        </w:tc>
        <w:tc>
          <w:tcPr>
            <w:tcW w:w="3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                1,895,740,043.43 </w:t>
            </w:r>
          </w:p>
        </w:tc>
      </w:tr>
    </w:tbl>
    <w:p w:rsidR="003C20C4" w:rsidRPr="00E50E4F" w:rsidRDefault="003C20C4" w:rsidP="003C20C4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3C20C4" w:rsidRDefault="003C20C4" w:rsidP="003C20C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E50E4F">
        <w:rPr>
          <w:rFonts w:cs="FrankRuehl" w:hint="cs"/>
          <w:sz w:val="28"/>
          <w:szCs w:val="28"/>
          <w:rtl/>
        </w:rPr>
        <w:t>אשר לסעיף 4 לבקשתך להלן  טבלה שכוללת את החלק היחסי של הכנסות מערכת בתי המשפט כתוצאה מתשלום אגרת פתיחה בהוצאות מערכת בתי המשפט</w:t>
      </w:r>
      <w:r>
        <w:rPr>
          <w:rFonts w:cs="FrankRuehl" w:hint="cs"/>
          <w:sz w:val="28"/>
          <w:szCs w:val="28"/>
          <w:rtl/>
        </w:rPr>
        <w:t>,</w:t>
      </w:r>
      <w:r w:rsidRPr="00E50E4F">
        <w:rPr>
          <w:rFonts w:cs="FrankRuehl" w:hint="cs"/>
          <w:sz w:val="28"/>
          <w:szCs w:val="28"/>
          <w:rtl/>
        </w:rPr>
        <w:t xml:space="preserve"> יצוין שהמידע המבוקש אינו קיים </w:t>
      </w:r>
      <w:r>
        <w:rPr>
          <w:rFonts w:cs="FrankRuehl" w:hint="cs"/>
          <w:sz w:val="28"/>
          <w:szCs w:val="28"/>
          <w:rtl/>
        </w:rPr>
        <w:t>ברשותנו באופן ה</w:t>
      </w:r>
      <w:r w:rsidRPr="00E50E4F">
        <w:rPr>
          <w:rFonts w:cs="FrankRuehl" w:hint="cs"/>
          <w:sz w:val="28"/>
          <w:szCs w:val="28"/>
          <w:rtl/>
        </w:rPr>
        <w:t>מבוקש על ידך</w:t>
      </w:r>
      <w:r>
        <w:rPr>
          <w:rFonts w:cs="FrankRuehl" w:hint="cs"/>
          <w:sz w:val="28"/>
          <w:szCs w:val="28"/>
          <w:rtl/>
        </w:rPr>
        <w:t>.</w:t>
      </w:r>
      <w:r w:rsidRPr="00E50E4F">
        <w:rPr>
          <w:rFonts w:cs="FrankRuehl" w:hint="cs"/>
          <w:sz w:val="28"/>
          <w:szCs w:val="28"/>
          <w:rtl/>
        </w:rPr>
        <w:t xml:space="preserve">  </w:t>
      </w:r>
      <w:r>
        <w:rPr>
          <w:rFonts w:cs="FrankRuehl" w:hint="cs"/>
          <w:sz w:val="28"/>
          <w:szCs w:val="28"/>
          <w:rtl/>
        </w:rPr>
        <w:t xml:space="preserve">לפי מידע שהתקבל מהגורמים המקצועיים הרלוונטיים בהנהלת בתי המשפט, </w:t>
      </w:r>
      <w:r w:rsidRPr="00E50E4F">
        <w:rPr>
          <w:rFonts w:cs="FrankRuehl" w:hint="cs"/>
          <w:sz w:val="28"/>
          <w:szCs w:val="28"/>
          <w:rtl/>
        </w:rPr>
        <w:t xml:space="preserve">הרישום של הכנסות מאגרות הוא מרוכז ואין הפרדה בין בתי המשפט השונים. </w:t>
      </w:r>
      <w:r>
        <w:rPr>
          <w:rFonts w:cs="FrankRuehl" w:hint="cs"/>
          <w:sz w:val="28"/>
          <w:szCs w:val="28"/>
          <w:rtl/>
        </w:rPr>
        <w:t xml:space="preserve">לפיכך נמסר לך המידע המצוי ברשותנו בלבד וזאת </w:t>
      </w:r>
      <w:r w:rsidRPr="00E50E4F">
        <w:rPr>
          <w:rFonts w:cs="FrankRuehl" w:hint="cs"/>
          <w:sz w:val="28"/>
          <w:szCs w:val="28"/>
          <w:rtl/>
        </w:rPr>
        <w:t>בהתאם לסעיף 8(3) לחוק.</w:t>
      </w:r>
    </w:p>
    <w:tbl>
      <w:tblPr>
        <w:bidiVisual/>
        <w:tblW w:w="2680" w:type="dxa"/>
        <w:tblInd w:w="6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780"/>
      </w:tblGrid>
      <w:tr w:rsidR="003C20C4" w:rsidTr="000166C7">
        <w:trPr>
          <w:trHeight w:val="300"/>
          <w:tblHeader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0C4" w:rsidRDefault="003C20C4" w:rsidP="000166C7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DB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C20C4" w:rsidRDefault="003C20C4" w:rsidP="000166C7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הכנסות מאגרות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30,420,000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22,687,665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25,005,665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32,014,030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48,900,315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103,307,000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154,122,000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147,157,098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151,322,050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169,805,840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208,267,317</w:t>
            </w:r>
          </w:p>
        </w:tc>
      </w:tr>
      <w:tr w:rsidR="003C20C4" w:rsidTr="000166C7">
        <w:trPr>
          <w:trHeight w:val="285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C20C4" w:rsidRDefault="003C20C4" w:rsidP="000166C7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175,887,489</w:t>
            </w:r>
          </w:p>
        </w:tc>
      </w:tr>
    </w:tbl>
    <w:p w:rsidR="003C20C4" w:rsidRPr="00E50E4F" w:rsidRDefault="003C20C4" w:rsidP="003C20C4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3C20C4" w:rsidRPr="00A038D4" w:rsidRDefault="003C20C4" w:rsidP="003C20C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A038D4">
        <w:rPr>
          <w:rFonts w:cs="FrankRuehl"/>
          <w:sz w:val="28"/>
          <w:szCs w:val="28"/>
          <w:rtl/>
        </w:rPr>
        <w:t>כנגד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החלטה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זו</w:t>
      </w:r>
      <w:r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אתה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רשאי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להגיש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עתירה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מנהלית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בתוך</w:t>
      </w:r>
      <w:r w:rsidRPr="00A038D4">
        <w:rPr>
          <w:rFonts w:cs="FrankRuehl"/>
          <w:sz w:val="28"/>
          <w:szCs w:val="28"/>
        </w:rPr>
        <w:t xml:space="preserve"> </w:t>
      </w:r>
      <w:r w:rsidRPr="00DD4AB2">
        <w:rPr>
          <w:rFonts w:ascii="Arial" w:hAnsi="Arial" w:cs="Arial"/>
          <w:color w:val="000000"/>
        </w:rPr>
        <w:t>45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יום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לבית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המשפט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לעניינים</w:t>
      </w:r>
    </w:p>
    <w:p w:rsidR="003C20C4" w:rsidRDefault="003C20C4" w:rsidP="003C20C4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  <w:r w:rsidRPr="00A038D4">
        <w:rPr>
          <w:rFonts w:cs="FrankRuehl"/>
          <w:sz w:val="28"/>
          <w:szCs w:val="28"/>
          <w:rtl/>
        </w:rPr>
        <w:t>מנהליים</w:t>
      </w:r>
      <w:r w:rsidRPr="00A038D4">
        <w:rPr>
          <w:rFonts w:cs="FrankRuehl"/>
          <w:sz w:val="28"/>
          <w:szCs w:val="28"/>
        </w:rPr>
        <w:t xml:space="preserve"> </w:t>
      </w:r>
      <w:r w:rsidRPr="00A038D4">
        <w:rPr>
          <w:rFonts w:cs="FrankRuehl"/>
          <w:sz w:val="28"/>
          <w:szCs w:val="28"/>
          <w:rtl/>
        </w:rPr>
        <w:t>בירושלים</w:t>
      </w:r>
      <w:r w:rsidRPr="00A038D4">
        <w:rPr>
          <w:rFonts w:cs="FrankRuehl"/>
          <w:sz w:val="28"/>
          <w:szCs w:val="28"/>
        </w:rPr>
        <w:t>.</w:t>
      </w:r>
    </w:p>
    <w:p w:rsidR="003C20C4" w:rsidRDefault="003C20C4" w:rsidP="003C20C4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A038D4">
        <w:rPr>
          <w:rFonts w:cs="FrankRuehl" w:hint="cs"/>
          <w:sz w:val="28"/>
          <w:szCs w:val="28"/>
          <w:rtl/>
        </w:rPr>
        <w:t xml:space="preserve">לרשותך </w:t>
      </w:r>
      <w:r>
        <w:rPr>
          <w:rFonts w:cs="FrankRuehl" w:hint="cs"/>
          <w:sz w:val="28"/>
          <w:szCs w:val="28"/>
          <w:rtl/>
        </w:rPr>
        <w:t xml:space="preserve">ככל </w:t>
      </w:r>
      <w:proofErr w:type="spellStart"/>
      <w:r>
        <w:rPr>
          <w:rFonts w:cs="FrankRuehl" w:hint="cs"/>
          <w:sz w:val="28"/>
          <w:szCs w:val="28"/>
          <w:rtl/>
        </w:rPr>
        <w:t>שידרש</w:t>
      </w:r>
      <w:proofErr w:type="spellEnd"/>
      <w:r>
        <w:rPr>
          <w:rFonts w:cs="FrankRuehl" w:hint="cs"/>
          <w:sz w:val="28"/>
          <w:szCs w:val="28"/>
          <w:rtl/>
        </w:rPr>
        <w:t>.</w:t>
      </w:r>
    </w:p>
    <w:p w:rsidR="003C20C4" w:rsidRDefault="003C20C4" w:rsidP="003C20C4">
      <w:pPr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3C20C4" w:rsidRPr="00933FDB" w:rsidRDefault="003C20C4" w:rsidP="003C20C4">
      <w:pPr>
        <w:spacing w:line="360" w:lineRule="auto"/>
        <w:ind w:left="5040"/>
        <w:jc w:val="both"/>
        <w:rPr>
          <w:rFonts w:cs="FrankRuehl"/>
          <w:sz w:val="28"/>
          <w:szCs w:val="28"/>
        </w:rPr>
      </w:pPr>
      <w:r>
        <w:rPr>
          <w:rFonts w:cs="FrankRuehl"/>
          <w:noProof/>
          <w:sz w:val="28"/>
          <w:szCs w:val="28"/>
        </w:rPr>
        <w:drawing>
          <wp:inline distT="0" distB="0" distL="0" distR="0" wp14:anchorId="22913C77" wp14:editId="38C973A7">
            <wp:extent cx="1685925" cy="828675"/>
            <wp:effectExtent l="0" t="0" r="9525" b="9525"/>
            <wp:docPr id="2" name="תמונה 2" descr="שרון סבן ספרא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שרון סבן ספראי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0C4" w:rsidRPr="009E3870" w:rsidRDefault="003C20C4" w:rsidP="003C20C4">
      <w:pPr>
        <w:spacing w:line="360" w:lineRule="auto"/>
        <w:rPr>
          <w:rFonts w:cs="David"/>
          <w:sz w:val="24"/>
          <w:szCs w:val="24"/>
          <w:rtl/>
        </w:rPr>
      </w:pPr>
      <w:bookmarkStart w:id="0" w:name="_GoBack"/>
      <w:bookmarkEnd w:id="0"/>
    </w:p>
    <w:sectPr w:rsidR="003C20C4" w:rsidRPr="009E3870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C4"/>
    <w:rsid w:val="003C20C4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2742E7-1CC4-4BEE-96A7-B5AE7613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0C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2022-03-14T12:56:00Z</dcterms:created>
  <dcterms:modified xsi:type="dcterms:W3CDTF">2022-03-14T12:56:00Z</dcterms:modified>
</cp:coreProperties>
</file>