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1CE" w:rsidRPr="00813003" w:rsidRDefault="00F761CE" w:rsidP="00F761CE">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F761CE" w:rsidRPr="00813003" w:rsidRDefault="00F761CE" w:rsidP="00F761CE">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13.1.2022</w:t>
      </w:r>
    </w:p>
    <w:p w:rsidR="00F761CE" w:rsidRDefault="00F761CE" w:rsidP="00F761CE">
      <w:pPr>
        <w:tabs>
          <w:tab w:val="center" w:pos="6321"/>
        </w:tabs>
        <w:spacing w:after="0" w:line="240" w:lineRule="auto"/>
        <w:ind w:firstLine="454"/>
        <w:jc w:val="both"/>
        <w:rPr>
          <w:rFonts w:cs="FrankRuehl"/>
          <w:sz w:val="24"/>
          <w:szCs w:val="24"/>
          <w:rtl/>
        </w:rPr>
      </w:pPr>
    </w:p>
    <w:p w:rsidR="00F761CE" w:rsidRDefault="00F761CE" w:rsidP="00F761CE">
      <w:pPr>
        <w:pStyle w:val="a3"/>
        <w:numPr>
          <w:ilvl w:val="0"/>
          <w:numId w:val="1"/>
        </w:numPr>
        <w:spacing w:line="360" w:lineRule="auto"/>
        <w:jc w:val="both"/>
        <w:rPr>
          <w:rFonts w:cs="FrankRuehl"/>
          <w:sz w:val="28"/>
          <w:szCs w:val="28"/>
        </w:rPr>
      </w:pPr>
      <w:r>
        <w:rPr>
          <w:rFonts w:cs="FrankRuehl" w:hint="cs"/>
          <w:sz w:val="28"/>
          <w:szCs w:val="28"/>
          <w:rtl/>
        </w:rPr>
        <w:t>הבקשה</w:t>
      </w:r>
      <w:r w:rsidRPr="009E0892">
        <w:rPr>
          <w:rFonts w:cs="FrankRuehl"/>
          <w:sz w:val="28"/>
          <w:szCs w:val="28"/>
          <w:rtl/>
        </w:rPr>
        <w:t xml:space="preserve"> שב</w:t>
      </w:r>
      <w:r w:rsidRPr="009E0892">
        <w:rPr>
          <w:rFonts w:cs="FrankRuehl" w:hint="cs"/>
          <w:sz w:val="28"/>
          <w:szCs w:val="28"/>
          <w:rtl/>
        </w:rPr>
        <w:t xml:space="preserve">סימוכין </w:t>
      </w:r>
      <w:r w:rsidRPr="009E0892">
        <w:rPr>
          <w:rFonts w:cs="FrankRuehl"/>
          <w:sz w:val="28"/>
          <w:szCs w:val="28"/>
          <w:rtl/>
        </w:rPr>
        <w:t>לקבלת מידע</w:t>
      </w:r>
      <w:r>
        <w:rPr>
          <w:rFonts w:cs="FrankRuehl" w:hint="cs"/>
          <w:sz w:val="28"/>
          <w:szCs w:val="28"/>
          <w:rtl/>
        </w:rPr>
        <w:t xml:space="preserve"> לפי חוק חופש המידע התשנ"ח-1998 (להלן: "החוק"),</w:t>
      </w:r>
      <w:r w:rsidRPr="009E0892">
        <w:rPr>
          <w:rFonts w:cs="FrankRuehl"/>
          <w:sz w:val="28"/>
          <w:szCs w:val="28"/>
          <w:rtl/>
        </w:rPr>
        <w:t xml:space="preserve"> </w:t>
      </w:r>
      <w:r>
        <w:rPr>
          <w:rFonts w:cs="FrankRuehl" w:hint="cs"/>
          <w:sz w:val="28"/>
          <w:szCs w:val="28"/>
          <w:rtl/>
        </w:rPr>
        <w:t>על אודות</w:t>
      </w:r>
      <w:r w:rsidRPr="009E0892">
        <w:rPr>
          <w:rFonts w:cs="FrankRuehl"/>
          <w:sz w:val="28"/>
          <w:szCs w:val="28"/>
          <w:rtl/>
        </w:rPr>
        <w:t xml:space="preserve"> </w:t>
      </w:r>
      <w:r>
        <w:rPr>
          <w:rFonts w:cs="FrankRuehl" w:hint="cs"/>
          <w:sz w:val="28"/>
          <w:szCs w:val="28"/>
          <w:rtl/>
        </w:rPr>
        <w:t xml:space="preserve">נתונים על חוק הסדר התדיינות בסכסוכי משפחה, </w:t>
      </w:r>
      <w:r w:rsidRPr="009E0892">
        <w:rPr>
          <w:rFonts w:cs="FrankRuehl"/>
          <w:sz w:val="28"/>
          <w:szCs w:val="28"/>
          <w:rtl/>
        </w:rPr>
        <w:t>נבחנה והוחלט שלא נית</w:t>
      </w:r>
      <w:r>
        <w:rPr>
          <w:rFonts w:cs="FrankRuehl"/>
          <w:sz w:val="28"/>
          <w:szCs w:val="28"/>
          <w:rtl/>
        </w:rPr>
        <w:t xml:space="preserve">ן להיעתר לה. </w:t>
      </w:r>
    </w:p>
    <w:p w:rsidR="00F761CE" w:rsidRPr="009E2CA3" w:rsidRDefault="00F761CE" w:rsidP="00F761CE">
      <w:pPr>
        <w:pStyle w:val="a3"/>
        <w:numPr>
          <w:ilvl w:val="0"/>
          <w:numId w:val="1"/>
        </w:numPr>
        <w:spacing w:line="360" w:lineRule="auto"/>
        <w:jc w:val="both"/>
        <w:rPr>
          <w:rFonts w:cs="FrankRuehl"/>
          <w:sz w:val="28"/>
          <w:szCs w:val="28"/>
        </w:rPr>
      </w:pPr>
      <w:r w:rsidRPr="009E2CA3">
        <w:rPr>
          <w:rFonts w:cs="FrankRuehl" w:hint="cs"/>
          <w:sz w:val="28"/>
          <w:szCs w:val="28"/>
          <w:rtl/>
        </w:rPr>
        <w:t>ככל שאכן קיים מידע כמבוקש על ידיך הרי שמדובר</w:t>
      </w:r>
      <w:r w:rsidRPr="009E2CA3">
        <w:rPr>
          <w:rFonts w:cs="FrankRuehl"/>
          <w:sz w:val="28"/>
          <w:szCs w:val="28"/>
          <w:rtl/>
        </w:rPr>
        <w:t xml:space="preserve"> </w:t>
      </w:r>
      <w:r w:rsidRPr="009E2CA3">
        <w:rPr>
          <w:rFonts w:cs="FrankRuehl" w:hint="cs"/>
          <w:sz w:val="28"/>
          <w:szCs w:val="28"/>
          <w:rtl/>
        </w:rPr>
        <w:t>ב</w:t>
      </w:r>
      <w:r w:rsidRPr="009E2CA3">
        <w:rPr>
          <w:rFonts w:cs="FrankRuehl"/>
          <w:sz w:val="28"/>
          <w:szCs w:val="28"/>
          <w:rtl/>
        </w:rPr>
        <w:t xml:space="preserve">מידע </w:t>
      </w:r>
      <w:r w:rsidRPr="009E2CA3">
        <w:rPr>
          <w:rFonts w:cs="FrankRuehl" w:hint="cs"/>
          <w:sz w:val="28"/>
          <w:szCs w:val="28"/>
          <w:rtl/>
        </w:rPr>
        <w:t>שנוצר</w:t>
      </w:r>
      <w:r w:rsidRPr="009E2CA3">
        <w:rPr>
          <w:rFonts w:cs="FrankRuehl"/>
          <w:sz w:val="28"/>
          <w:szCs w:val="28"/>
          <w:rtl/>
        </w:rPr>
        <w:t xml:space="preserve"> בידי משרד ה</w:t>
      </w:r>
      <w:r w:rsidRPr="009E2CA3">
        <w:rPr>
          <w:rFonts w:cs="FrankRuehl" w:hint="cs"/>
          <w:sz w:val="28"/>
          <w:szCs w:val="28"/>
          <w:rtl/>
        </w:rPr>
        <w:t>רווחה והביטחון החברתי</w:t>
      </w:r>
      <w:r w:rsidRPr="009E2CA3">
        <w:rPr>
          <w:rFonts w:cs="FrankRuehl"/>
          <w:sz w:val="28"/>
          <w:szCs w:val="28"/>
          <w:rtl/>
        </w:rPr>
        <w:t>.</w:t>
      </w:r>
      <w:r w:rsidRPr="009E2CA3">
        <w:rPr>
          <w:rFonts w:cs="FrankRuehl" w:hint="cs"/>
          <w:sz w:val="28"/>
          <w:szCs w:val="28"/>
          <w:rtl/>
        </w:rPr>
        <w:t xml:space="preserve"> נושא זה הנו באחריות יחידת הסיוע הפועלת תחת משרד זה.</w:t>
      </w:r>
      <w:r w:rsidRPr="009E2CA3">
        <w:rPr>
          <w:rFonts w:cs="FrankRuehl"/>
          <w:sz w:val="28"/>
          <w:szCs w:val="28"/>
          <w:rtl/>
        </w:rPr>
        <w:t xml:space="preserve"> </w:t>
      </w:r>
      <w:r w:rsidRPr="009E2CA3">
        <w:rPr>
          <w:rFonts w:cs="FrankRuehl" w:hint="cs"/>
          <w:sz w:val="28"/>
          <w:szCs w:val="28"/>
          <w:rtl/>
        </w:rPr>
        <w:t xml:space="preserve">על כן, </w:t>
      </w:r>
      <w:r w:rsidRPr="009E2CA3">
        <w:rPr>
          <w:rFonts w:cs="FrankRuehl"/>
          <w:sz w:val="28"/>
          <w:szCs w:val="28"/>
          <w:rtl/>
        </w:rPr>
        <w:t>באפשרו</w:t>
      </w:r>
      <w:r w:rsidRPr="009E2CA3">
        <w:rPr>
          <w:rFonts w:cs="FrankRuehl" w:hint="cs"/>
          <w:sz w:val="28"/>
          <w:szCs w:val="28"/>
          <w:rtl/>
        </w:rPr>
        <w:t>תך</w:t>
      </w:r>
      <w:r w:rsidRPr="009E2CA3">
        <w:rPr>
          <w:rFonts w:cs="FrankRuehl"/>
          <w:sz w:val="28"/>
          <w:szCs w:val="28"/>
          <w:rtl/>
        </w:rPr>
        <w:t xml:space="preserve"> לפנות בבקשה מתאימה לממונה על העמדת מידע לציבור במשרד ה</w:t>
      </w:r>
      <w:r w:rsidRPr="009E2CA3">
        <w:rPr>
          <w:rFonts w:cs="FrankRuehl" w:hint="cs"/>
          <w:sz w:val="28"/>
          <w:szCs w:val="28"/>
          <w:rtl/>
        </w:rPr>
        <w:t>רווחה</w:t>
      </w:r>
      <w:r w:rsidRPr="009E2CA3">
        <w:rPr>
          <w:rFonts w:cs="FrankRuehl"/>
          <w:sz w:val="28"/>
          <w:szCs w:val="28"/>
          <w:rtl/>
        </w:rPr>
        <w:t xml:space="preserve"> </w:t>
      </w:r>
      <w:r w:rsidRPr="009E2CA3">
        <w:rPr>
          <w:rFonts w:cs="FrankRuehl" w:hint="cs"/>
          <w:sz w:val="28"/>
          <w:szCs w:val="28"/>
          <w:rtl/>
        </w:rPr>
        <w:t xml:space="preserve">והביטחון החברתי </w:t>
      </w:r>
      <w:r w:rsidRPr="009E2CA3">
        <w:rPr>
          <w:rFonts w:cs="FrankRuehl"/>
          <w:sz w:val="28"/>
          <w:szCs w:val="28"/>
          <w:rtl/>
        </w:rPr>
        <w:t xml:space="preserve">בכתובת הבאה: </w:t>
      </w:r>
    </w:p>
    <w:p w:rsidR="00F761CE" w:rsidRDefault="00F761CE" w:rsidP="00F761CE">
      <w:pPr>
        <w:pStyle w:val="a3"/>
        <w:spacing w:line="360" w:lineRule="auto"/>
        <w:ind w:left="444"/>
        <w:jc w:val="both"/>
        <w:rPr>
          <w:rFonts w:cs="FrankRuehl"/>
          <w:sz w:val="28"/>
          <w:szCs w:val="28"/>
        </w:rPr>
      </w:pPr>
      <w:r>
        <w:rPr>
          <w:rStyle w:val="a4"/>
          <w:rFonts w:ascii="Arial" w:hAnsi="Arial" w:cs="Arial"/>
          <w:color w:val="263C4A"/>
          <w:shd w:val="clear" w:color="auto" w:fill="FFFFFF"/>
        </w:rPr>
        <w:t> </w:t>
      </w:r>
      <w:hyperlink r:id="rId5" w:history="1">
        <w:r>
          <w:rPr>
            <w:rStyle w:val="Hyperlink"/>
            <w:rFonts w:ascii="Arial" w:hAnsi="Arial" w:cs="Arial"/>
            <w:color w:val="007BFF"/>
            <w:shd w:val="clear" w:color="auto" w:fill="FFFFFF"/>
          </w:rPr>
          <w:t>hofmeida@molsa.gov.il</w:t>
        </w:r>
      </w:hyperlink>
      <w:r w:rsidRPr="00E44462">
        <w:rPr>
          <w:rFonts w:cs="FrankRuehl"/>
          <w:sz w:val="28"/>
          <w:szCs w:val="28"/>
          <w:rtl/>
        </w:rPr>
        <w:t xml:space="preserve">. זאת, בהסתמך על </w:t>
      </w:r>
      <w:r w:rsidRPr="00E44462">
        <w:rPr>
          <w:rFonts w:cs="FrankRuehl" w:hint="cs"/>
          <w:sz w:val="28"/>
          <w:szCs w:val="28"/>
          <w:rtl/>
        </w:rPr>
        <w:t>סעיף</w:t>
      </w:r>
      <w:r w:rsidRPr="00E44462">
        <w:rPr>
          <w:rFonts w:cs="FrankRuehl"/>
          <w:sz w:val="28"/>
          <w:szCs w:val="28"/>
          <w:rtl/>
        </w:rPr>
        <w:t xml:space="preserve"> 8(5) לחוק</w:t>
      </w:r>
      <w:r>
        <w:rPr>
          <w:rFonts w:cs="FrankRuehl" w:hint="cs"/>
          <w:sz w:val="28"/>
          <w:szCs w:val="28"/>
          <w:rtl/>
        </w:rPr>
        <w:t>.</w:t>
      </w:r>
    </w:p>
    <w:p w:rsidR="00F761CE" w:rsidRDefault="00F761CE" w:rsidP="00F761CE">
      <w:pPr>
        <w:pStyle w:val="a3"/>
        <w:numPr>
          <w:ilvl w:val="0"/>
          <w:numId w:val="1"/>
        </w:numPr>
        <w:spacing w:line="360" w:lineRule="auto"/>
        <w:jc w:val="both"/>
        <w:rPr>
          <w:rFonts w:cs="FrankRuehl"/>
          <w:sz w:val="28"/>
          <w:szCs w:val="28"/>
        </w:rPr>
      </w:pPr>
      <w:r w:rsidRPr="0050050D">
        <w:rPr>
          <w:rFonts w:cs="FrankRuehl" w:hint="cs"/>
          <w:sz w:val="28"/>
          <w:szCs w:val="28"/>
          <w:rtl/>
        </w:rPr>
        <w:t>בקש</w:t>
      </w:r>
      <w:r>
        <w:rPr>
          <w:rFonts w:cs="FrankRuehl" w:hint="cs"/>
          <w:sz w:val="28"/>
          <w:szCs w:val="28"/>
          <w:rtl/>
        </w:rPr>
        <w:t>תך</w:t>
      </w:r>
      <w:r w:rsidRPr="0050050D">
        <w:rPr>
          <w:rFonts w:cs="FrankRuehl" w:hint="cs"/>
          <w:sz w:val="28"/>
          <w:szCs w:val="28"/>
          <w:rtl/>
        </w:rPr>
        <w:t xml:space="preserve"> שבסימוכין לקבלת מידע</w:t>
      </w:r>
      <w:r>
        <w:rPr>
          <w:rFonts w:cs="FrankRuehl" w:hint="cs"/>
          <w:sz w:val="28"/>
          <w:szCs w:val="28"/>
          <w:rtl/>
        </w:rPr>
        <w:t xml:space="preserve"> אודות הליכי גישור המתנהלים תחת הנהלת בתי המשפט</w:t>
      </w:r>
      <w:r w:rsidRPr="0050050D">
        <w:rPr>
          <w:rFonts w:cs="FrankRuehl" w:hint="cs"/>
          <w:sz w:val="28"/>
          <w:szCs w:val="28"/>
          <w:rtl/>
        </w:rPr>
        <w:t>, נבחנה והוחלט שלא ניתן להיעתר לה</w:t>
      </w:r>
      <w:r w:rsidRPr="0050050D">
        <w:rPr>
          <w:rFonts w:ascii="FrankRuehl" w:hAnsi="FrankRuehl" w:cs="FrankRuehl"/>
          <w:sz w:val="28"/>
          <w:szCs w:val="28"/>
          <w:rtl/>
        </w:rPr>
        <w:t xml:space="preserve"> שכן אין ב</w:t>
      </w:r>
      <w:r w:rsidRPr="0050050D">
        <w:rPr>
          <w:rFonts w:ascii="FrankRuehl" w:hAnsi="FrankRuehl" w:cs="FrankRuehl" w:hint="cs"/>
          <w:sz w:val="28"/>
          <w:szCs w:val="28"/>
          <w:rtl/>
        </w:rPr>
        <w:t>רשותנו</w:t>
      </w:r>
      <w:r w:rsidRPr="0050050D">
        <w:rPr>
          <w:rFonts w:ascii="FrankRuehl" w:hAnsi="FrankRuehl" w:cs="FrankRuehl"/>
          <w:sz w:val="28"/>
          <w:szCs w:val="28"/>
          <w:rtl/>
        </w:rPr>
        <w:t xml:space="preserve"> ריכוז של נתונים אלה. </w:t>
      </w:r>
    </w:p>
    <w:p w:rsidR="00F761CE" w:rsidRPr="0050050D" w:rsidRDefault="00F761CE" w:rsidP="00F761CE">
      <w:pPr>
        <w:autoSpaceDN w:val="0"/>
        <w:spacing w:after="200" w:line="360" w:lineRule="auto"/>
        <w:ind w:left="444"/>
        <w:jc w:val="both"/>
        <w:rPr>
          <w:sz w:val="28"/>
          <w:szCs w:val="28"/>
        </w:rPr>
      </w:pPr>
      <w:r w:rsidRPr="0050050D">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F761CE" w:rsidRPr="0050050D" w:rsidRDefault="00F761CE" w:rsidP="00F761CE">
      <w:pPr>
        <w:autoSpaceDN w:val="0"/>
        <w:spacing w:after="200" w:line="360" w:lineRule="auto"/>
        <w:ind w:left="444"/>
        <w:jc w:val="both"/>
        <w:rPr>
          <w:rFonts w:ascii="FrankRuehl" w:hAnsi="FrankRuehl" w:cs="FrankRuehl"/>
          <w:sz w:val="28"/>
          <w:szCs w:val="28"/>
          <w:rtl/>
        </w:rPr>
      </w:pPr>
      <w:r w:rsidRPr="0050050D">
        <w:rPr>
          <w:rFonts w:ascii="FrankRuehl" w:hAnsi="FrankRuehl" w:cs="FrankRuehl"/>
          <w:sz w:val="28"/>
          <w:szCs w:val="28"/>
          <w:rtl/>
        </w:rPr>
        <w:t xml:space="preserve">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F761CE" w:rsidRDefault="00F761CE" w:rsidP="00F761CE">
      <w:pPr>
        <w:pStyle w:val="a3"/>
        <w:autoSpaceDN w:val="0"/>
        <w:spacing w:after="200" w:line="360" w:lineRule="auto"/>
        <w:ind w:left="1076"/>
        <w:jc w:val="both"/>
        <w:rPr>
          <w:rFonts w:ascii="FrankRuehl" w:hAnsi="FrankRuehl" w:cs="FrankRuehl"/>
          <w:color w:val="000000" w:themeColor="text1"/>
          <w:sz w:val="28"/>
          <w:szCs w:val="28"/>
          <w:rtl/>
        </w:rPr>
      </w:pPr>
    </w:p>
    <w:p w:rsidR="00F761CE" w:rsidRPr="0050050D" w:rsidRDefault="00F761CE" w:rsidP="00F761CE">
      <w:pPr>
        <w:pStyle w:val="a3"/>
        <w:numPr>
          <w:ilvl w:val="0"/>
          <w:numId w:val="1"/>
        </w:numPr>
        <w:autoSpaceDN w:val="0"/>
        <w:spacing w:after="200" w:line="360" w:lineRule="auto"/>
        <w:jc w:val="both"/>
        <w:rPr>
          <w:rFonts w:ascii="FrankRuehl" w:hAnsi="FrankRuehl" w:cs="FrankRuehl"/>
          <w:color w:val="000000" w:themeColor="text1"/>
          <w:sz w:val="28"/>
          <w:szCs w:val="28"/>
          <w:rtl/>
        </w:rPr>
      </w:pPr>
      <w:r w:rsidRPr="0050050D">
        <w:rPr>
          <w:rFonts w:ascii="FrankRuehl" w:hAnsi="FrankRuehl" w:cs="FrankRuehl"/>
          <w:color w:val="000000" w:themeColor="text1"/>
          <w:sz w:val="28"/>
          <w:szCs w:val="28"/>
          <w:rtl/>
        </w:rPr>
        <w:t xml:space="preserve">כנגד החלטה זו </w:t>
      </w:r>
      <w:r w:rsidRPr="0050050D">
        <w:rPr>
          <w:rFonts w:ascii="FrankRuehl" w:hAnsi="FrankRuehl" w:cs="FrankRuehl" w:hint="cs"/>
          <w:color w:val="000000" w:themeColor="text1"/>
          <w:sz w:val="28"/>
          <w:szCs w:val="28"/>
          <w:rtl/>
        </w:rPr>
        <w:t>אתה</w:t>
      </w:r>
      <w:r w:rsidRPr="0050050D">
        <w:rPr>
          <w:rFonts w:ascii="FrankRuehl" w:hAnsi="FrankRuehl" w:cs="FrankRuehl"/>
          <w:color w:val="000000" w:themeColor="text1"/>
          <w:sz w:val="28"/>
          <w:szCs w:val="28"/>
          <w:rtl/>
        </w:rPr>
        <w:t xml:space="preserve"> רשאי להגיש עתירה מנהלית לבית המשפט לעניינים</w:t>
      </w:r>
      <w:r w:rsidRPr="0050050D">
        <w:rPr>
          <w:rFonts w:ascii="FrankRuehl" w:hAnsi="FrankRuehl" w:cs="FrankRuehl" w:hint="cs"/>
          <w:color w:val="000000" w:themeColor="text1"/>
          <w:sz w:val="28"/>
          <w:szCs w:val="28"/>
          <w:rtl/>
        </w:rPr>
        <w:t xml:space="preserve"> </w:t>
      </w:r>
      <w:r w:rsidRPr="0050050D">
        <w:rPr>
          <w:rFonts w:ascii="FrankRuehl" w:hAnsi="FrankRuehl" w:cs="FrankRuehl"/>
          <w:color w:val="000000" w:themeColor="text1"/>
          <w:sz w:val="28"/>
          <w:szCs w:val="28"/>
          <w:rtl/>
        </w:rPr>
        <w:t xml:space="preserve">מנהליים בירושלים. </w:t>
      </w:r>
    </w:p>
    <w:p w:rsidR="00F761CE" w:rsidRPr="0050050D" w:rsidRDefault="00F761CE" w:rsidP="00F761CE">
      <w:pPr>
        <w:pStyle w:val="a3"/>
        <w:spacing w:line="276" w:lineRule="auto"/>
        <w:ind w:left="226"/>
        <w:rPr>
          <w:rFonts w:ascii="FrankRuehl" w:hAnsi="FrankRuehl" w:cs="FrankRuehl"/>
          <w:color w:val="000000" w:themeColor="text1"/>
          <w:sz w:val="28"/>
          <w:szCs w:val="28"/>
        </w:rPr>
      </w:pPr>
    </w:p>
    <w:p w:rsidR="00F761CE" w:rsidRDefault="00F761CE" w:rsidP="00F761CE">
      <w:pPr>
        <w:pStyle w:val="a3"/>
        <w:numPr>
          <w:ilvl w:val="0"/>
          <w:numId w:val="1"/>
        </w:numPr>
        <w:autoSpaceDN w:val="0"/>
        <w:spacing w:after="200" w:line="276" w:lineRule="auto"/>
        <w:jc w:val="both"/>
        <w:rPr>
          <w:rFonts w:ascii="FrankRuehl" w:hAnsi="FrankRuehl" w:cs="FrankRuehl"/>
          <w:color w:val="000000" w:themeColor="text1"/>
          <w:sz w:val="28"/>
          <w:szCs w:val="28"/>
        </w:rPr>
      </w:pPr>
      <w:r w:rsidRPr="0050050D">
        <w:rPr>
          <w:rFonts w:ascii="FrankRuehl" w:hAnsi="FrankRuehl" w:cs="FrankRuehl"/>
          <w:color w:val="000000" w:themeColor="text1"/>
          <w:sz w:val="28"/>
          <w:szCs w:val="28"/>
          <w:rtl/>
        </w:rPr>
        <w:t xml:space="preserve">אנו לרשותך ככל שיידרש. </w:t>
      </w:r>
    </w:p>
    <w:p w:rsidR="00F761CE" w:rsidRPr="00056174" w:rsidRDefault="00F761CE" w:rsidP="00F761CE">
      <w:pPr>
        <w:pStyle w:val="a3"/>
        <w:rPr>
          <w:rFonts w:ascii="FrankRuehl" w:hAnsi="FrankRuehl" w:cs="FrankRuehl"/>
          <w:color w:val="000000" w:themeColor="text1"/>
          <w:sz w:val="28"/>
          <w:szCs w:val="28"/>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1426E"/>
    <w:multiLevelType w:val="hybridMultilevel"/>
    <w:tmpl w:val="BF801AE2"/>
    <w:lvl w:ilvl="0" w:tplc="12EA1576">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1CE"/>
    <w:rsid w:val="006C5EE7"/>
    <w:rsid w:val="008E26B2"/>
    <w:rsid w:val="00F761C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B8C0D-5B67-4BE9-B654-BD8185F70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1C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F761CE"/>
    <w:rPr>
      <w:color w:val="0563C1" w:themeColor="hyperlink"/>
      <w:u w:val="single"/>
    </w:rPr>
  </w:style>
  <w:style w:type="paragraph" w:styleId="a3">
    <w:name w:val="List Paragraph"/>
    <w:basedOn w:val="a"/>
    <w:uiPriority w:val="34"/>
    <w:qFormat/>
    <w:rsid w:val="00F761CE"/>
    <w:pPr>
      <w:ind w:left="720"/>
      <w:contextualSpacing/>
    </w:pPr>
  </w:style>
  <w:style w:type="character" w:styleId="a4">
    <w:name w:val="Strong"/>
    <w:basedOn w:val="a0"/>
    <w:uiPriority w:val="22"/>
    <w:qFormat/>
    <w:rsid w:val="00F761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ofmeida@molsa.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1226</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2022-03-14T12:10:00Z</dcterms:created>
  <dcterms:modified xsi:type="dcterms:W3CDTF">2022-03-14T12:10:00Z</dcterms:modified>
</cp:coreProperties>
</file>