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FC9" w:rsidRPr="00813003" w:rsidRDefault="00844FC9" w:rsidP="00844FC9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8"/>
          <w:szCs w:val="28"/>
          <w:u w:val="single"/>
          <w:rtl/>
        </w:rPr>
      </w:pPr>
      <w:r w:rsidRPr="00813003">
        <w:rPr>
          <w:rFonts w:cs="FrankRuehl" w:hint="cs"/>
          <w:sz w:val="28"/>
          <w:szCs w:val="28"/>
          <w:rtl/>
        </w:rPr>
        <w:t>ה</w:t>
      </w:r>
      <w:r w:rsidRPr="00813003">
        <w:rPr>
          <w:rFonts w:cs="FrankRuehl"/>
          <w:sz w:val="28"/>
          <w:szCs w:val="28"/>
          <w:rtl/>
        </w:rPr>
        <w:t xml:space="preserve">נדון: </w:t>
      </w:r>
      <w:r w:rsidRPr="00813003">
        <w:rPr>
          <w:rFonts w:cs="FrankRuehl"/>
          <w:b/>
          <w:bCs/>
          <w:sz w:val="28"/>
          <w:szCs w:val="28"/>
          <w:u w:val="single"/>
          <w:rtl/>
        </w:rPr>
        <w:t>בקש</w:t>
      </w:r>
      <w:r w:rsidRPr="00813003"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813003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844FC9" w:rsidRPr="00813003" w:rsidRDefault="00844FC9" w:rsidP="00844FC9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rtl/>
        </w:rPr>
      </w:pPr>
      <w:r w:rsidRPr="00813003">
        <w:rPr>
          <w:rFonts w:cs="FrankRuehl"/>
          <w:rtl/>
        </w:rPr>
        <w:t xml:space="preserve">סימוכין: </w:t>
      </w:r>
      <w:r w:rsidRPr="00813003">
        <w:rPr>
          <w:rFonts w:cs="FrankRuehl" w:hint="cs"/>
          <w:rtl/>
        </w:rPr>
        <w:t xml:space="preserve">בקשה מיום </w:t>
      </w:r>
      <w:r>
        <w:rPr>
          <w:rFonts w:cs="FrankRuehl" w:hint="cs"/>
          <w:rtl/>
        </w:rPr>
        <w:t>30.1.2022</w:t>
      </w:r>
    </w:p>
    <w:p w:rsidR="00844FC9" w:rsidRPr="005875A9" w:rsidRDefault="00844FC9" w:rsidP="00844FC9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844FC9" w:rsidRDefault="00844FC9" w:rsidP="00844FC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4F06AE">
        <w:rPr>
          <w:rFonts w:cs="FrankRuehl"/>
          <w:sz w:val="28"/>
          <w:szCs w:val="28"/>
          <w:rtl/>
        </w:rPr>
        <w:t xml:space="preserve">הבקשה שבסימוכין </w:t>
      </w:r>
      <w:r w:rsidRPr="004F06AE">
        <w:rPr>
          <w:rFonts w:ascii="FrankRuehl" w:hAnsi="FrankRuehl" w:cs="FrankRuehl"/>
          <w:sz w:val="28"/>
          <w:szCs w:val="28"/>
          <w:rtl/>
        </w:rPr>
        <w:t>לפי חוק חופש המידע התשנ"ח-1998 (להלן</w:t>
      </w:r>
      <w:r>
        <w:rPr>
          <w:rFonts w:ascii="FrankRuehl" w:hAnsi="FrankRuehl" w:cs="FrankRuehl" w:hint="cs"/>
          <w:sz w:val="28"/>
          <w:szCs w:val="28"/>
          <w:rtl/>
        </w:rPr>
        <w:t xml:space="preserve"> </w:t>
      </w:r>
      <w:r>
        <w:rPr>
          <w:rFonts w:ascii="FrankRuehl" w:hAnsi="FrankRuehl" w:cs="FrankRuehl"/>
          <w:sz w:val="28"/>
          <w:szCs w:val="28"/>
          <w:rtl/>
        </w:rPr>
        <w:t>"</w:t>
      </w:r>
      <w:r w:rsidRPr="004F06AE">
        <w:rPr>
          <w:rFonts w:ascii="FrankRuehl" w:hAnsi="FrankRuehl" w:cs="FrankRuehl"/>
          <w:sz w:val="28"/>
          <w:szCs w:val="28"/>
          <w:rtl/>
        </w:rPr>
        <w:t>החוק</w:t>
      </w:r>
      <w:r>
        <w:rPr>
          <w:rFonts w:ascii="FrankRuehl" w:hAnsi="FrankRuehl" w:cs="FrankRuehl" w:hint="cs"/>
          <w:sz w:val="28"/>
          <w:szCs w:val="28"/>
          <w:rtl/>
        </w:rPr>
        <w:t>"</w:t>
      </w:r>
      <w:r w:rsidRPr="004F06AE">
        <w:rPr>
          <w:rFonts w:ascii="FrankRuehl" w:hAnsi="FrankRuehl" w:cs="FrankRuehl"/>
          <w:sz w:val="28"/>
          <w:szCs w:val="28"/>
          <w:rtl/>
        </w:rPr>
        <w:t>)</w:t>
      </w:r>
      <w:r>
        <w:rPr>
          <w:rFonts w:ascii="FrankRuehl" w:hAnsi="FrankRuehl" w:cs="FrankRuehl" w:hint="cs"/>
          <w:sz w:val="28"/>
          <w:szCs w:val="28"/>
          <w:rtl/>
        </w:rPr>
        <w:t>,</w:t>
      </w:r>
      <w:r w:rsidRPr="004F06AE">
        <w:rPr>
          <w:rFonts w:ascii="FrankRuehl" w:hAnsi="FrankRuehl" w:cs="FrankRuehl"/>
          <w:sz w:val="28"/>
          <w:szCs w:val="28"/>
          <w:rtl/>
        </w:rPr>
        <w:t xml:space="preserve"> </w:t>
      </w:r>
      <w:r>
        <w:rPr>
          <w:rFonts w:cs="FrankRuehl" w:hint="cs"/>
          <w:sz w:val="28"/>
          <w:szCs w:val="28"/>
          <w:rtl/>
        </w:rPr>
        <w:t>לקבלת מידע</w:t>
      </w:r>
      <w:r w:rsidRPr="004F06AE">
        <w:rPr>
          <w:rFonts w:cs="FrankRuehl"/>
          <w:sz w:val="28"/>
          <w:szCs w:val="28"/>
          <w:rtl/>
        </w:rPr>
        <w:t xml:space="preserve"> </w:t>
      </w:r>
      <w:r w:rsidRPr="004F06AE">
        <w:rPr>
          <w:rFonts w:cs="FrankRuehl" w:hint="cs"/>
          <w:color w:val="000000"/>
          <w:sz w:val="28"/>
          <w:szCs w:val="28"/>
          <w:rtl/>
        </w:rPr>
        <w:t>מתוך תיק בית משפט</w:t>
      </w:r>
      <w:r>
        <w:rPr>
          <w:rFonts w:cs="FrankRuehl" w:hint="cs"/>
          <w:color w:val="000000"/>
          <w:sz w:val="28"/>
          <w:szCs w:val="28"/>
          <w:rtl/>
        </w:rPr>
        <w:t>,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 נבחנה והוחלט שלא ניתן להיעתר לה. זאת, בהסתמך על סעיף 2(5) לחוק שכן המידע המבוקש מהווה את תוכן ההליך המשפטי. </w:t>
      </w:r>
    </w:p>
    <w:p w:rsidR="00844FC9" w:rsidRDefault="00844FC9" w:rsidP="00844FC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יצוין, כי </w:t>
      </w:r>
      <w:r w:rsidRPr="00E511F3">
        <w:rPr>
          <w:rFonts w:cs="FrankRuehl" w:hint="cs"/>
          <w:sz w:val="28"/>
          <w:szCs w:val="28"/>
          <w:rtl/>
        </w:rPr>
        <w:t>בתקנות בתי המשפט ובתי הדין לעבודה (עיון בתיקים), התשס"ג-2003, נקבעו דרכי העיון של מי שהוא בעל דין בתיק ושל מי שאינו בעל דין בתיק לצורך עיון בו.</w:t>
      </w:r>
      <w:r w:rsidRPr="00E511F3">
        <w:rPr>
          <w:rFonts w:cs="FrankRuehl" w:hint="cs"/>
          <w:color w:val="000000"/>
          <w:sz w:val="28"/>
          <w:szCs w:val="28"/>
          <w:rtl/>
        </w:rPr>
        <w:t xml:space="preserve"> </w:t>
      </w:r>
    </w:p>
    <w:p w:rsidR="00844FC9" w:rsidRPr="00A84B44" w:rsidRDefault="00844FC9" w:rsidP="00844FC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A84B44">
        <w:rPr>
          <w:rFonts w:ascii="FrankRuehl" w:hAnsi="FrankRuehl" w:cs="FrankRuehl"/>
          <w:color w:val="000000"/>
          <w:sz w:val="28"/>
          <w:szCs w:val="28"/>
          <w:rtl/>
        </w:rPr>
        <w:t>טענותיך כי לא ניתן לאתר את התיק במערכת ולקיומן של צרופות שנעלמו מהתיק</w:t>
      </w:r>
      <w:r>
        <w:rPr>
          <w:rFonts w:ascii="FrankRuehl" w:hAnsi="FrankRuehl" w:cs="FrankRuehl" w:hint="cs"/>
          <w:color w:val="000000"/>
          <w:sz w:val="28"/>
          <w:szCs w:val="28"/>
          <w:rtl/>
        </w:rPr>
        <w:t>,</w:t>
      </w:r>
      <w:r w:rsidRPr="00A84B44">
        <w:rPr>
          <w:rFonts w:ascii="FrankRuehl" w:hAnsi="FrankRuehl" w:cs="FrankRuehl"/>
          <w:color w:val="000000"/>
          <w:sz w:val="28"/>
          <w:szCs w:val="28"/>
          <w:rtl/>
        </w:rPr>
        <w:t xml:space="preserve"> מועברת לבירור באגף הביקורת ופניות הציבור בהנהלת בתי המשפט והם ישיבו לך במישרין</w:t>
      </w:r>
      <w:r>
        <w:rPr>
          <w:rFonts w:cs="FrankRuehl" w:hint="cs"/>
          <w:color w:val="000000"/>
          <w:sz w:val="28"/>
          <w:szCs w:val="28"/>
          <w:rtl/>
        </w:rPr>
        <w:t>.</w:t>
      </w:r>
    </w:p>
    <w:p w:rsidR="00844FC9" w:rsidRPr="00411B0C" w:rsidRDefault="00844FC9" w:rsidP="00844FC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color w:val="000000"/>
          <w:sz w:val="28"/>
          <w:szCs w:val="28"/>
          <w:rtl/>
        </w:rPr>
        <w:t xml:space="preserve">כנגד החלטה זו, </w:t>
      </w:r>
      <w:r>
        <w:rPr>
          <w:rFonts w:cs="FrankRuehl" w:hint="cs"/>
          <w:sz w:val="28"/>
          <w:szCs w:val="28"/>
          <w:rtl/>
        </w:rPr>
        <w:t xml:space="preserve">ניתן להגיש עתירה מנהלית בתוך 45 יום לבית המשפט לעניינים מנהליים בירושלים.     </w:t>
      </w:r>
    </w:p>
    <w:p w:rsidR="00844FC9" w:rsidRPr="00F45056" w:rsidRDefault="00844FC9" w:rsidP="00844FC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F45056">
        <w:rPr>
          <w:rFonts w:cs="FrankRuehl" w:hint="cs"/>
          <w:color w:val="000000"/>
          <w:sz w:val="28"/>
          <w:szCs w:val="28"/>
          <w:rtl/>
        </w:rPr>
        <w:t xml:space="preserve">אנו </w:t>
      </w:r>
      <w:r w:rsidRPr="00D749F0">
        <w:rPr>
          <w:rFonts w:cs="FrankRuehl" w:hint="cs"/>
          <w:color w:val="000000"/>
          <w:sz w:val="28"/>
          <w:szCs w:val="28"/>
          <w:rtl/>
        </w:rPr>
        <w:t>לרשותך</w:t>
      </w:r>
      <w:r w:rsidRPr="00F45056">
        <w:rPr>
          <w:rFonts w:cs="FrankRuehl" w:hint="cs"/>
          <w:color w:val="000000"/>
          <w:sz w:val="28"/>
          <w:szCs w:val="28"/>
          <w:rtl/>
        </w:rPr>
        <w:t xml:space="preserve"> ככל שיידר</w:t>
      </w:r>
      <w:r w:rsidRPr="00F45056">
        <w:rPr>
          <w:rFonts w:cs="FrankRuehl" w:hint="eastAsia"/>
          <w:color w:val="000000"/>
          <w:sz w:val="28"/>
          <w:szCs w:val="28"/>
          <w:rtl/>
        </w:rPr>
        <w:t>ש</w:t>
      </w:r>
      <w:r w:rsidRPr="00F45056">
        <w:rPr>
          <w:rFonts w:cs="FrankRuehl" w:hint="cs"/>
          <w:color w:val="000000"/>
          <w:sz w:val="28"/>
          <w:szCs w:val="28"/>
          <w:rtl/>
        </w:rPr>
        <w:t xml:space="preserve">. </w:t>
      </w:r>
    </w:p>
    <w:p w:rsidR="00844FC9" w:rsidRPr="009E3870" w:rsidRDefault="00844FC9" w:rsidP="00844FC9">
      <w:pPr>
        <w:spacing w:line="360" w:lineRule="auto"/>
        <w:rPr>
          <w:rFonts w:cs="David"/>
          <w:sz w:val="24"/>
          <w:szCs w:val="24"/>
          <w:rtl/>
        </w:rPr>
      </w:pP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46ABB"/>
    <w:multiLevelType w:val="hybridMultilevel"/>
    <w:tmpl w:val="AE30FF5C"/>
    <w:lvl w:ilvl="0" w:tplc="F25C79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FC9"/>
    <w:rsid w:val="006C5EE7"/>
    <w:rsid w:val="00844FC9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E83577-62DF-4E11-AFEB-131E64179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FC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2022-03-14T12:04:00Z</dcterms:created>
  <dcterms:modified xsi:type="dcterms:W3CDTF">2022-03-14T12:05:00Z</dcterms:modified>
</cp:coreProperties>
</file>