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20C" w:rsidRPr="00813003" w:rsidRDefault="0011620C" w:rsidP="0011620C">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sidRPr="00813003">
        <w:rPr>
          <w:rFonts w:cs="FrankRuehl" w:hint="cs"/>
          <w:b/>
          <w:bCs/>
          <w:sz w:val="28"/>
          <w:szCs w:val="28"/>
          <w:u w:val="single"/>
          <w:rtl/>
        </w:rPr>
        <w:t>ה</w:t>
      </w:r>
      <w:r w:rsidRPr="00813003">
        <w:rPr>
          <w:rFonts w:cs="FrankRuehl"/>
          <w:b/>
          <w:bCs/>
          <w:sz w:val="28"/>
          <w:szCs w:val="28"/>
          <w:u w:val="single"/>
          <w:rtl/>
        </w:rPr>
        <w:t xml:space="preserve"> לקבלת מידע לפי חוק חופש המידע, התשנ"ח-1998</w:t>
      </w:r>
    </w:p>
    <w:p w:rsidR="0011620C" w:rsidRPr="00813003" w:rsidRDefault="0011620C" w:rsidP="0011620C">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13.12.2021</w:t>
      </w:r>
    </w:p>
    <w:p w:rsidR="0011620C" w:rsidRPr="005875A9" w:rsidRDefault="0011620C" w:rsidP="0011620C">
      <w:pPr>
        <w:tabs>
          <w:tab w:val="center" w:pos="6321"/>
        </w:tabs>
        <w:spacing w:after="0" w:line="240" w:lineRule="auto"/>
        <w:ind w:firstLine="454"/>
        <w:jc w:val="center"/>
        <w:rPr>
          <w:rFonts w:cs="FrankRuehl"/>
          <w:sz w:val="24"/>
          <w:szCs w:val="24"/>
        </w:rPr>
      </w:pPr>
    </w:p>
    <w:p w:rsidR="0011620C" w:rsidRPr="005875A9" w:rsidRDefault="0011620C" w:rsidP="0011620C">
      <w:pPr>
        <w:tabs>
          <w:tab w:val="center" w:pos="6321"/>
        </w:tabs>
        <w:spacing w:after="0" w:line="240" w:lineRule="auto"/>
        <w:ind w:firstLine="454"/>
        <w:jc w:val="both"/>
        <w:rPr>
          <w:rFonts w:cs="FrankRuehl"/>
          <w:sz w:val="24"/>
          <w:szCs w:val="24"/>
        </w:rPr>
      </w:pPr>
    </w:p>
    <w:p w:rsidR="0011620C" w:rsidRDefault="0011620C" w:rsidP="0011620C">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לפי חוק חופש המידע התשנ"ח-1998 (להלן: "</w:t>
      </w:r>
      <w:r w:rsidRPr="00081455">
        <w:rPr>
          <w:rFonts w:ascii="FrankRuehl" w:hAnsi="FrankRuehl" w:cs="FrankRuehl" w:hint="cs"/>
          <w:color w:val="000000" w:themeColor="text1"/>
          <w:sz w:val="28"/>
          <w:szCs w:val="28"/>
          <w:rtl/>
        </w:rPr>
        <w:t>החוק</w:t>
      </w:r>
      <w:r>
        <w:rPr>
          <w:rFonts w:ascii="FrankRuehl" w:hAnsi="FrankRuehl" w:cs="FrankRuehl" w:hint="cs"/>
          <w:color w:val="000000" w:themeColor="text1"/>
          <w:sz w:val="28"/>
          <w:szCs w:val="28"/>
          <w:rtl/>
        </w:rPr>
        <w:t>"</w:t>
      </w:r>
      <w:r w:rsidRPr="00081455">
        <w:rPr>
          <w:rFonts w:ascii="FrankRuehl" w:hAnsi="FrankRuehl" w:cs="FrankRuehl" w:hint="cs"/>
          <w:color w:val="000000" w:themeColor="text1"/>
          <w:sz w:val="28"/>
          <w:szCs w:val="28"/>
          <w:rtl/>
        </w:rPr>
        <w:t xml:space="preserve">), </w:t>
      </w:r>
      <w:r>
        <w:rPr>
          <w:rFonts w:cs="FrankRuehl" w:hint="cs"/>
          <w:sz w:val="28"/>
          <w:szCs w:val="28"/>
          <w:rtl/>
        </w:rPr>
        <w:t>על אודות גישור בתיקי רשלנות רפואית,</w:t>
      </w:r>
      <w:r w:rsidRPr="00081455">
        <w:rPr>
          <w:rFonts w:cs="FrankRuehl" w:hint="cs"/>
          <w:sz w:val="28"/>
          <w:szCs w:val="28"/>
          <w:rtl/>
        </w:rPr>
        <w:t xml:space="preserve"> נבחנה והוחלט </w:t>
      </w:r>
      <w:r>
        <w:rPr>
          <w:rFonts w:cs="FrankRuehl" w:hint="cs"/>
          <w:sz w:val="28"/>
          <w:szCs w:val="28"/>
          <w:rtl/>
        </w:rPr>
        <w:t>שניתן להיעתר לה באופן חלקי</w:t>
      </w:r>
      <w:r>
        <w:rPr>
          <w:rFonts w:ascii="FrankRuehl" w:hAnsi="FrankRuehl" w:cs="FrankRuehl" w:hint="cs"/>
          <w:sz w:val="28"/>
          <w:szCs w:val="28"/>
          <w:rtl/>
        </w:rPr>
        <w:t>.</w:t>
      </w:r>
    </w:p>
    <w:p w:rsidR="0011620C" w:rsidRDefault="0011620C" w:rsidP="0011620C">
      <w:pPr>
        <w:pStyle w:val="a3"/>
        <w:autoSpaceDN w:val="0"/>
        <w:spacing w:after="200" w:line="360" w:lineRule="auto"/>
        <w:jc w:val="both"/>
        <w:rPr>
          <w:rFonts w:ascii="FrankRuehl" w:hAnsi="FrankRuehl" w:cs="FrankRuehl"/>
          <w:sz w:val="28"/>
          <w:szCs w:val="28"/>
        </w:rPr>
      </w:pPr>
    </w:p>
    <w:p w:rsidR="0011620C" w:rsidRDefault="0011620C" w:rsidP="0011620C">
      <w:pPr>
        <w:pStyle w:val="a3"/>
        <w:numPr>
          <w:ilvl w:val="0"/>
          <w:numId w:val="1"/>
        </w:numPr>
        <w:autoSpaceDN w:val="0"/>
        <w:spacing w:after="200" w:line="360" w:lineRule="auto"/>
        <w:jc w:val="both"/>
        <w:rPr>
          <w:rFonts w:ascii="FrankRuehl" w:hAnsi="FrankRuehl" w:cs="FrankRuehl"/>
          <w:sz w:val="28"/>
          <w:szCs w:val="28"/>
        </w:rPr>
      </w:pPr>
      <w:r>
        <w:rPr>
          <w:rFonts w:ascii="FrankRuehl" w:hAnsi="FrankRuehl" w:cs="FrankRuehl" w:hint="cs"/>
          <w:sz w:val="28"/>
          <w:szCs w:val="28"/>
          <w:rtl/>
        </w:rPr>
        <w:t>לעניין בקשתך לקבלת כמות תיקי רשלנות רפואית התלויים ועומדים בבתי המשפט וכן כמות התיקים שנפתחו בשלושת השנים האחרונות, מצ"ב המידע המבוקש:</w:t>
      </w:r>
    </w:p>
    <w:p w:rsidR="0011620C" w:rsidRDefault="0011620C" w:rsidP="0011620C">
      <w:pPr>
        <w:pStyle w:val="a3"/>
        <w:autoSpaceDN w:val="0"/>
        <w:spacing w:after="200" w:line="360" w:lineRule="auto"/>
        <w:jc w:val="both"/>
        <w:rPr>
          <w:rFonts w:ascii="FrankRuehl" w:hAnsi="FrankRuehl" w:cs="FrankRuehl"/>
          <w:sz w:val="28"/>
          <w:szCs w:val="28"/>
          <w:rtl/>
        </w:rPr>
      </w:pPr>
    </w:p>
    <w:tbl>
      <w:tblPr>
        <w:bidiVisual/>
        <w:tblW w:w="3542" w:type="dxa"/>
        <w:tblInd w:w="719" w:type="dxa"/>
        <w:tblCellMar>
          <w:left w:w="0" w:type="dxa"/>
          <w:right w:w="0" w:type="dxa"/>
        </w:tblCellMar>
        <w:tblLook w:val="04A0" w:firstRow="1" w:lastRow="0" w:firstColumn="1" w:lastColumn="0" w:noHBand="0" w:noVBand="1"/>
      </w:tblPr>
      <w:tblGrid>
        <w:gridCol w:w="706"/>
        <w:gridCol w:w="1437"/>
        <w:gridCol w:w="1576"/>
      </w:tblGrid>
      <w:tr w:rsidR="0011620C" w:rsidTr="00BC2517">
        <w:trPr>
          <w:trHeight w:val="328"/>
        </w:trPr>
        <w:tc>
          <w:tcPr>
            <w:tcW w:w="529" w:type="dxa"/>
            <w:tcBorders>
              <w:top w:val="single" w:sz="8" w:space="0" w:color="auto"/>
              <w:left w:val="single" w:sz="8" w:space="0" w:color="auto"/>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11620C" w:rsidRDefault="0011620C" w:rsidP="00BC2517">
            <w:pPr>
              <w:jc w:val="center"/>
              <w:rPr>
                <w:rFonts w:ascii="Arial" w:hAnsi="Arial" w:cs="Arial"/>
                <w:b/>
                <w:bCs/>
                <w:color w:val="000000"/>
                <w:rtl/>
              </w:rPr>
            </w:pPr>
            <w:r>
              <w:rPr>
                <w:rFonts w:ascii="Arial" w:hAnsi="Arial" w:cs="Arial"/>
                <w:b/>
                <w:bCs/>
                <w:color w:val="000000"/>
                <w:rtl/>
              </w:rPr>
              <w:t>שנה</w:t>
            </w:r>
          </w:p>
        </w:tc>
        <w:tc>
          <w:tcPr>
            <w:tcW w:w="1437" w:type="dxa"/>
            <w:tcBorders>
              <w:top w:val="single" w:sz="8" w:space="0" w:color="auto"/>
              <w:left w:val="nil"/>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11620C" w:rsidRDefault="0011620C" w:rsidP="00BC2517">
            <w:pPr>
              <w:jc w:val="center"/>
              <w:rPr>
                <w:rFonts w:ascii="Arial" w:hAnsi="Arial" w:cs="Arial"/>
                <w:b/>
                <w:bCs/>
                <w:color w:val="000000"/>
                <w:rtl/>
              </w:rPr>
            </w:pPr>
            <w:r>
              <w:rPr>
                <w:rFonts w:ascii="Arial" w:hAnsi="Arial" w:cs="Arial"/>
                <w:b/>
                <w:bCs/>
                <w:color w:val="000000"/>
                <w:rtl/>
              </w:rPr>
              <w:t>נפתחו</w:t>
            </w:r>
          </w:p>
        </w:tc>
        <w:tc>
          <w:tcPr>
            <w:tcW w:w="1576" w:type="dxa"/>
            <w:tcBorders>
              <w:top w:val="single" w:sz="8" w:space="0" w:color="auto"/>
              <w:left w:val="nil"/>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11620C" w:rsidRDefault="0011620C" w:rsidP="00BC2517">
            <w:pPr>
              <w:jc w:val="center"/>
              <w:rPr>
                <w:rFonts w:ascii="Arial" w:hAnsi="Arial" w:cs="Arial"/>
                <w:b/>
                <w:bCs/>
                <w:color w:val="000000"/>
              </w:rPr>
            </w:pPr>
            <w:r>
              <w:rPr>
                <w:rFonts w:ascii="Arial" w:hAnsi="Arial" w:cs="Arial"/>
                <w:b/>
                <w:bCs/>
                <w:color w:val="000000"/>
                <w:rtl/>
              </w:rPr>
              <w:t>תלויים וע</w:t>
            </w:r>
            <w:r>
              <w:rPr>
                <w:rFonts w:ascii="Arial" w:hAnsi="Arial" w:cs="Arial" w:hint="cs"/>
                <w:b/>
                <w:bCs/>
                <w:color w:val="000000"/>
                <w:rtl/>
              </w:rPr>
              <w:t>ו</w:t>
            </w:r>
            <w:r>
              <w:rPr>
                <w:rFonts w:ascii="Arial" w:hAnsi="Arial" w:cs="Arial"/>
                <w:b/>
                <w:bCs/>
                <w:color w:val="000000"/>
                <w:rtl/>
              </w:rPr>
              <w:t>מדים</w:t>
            </w:r>
          </w:p>
        </w:tc>
      </w:tr>
      <w:tr w:rsidR="0011620C" w:rsidTr="00BC2517">
        <w:trPr>
          <w:trHeight w:val="311"/>
        </w:trPr>
        <w:tc>
          <w:tcPr>
            <w:tcW w:w="529"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11620C" w:rsidRDefault="0011620C" w:rsidP="00BC2517">
            <w:pPr>
              <w:bidi w:val="0"/>
              <w:jc w:val="center"/>
              <w:rPr>
                <w:rFonts w:ascii="Arial" w:hAnsi="Arial" w:cs="Arial"/>
                <w:color w:val="000000"/>
              </w:rPr>
            </w:pPr>
            <w:r>
              <w:rPr>
                <w:rFonts w:ascii="Arial" w:hAnsi="Arial" w:cs="Arial"/>
                <w:color w:val="000000"/>
              </w:rPr>
              <w:t>2019</w:t>
            </w:r>
          </w:p>
        </w:tc>
        <w:tc>
          <w:tcPr>
            <w:tcW w:w="143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11620C" w:rsidRDefault="0011620C" w:rsidP="00BC2517">
            <w:pPr>
              <w:bidi w:val="0"/>
              <w:jc w:val="center"/>
              <w:rPr>
                <w:rFonts w:ascii="Arial" w:hAnsi="Arial" w:cs="Arial"/>
                <w:color w:val="000000"/>
                <w:rtl/>
              </w:rPr>
            </w:pPr>
            <w:r>
              <w:rPr>
                <w:rFonts w:ascii="Arial" w:hAnsi="Arial" w:cs="Arial"/>
                <w:color w:val="000000"/>
              </w:rPr>
              <w:t>2,167</w:t>
            </w:r>
          </w:p>
        </w:tc>
        <w:tc>
          <w:tcPr>
            <w:tcW w:w="157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11620C" w:rsidRDefault="0011620C" w:rsidP="00BC2517">
            <w:pPr>
              <w:bidi w:val="0"/>
              <w:jc w:val="center"/>
              <w:rPr>
                <w:rFonts w:ascii="Arial" w:hAnsi="Arial" w:cs="Arial"/>
                <w:color w:val="000000"/>
                <w:rtl/>
              </w:rPr>
            </w:pPr>
            <w:r>
              <w:rPr>
                <w:rFonts w:ascii="Arial" w:hAnsi="Arial" w:cs="Arial"/>
                <w:color w:val="000000"/>
              </w:rPr>
              <w:t>4,952</w:t>
            </w:r>
          </w:p>
        </w:tc>
      </w:tr>
      <w:tr w:rsidR="0011620C" w:rsidTr="00BC2517">
        <w:trPr>
          <w:trHeight w:val="311"/>
        </w:trPr>
        <w:tc>
          <w:tcPr>
            <w:tcW w:w="529"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11620C" w:rsidRDefault="0011620C" w:rsidP="00BC2517">
            <w:pPr>
              <w:bidi w:val="0"/>
              <w:jc w:val="center"/>
              <w:rPr>
                <w:rFonts w:ascii="Arial" w:hAnsi="Arial" w:cs="Arial"/>
                <w:color w:val="000000"/>
              </w:rPr>
            </w:pPr>
            <w:r>
              <w:rPr>
                <w:rFonts w:ascii="Arial" w:hAnsi="Arial" w:cs="Arial"/>
                <w:color w:val="000000"/>
              </w:rPr>
              <w:t>2020</w:t>
            </w:r>
          </w:p>
        </w:tc>
        <w:tc>
          <w:tcPr>
            <w:tcW w:w="143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11620C" w:rsidRDefault="0011620C" w:rsidP="00BC2517">
            <w:pPr>
              <w:bidi w:val="0"/>
              <w:jc w:val="center"/>
              <w:rPr>
                <w:rFonts w:ascii="Arial" w:hAnsi="Arial" w:cs="Arial"/>
                <w:color w:val="000000"/>
              </w:rPr>
            </w:pPr>
            <w:r>
              <w:rPr>
                <w:rFonts w:ascii="Arial" w:hAnsi="Arial" w:cs="Arial"/>
                <w:color w:val="000000"/>
              </w:rPr>
              <w:t>2,460</w:t>
            </w:r>
          </w:p>
        </w:tc>
        <w:tc>
          <w:tcPr>
            <w:tcW w:w="157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11620C" w:rsidRDefault="0011620C" w:rsidP="00BC2517">
            <w:pPr>
              <w:bidi w:val="0"/>
              <w:jc w:val="center"/>
              <w:rPr>
                <w:rFonts w:ascii="Arial" w:hAnsi="Arial" w:cs="Arial"/>
                <w:color w:val="000000"/>
              </w:rPr>
            </w:pPr>
            <w:r>
              <w:rPr>
                <w:rFonts w:ascii="Arial" w:hAnsi="Arial" w:cs="Arial"/>
                <w:color w:val="000000"/>
              </w:rPr>
              <w:t>5,440</w:t>
            </w:r>
          </w:p>
        </w:tc>
      </w:tr>
      <w:tr w:rsidR="0011620C" w:rsidTr="00BC2517">
        <w:trPr>
          <w:trHeight w:val="311"/>
        </w:trPr>
        <w:tc>
          <w:tcPr>
            <w:tcW w:w="529"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11620C" w:rsidRDefault="0011620C" w:rsidP="00BC2517">
            <w:pPr>
              <w:bidi w:val="0"/>
              <w:jc w:val="center"/>
              <w:rPr>
                <w:rFonts w:ascii="Arial" w:hAnsi="Arial" w:cs="Arial"/>
                <w:color w:val="000000"/>
              </w:rPr>
            </w:pPr>
            <w:r>
              <w:rPr>
                <w:rFonts w:ascii="Arial" w:hAnsi="Arial" w:cs="Arial"/>
                <w:color w:val="000000"/>
              </w:rPr>
              <w:t>2021</w:t>
            </w:r>
          </w:p>
        </w:tc>
        <w:tc>
          <w:tcPr>
            <w:tcW w:w="143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11620C" w:rsidRDefault="0011620C" w:rsidP="00BC2517">
            <w:pPr>
              <w:bidi w:val="0"/>
              <w:jc w:val="center"/>
              <w:rPr>
                <w:rFonts w:ascii="Arial" w:hAnsi="Arial" w:cs="Arial"/>
                <w:color w:val="000000"/>
              </w:rPr>
            </w:pPr>
            <w:r>
              <w:rPr>
                <w:rFonts w:ascii="Arial" w:hAnsi="Arial" w:cs="Arial"/>
                <w:color w:val="000000"/>
              </w:rPr>
              <w:t>1,636</w:t>
            </w:r>
          </w:p>
        </w:tc>
        <w:tc>
          <w:tcPr>
            <w:tcW w:w="157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11620C" w:rsidRDefault="0011620C" w:rsidP="00BC2517">
            <w:pPr>
              <w:bidi w:val="0"/>
              <w:jc w:val="center"/>
              <w:rPr>
                <w:rFonts w:ascii="Arial" w:hAnsi="Arial" w:cs="Arial"/>
                <w:color w:val="000000"/>
              </w:rPr>
            </w:pPr>
            <w:r>
              <w:rPr>
                <w:rFonts w:ascii="Arial" w:hAnsi="Arial" w:cs="Arial"/>
                <w:color w:val="000000"/>
              </w:rPr>
              <w:t>5,113</w:t>
            </w:r>
          </w:p>
        </w:tc>
      </w:tr>
    </w:tbl>
    <w:p w:rsidR="0011620C" w:rsidRDefault="0011620C" w:rsidP="0011620C">
      <w:pPr>
        <w:pStyle w:val="a3"/>
        <w:autoSpaceDN w:val="0"/>
        <w:spacing w:after="200" w:line="360" w:lineRule="auto"/>
        <w:jc w:val="both"/>
        <w:rPr>
          <w:rFonts w:ascii="FrankRuehl" w:hAnsi="FrankRuehl" w:cs="FrankRuehl"/>
          <w:sz w:val="28"/>
          <w:szCs w:val="28"/>
        </w:rPr>
      </w:pPr>
    </w:p>
    <w:p w:rsidR="0011620C" w:rsidRDefault="0011620C" w:rsidP="0011620C">
      <w:pPr>
        <w:pStyle w:val="a3"/>
        <w:autoSpaceDN w:val="0"/>
        <w:spacing w:after="200" w:line="360" w:lineRule="auto"/>
        <w:jc w:val="both"/>
        <w:rPr>
          <w:rFonts w:ascii="FrankRuehl" w:hAnsi="FrankRuehl" w:cs="FrankRuehl"/>
          <w:sz w:val="28"/>
          <w:szCs w:val="28"/>
          <w:rtl/>
        </w:rPr>
      </w:pPr>
    </w:p>
    <w:p w:rsidR="0011620C" w:rsidRDefault="0011620C" w:rsidP="0011620C">
      <w:pPr>
        <w:pStyle w:val="a3"/>
        <w:autoSpaceDN w:val="0"/>
        <w:spacing w:after="200" w:line="360" w:lineRule="auto"/>
        <w:jc w:val="both"/>
        <w:rPr>
          <w:rFonts w:ascii="FrankRuehl" w:hAnsi="FrankRuehl" w:cs="FrankRuehl"/>
          <w:sz w:val="28"/>
          <w:szCs w:val="28"/>
          <w:rtl/>
        </w:rPr>
      </w:pPr>
      <w:r>
        <w:rPr>
          <w:rFonts w:ascii="FrankRuehl" w:hAnsi="FrankRuehl" w:cs="FrankRuehl" w:hint="cs"/>
          <w:sz w:val="28"/>
          <w:szCs w:val="28"/>
          <w:rtl/>
        </w:rPr>
        <w:t>אציין כי הנתונים לשנת 2021 אינם כוללים את חודש דצמבר.</w:t>
      </w:r>
    </w:p>
    <w:p w:rsidR="0011620C" w:rsidRPr="008B28B4" w:rsidRDefault="0011620C" w:rsidP="0011620C">
      <w:pPr>
        <w:pStyle w:val="a3"/>
        <w:autoSpaceDN w:val="0"/>
        <w:spacing w:after="200" w:line="360" w:lineRule="auto"/>
        <w:jc w:val="both"/>
        <w:rPr>
          <w:rFonts w:ascii="FrankRuehl" w:hAnsi="FrankRuehl" w:cs="FrankRuehl"/>
          <w:sz w:val="28"/>
          <w:szCs w:val="28"/>
        </w:rPr>
      </w:pPr>
      <w:r>
        <w:rPr>
          <w:rFonts w:ascii="FrankRuehl" w:hAnsi="FrankRuehl" w:cs="FrankRuehl"/>
          <w:sz w:val="28"/>
          <w:szCs w:val="28"/>
          <w:rtl/>
        </w:rPr>
        <w:t>עם זאת יובהר, כי אשר ל</w:t>
      </w:r>
      <w:r>
        <w:rPr>
          <w:rFonts w:ascii="FrankRuehl" w:hAnsi="FrankRuehl" w:cs="FrankRuehl"/>
          <w:sz w:val="28"/>
          <w:szCs w:val="28"/>
          <w:rtl/>
        </w:rPr>
        <w:softHyphen/>
      </w:r>
      <w:r>
        <w:rPr>
          <w:rFonts w:ascii="FrankRuehl" w:hAnsi="FrankRuehl" w:cs="FrankRuehl"/>
          <w:sz w:val="28"/>
          <w:szCs w:val="28"/>
          <w:rtl/>
        </w:rPr>
        <w:softHyphen/>
      </w:r>
      <w:r>
        <w:rPr>
          <w:rFonts w:ascii="FrankRuehl" w:hAnsi="FrankRuehl" w:cs="FrankRuehl"/>
          <w:sz w:val="28"/>
          <w:szCs w:val="28"/>
          <w:rtl/>
        </w:rPr>
        <w:softHyphen/>
      </w:r>
      <w:r>
        <w:rPr>
          <w:rFonts w:ascii="FrankRuehl" w:hAnsi="FrankRuehl" w:cs="FrankRuehl"/>
          <w:sz w:val="28"/>
          <w:szCs w:val="28"/>
          <w:rtl/>
        </w:rPr>
        <w:softHyphen/>
      </w:r>
      <w:r>
        <w:rPr>
          <w:rFonts w:ascii="FrankRuehl" w:hAnsi="FrankRuehl" w:cs="FrankRuehl" w:hint="cs"/>
          <w:sz w:val="28"/>
          <w:szCs w:val="28"/>
          <w:rtl/>
        </w:rPr>
        <w:t>סוג העניין</w:t>
      </w:r>
      <w:r>
        <w:rPr>
          <w:rFonts w:ascii="FrankRuehl" w:hAnsi="FrankRuehl" w:cs="FrankRuehl"/>
          <w:sz w:val="28"/>
          <w:szCs w:val="28"/>
          <w:rtl/>
        </w:rPr>
        <w:t>, רמת הדיוק של נתונים אלה במערכות המחשוב אינה מספקת כדי ביצוע ניתוחים סטטיסטיים או הסקת מסקנות תקפה.</w:t>
      </w:r>
    </w:p>
    <w:p w:rsidR="0011620C" w:rsidRDefault="0011620C" w:rsidP="0011620C">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לעניין בקשתך לקבלת נתונים אודות מספר תיקי רשלנות רפואית שנסגרו בהליך של גישור ופילוח על פי סוג הרשלנות הנתבעת, אשיב כי לא </w:t>
      </w:r>
      <w:r w:rsidRPr="00081455">
        <w:rPr>
          <w:rFonts w:cs="FrankRuehl" w:hint="cs"/>
          <w:sz w:val="28"/>
          <w:szCs w:val="28"/>
          <w:rtl/>
        </w:rPr>
        <w:t>ניתן להיעתר לה</w:t>
      </w:r>
      <w:r w:rsidRPr="00081455">
        <w:rPr>
          <w:rFonts w:ascii="FrankRuehl" w:hAnsi="FrankRuehl" w:cs="FrankRuehl"/>
          <w:sz w:val="28"/>
          <w:szCs w:val="28"/>
          <w:rtl/>
        </w:rPr>
        <w:t xml:space="preserve"> שכן אין ב</w:t>
      </w:r>
      <w:r>
        <w:rPr>
          <w:rFonts w:ascii="FrankRuehl" w:hAnsi="FrankRuehl" w:cs="FrankRuehl" w:hint="cs"/>
          <w:sz w:val="28"/>
          <w:szCs w:val="28"/>
          <w:rtl/>
        </w:rPr>
        <w:t>רשותנו</w:t>
      </w:r>
      <w:r w:rsidRPr="00081455">
        <w:rPr>
          <w:rFonts w:ascii="FrankRuehl" w:hAnsi="FrankRuehl" w:cs="FrankRuehl"/>
          <w:sz w:val="28"/>
          <w:szCs w:val="28"/>
          <w:rtl/>
        </w:rPr>
        <w:t xml:space="preserve"> ריכוז של נתונים אלה. </w:t>
      </w:r>
    </w:p>
    <w:p w:rsidR="0011620C" w:rsidRDefault="0011620C" w:rsidP="0011620C">
      <w:pPr>
        <w:pStyle w:val="a3"/>
        <w:autoSpaceDN w:val="0"/>
        <w:spacing w:after="200" w:line="360" w:lineRule="auto"/>
        <w:jc w:val="both"/>
        <w:rPr>
          <w:rFonts w:ascii="FrankRuehl" w:hAnsi="FrankRuehl" w:cs="FrankRuehl"/>
          <w:sz w:val="28"/>
          <w:szCs w:val="28"/>
          <w:rtl/>
        </w:rPr>
      </w:pPr>
    </w:p>
    <w:p w:rsidR="0011620C" w:rsidRPr="0069741F" w:rsidRDefault="0011620C" w:rsidP="0011620C">
      <w:pPr>
        <w:pStyle w:val="a3"/>
        <w:autoSpaceDN w:val="0"/>
        <w:spacing w:after="200" w:line="360" w:lineRule="auto"/>
        <w:jc w:val="both"/>
        <w:rPr>
          <w:rFonts w:ascii="FrankRuehl" w:hAnsi="FrankRuehl" w:cs="FrankRuehl"/>
          <w:sz w:val="28"/>
          <w:szCs w:val="28"/>
          <w:rtl/>
        </w:rPr>
      </w:pPr>
      <w:r w:rsidRPr="0069741F">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11620C" w:rsidRPr="00081455" w:rsidRDefault="0011620C" w:rsidP="0011620C">
      <w:pPr>
        <w:pStyle w:val="a3"/>
        <w:autoSpaceDN w:val="0"/>
        <w:spacing w:after="200" w:line="360" w:lineRule="auto"/>
        <w:jc w:val="both"/>
        <w:rPr>
          <w:rFonts w:ascii="FrankRuehl" w:hAnsi="FrankRuehl" w:cs="FrankRuehl"/>
          <w:sz w:val="28"/>
          <w:szCs w:val="28"/>
        </w:rPr>
      </w:pPr>
      <w:r w:rsidRPr="0069741F">
        <w:rPr>
          <w:rFonts w:ascii="FrankRuehl" w:hAnsi="FrankRuehl" w:cs="FrankRuehl"/>
          <w:sz w:val="28"/>
          <w:szCs w:val="28"/>
          <w:rtl/>
        </w:rPr>
        <w:t>למעלה מן הצורך, ובלי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w:t>
      </w:r>
    </w:p>
    <w:p w:rsidR="0011620C" w:rsidRDefault="0011620C" w:rsidP="0011620C">
      <w:pPr>
        <w:pStyle w:val="a3"/>
        <w:autoSpaceDN w:val="0"/>
        <w:spacing w:after="200" w:line="360" w:lineRule="auto"/>
        <w:ind w:left="1076"/>
        <w:jc w:val="both"/>
        <w:rPr>
          <w:rFonts w:cs="FrankRuehl"/>
          <w:sz w:val="28"/>
          <w:szCs w:val="28"/>
          <w:rtl/>
        </w:rPr>
      </w:pPr>
    </w:p>
    <w:p w:rsidR="0011620C" w:rsidRPr="008B28B4" w:rsidRDefault="0011620C" w:rsidP="0011620C">
      <w:pPr>
        <w:pStyle w:val="a3"/>
        <w:numPr>
          <w:ilvl w:val="0"/>
          <w:numId w:val="1"/>
        </w:numPr>
        <w:autoSpaceDN w:val="0"/>
        <w:spacing w:after="200" w:line="360" w:lineRule="auto"/>
        <w:jc w:val="both"/>
        <w:rPr>
          <w:rFonts w:ascii="FrankRuehl" w:hAnsi="FrankRuehl" w:cs="FrankRuehl"/>
          <w:color w:val="000000" w:themeColor="text1"/>
          <w:sz w:val="28"/>
          <w:szCs w:val="28"/>
          <w:rtl/>
        </w:rPr>
      </w:pPr>
      <w:r w:rsidRPr="008B28B4">
        <w:rPr>
          <w:rFonts w:ascii="FrankRuehl" w:hAnsi="FrankRuehl" w:cs="FrankRuehl"/>
          <w:color w:val="000000" w:themeColor="text1"/>
          <w:sz w:val="28"/>
          <w:szCs w:val="28"/>
          <w:rtl/>
        </w:rPr>
        <w:lastRenderedPageBreak/>
        <w:t xml:space="preserve">כנגד החלטה זו </w:t>
      </w:r>
      <w:r w:rsidRPr="008B28B4">
        <w:rPr>
          <w:rFonts w:ascii="FrankRuehl" w:hAnsi="FrankRuehl" w:cs="FrankRuehl" w:hint="cs"/>
          <w:color w:val="000000" w:themeColor="text1"/>
          <w:sz w:val="28"/>
          <w:szCs w:val="28"/>
          <w:rtl/>
        </w:rPr>
        <w:t>אתה</w:t>
      </w:r>
      <w:r w:rsidRPr="008B28B4">
        <w:rPr>
          <w:rFonts w:ascii="FrankRuehl" w:hAnsi="FrankRuehl" w:cs="FrankRuehl"/>
          <w:color w:val="000000" w:themeColor="text1"/>
          <w:sz w:val="28"/>
          <w:szCs w:val="28"/>
          <w:rtl/>
        </w:rPr>
        <w:t xml:space="preserve"> רשאי להגיש עתירה מנהלית לבית המשפט לעניינים</w:t>
      </w:r>
      <w:r w:rsidRPr="008B28B4">
        <w:rPr>
          <w:rFonts w:ascii="FrankRuehl" w:hAnsi="FrankRuehl" w:cs="FrankRuehl" w:hint="cs"/>
          <w:color w:val="000000" w:themeColor="text1"/>
          <w:sz w:val="28"/>
          <w:szCs w:val="28"/>
          <w:rtl/>
        </w:rPr>
        <w:t xml:space="preserve"> </w:t>
      </w:r>
      <w:r w:rsidRPr="008B28B4">
        <w:rPr>
          <w:rFonts w:ascii="FrankRuehl" w:hAnsi="FrankRuehl" w:cs="FrankRuehl"/>
          <w:color w:val="000000" w:themeColor="text1"/>
          <w:sz w:val="28"/>
          <w:szCs w:val="28"/>
          <w:rtl/>
        </w:rPr>
        <w:t xml:space="preserve">מנהליים בירושלים. </w:t>
      </w:r>
    </w:p>
    <w:p w:rsidR="0011620C" w:rsidRPr="008B28B4" w:rsidRDefault="0011620C" w:rsidP="0011620C">
      <w:pPr>
        <w:pStyle w:val="a3"/>
        <w:spacing w:line="276" w:lineRule="auto"/>
        <w:ind w:left="226"/>
        <w:rPr>
          <w:rFonts w:ascii="FrankRuehl" w:hAnsi="FrankRuehl" w:cs="FrankRuehl"/>
          <w:color w:val="000000" w:themeColor="text1"/>
          <w:sz w:val="28"/>
          <w:szCs w:val="28"/>
        </w:rPr>
      </w:pPr>
    </w:p>
    <w:p w:rsidR="0011620C" w:rsidRPr="008B28B4" w:rsidRDefault="0011620C" w:rsidP="0011620C">
      <w:pPr>
        <w:pStyle w:val="a3"/>
        <w:numPr>
          <w:ilvl w:val="0"/>
          <w:numId w:val="1"/>
        </w:numPr>
        <w:autoSpaceDN w:val="0"/>
        <w:spacing w:after="200" w:line="276" w:lineRule="auto"/>
        <w:jc w:val="both"/>
        <w:rPr>
          <w:rFonts w:ascii="FrankRuehl" w:hAnsi="FrankRuehl" w:cs="FrankRuehl"/>
          <w:color w:val="000000" w:themeColor="text1"/>
          <w:sz w:val="28"/>
          <w:szCs w:val="28"/>
          <w:rtl/>
        </w:rPr>
      </w:pPr>
      <w:r w:rsidRPr="008B28B4">
        <w:rPr>
          <w:rFonts w:ascii="FrankRuehl" w:hAnsi="FrankRuehl" w:cs="FrankRuehl"/>
          <w:color w:val="000000" w:themeColor="text1"/>
          <w:sz w:val="28"/>
          <w:szCs w:val="28"/>
          <w:rtl/>
        </w:rPr>
        <w:t xml:space="preserve">אנו לרשותך ככל שיידרש. </w:t>
      </w:r>
    </w:p>
    <w:p w:rsidR="0011620C" w:rsidRDefault="0011620C" w:rsidP="0011620C">
      <w:pPr>
        <w:tabs>
          <w:tab w:val="left" w:pos="5336"/>
          <w:tab w:val="left" w:pos="6328"/>
        </w:tabs>
        <w:overflowPunct w:val="0"/>
        <w:autoSpaceDE w:val="0"/>
        <w:autoSpaceDN w:val="0"/>
        <w:adjustRightInd w:val="0"/>
        <w:spacing w:before="240" w:after="0" w:line="360" w:lineRule="auto"/>
        <w:jc w:val="center"/>
        <w:textAlignment w:val="baseline"/>
        <w:rPr>
          <w:rFonts w:ascii="Times New Roman" w:eastAsia="Times New Roman" w:hAnsi="Times New Roman" w:cs="FrankRuehl"/>
          <w:sz w:val="28"/>
          <w:szCs w:val="28"/>
          <w:rtl/>
          <w:lang w:eastAsia="he-IL"/>
        </w:rPr>
      </w:pP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20C"/>
    <w:rsid w:val="0011620C"/>
    <w:rsid w:val="006C5EE7"/>
    <w:rsid w:val="008E26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D7E603-FACE-4003-93E0-C3057A2BC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620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62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259</Words>
  <Characters>1296</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2022-03-14T11:48:00Z</dcterms:created>
  <dcterms:modified xsi:type="dcterms:W3CDTF">2022-03-14T11:48:00Z</dcterms:modified>
</cp:coreProperties>
</file>