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A86" w:rsidRPr="005875A9" w:rsidRDefault="00521A86" w:rsidP="00521A86">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w:t>
      </w:r>
      <w:r>
        <w:rPr>
          <w:rFonts w:cs="FrankRuehl" w:hint="cs"/>
          <w:b/>
          <w:bCs/>
          <w:sz w:val="28"/>
          <w:szCs w:val="28"/>
          <w:u w:val="single"/>
          <w:rtl/>
        </w:rPr>
        <w:t>ה</w:t>
      </w:r>
      <w:r w:rsidRPr="005875A9">
        <w:rPr>
          <w:rFonts w:cs="FrankRuehl"/>
          <w:b/>
          <w:bCs/>
          <w:sz w:val="28"/>
          <w:szCs w:val="28"/>
          <w:u w:val="single"/>
          <w:rtl/>
        </w:rPr>
        <w:t xml:space="preserve"> לקבלת מידע לפי חוק חופש המידע, התשנ"ח-1998</w:t>
      </w:r>
    </w:p>
    <w:p w:rsidR="00521A86" w:rsidRPr="005875A9" w:rsidRDefault="00521A86" w:rsidP="00521A86">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24.12.2021</w:t>
      </w:r>
    </w:p>
    <w:p w:rsidR="00521A86" w:rsidRPr="005E0607" w:rsidRDefault="00521A86" w:rsidP="00521A86">
      <w:pPr>
        <w:spacing w:after="0"/>
        <w:jc w:val="both"/>
        <w:rPr>
          <w:rFonts w:cs="FrankRuehl"/>
          <w:sz w:val="28"/>
          <w:szCs w:val="28"/>
          <w:rtl/>
        </w:rPr>
      </w:pPr>
    </w:p>
    <w:p w:rsidR="00521A86" w:rsidRDefault="00521A86" w:rsidP="00521A86">
      <w:pPr>
        <w:overflowPunct w:val="0"/>
        <w:autoSpaceDE w:val="0"/>
        <w:autoSpaceDN w:val="0"/>
        <w:adjustRightInd w:val="0"/>
        <w:spacing w:after="0" w:line="360" w:lineRule="auto"/>
        <w:ind w:left="720"/>
        <w:jc w:val="both"/>
        <w:textAlignment w:val="baseline"/>
        <w:rPr>
          <w:rFonts w:cs="FrankRuehl"/>
          <w:color w:val="000000"/>
          <w:sz w:val="28"/>
          <w:szCs w:val="28"/>
          <w:rtl/>
        </w:rPr>
      </w:pPr>
      <w:r w:rsidRPr="004F06AE">
        <w:rPr>
          <w:rFonts w:cs="FrankRuehl"/>
          <w:sz w:val="28"/>
          <w:szCs w:val="28"/>
          <w:rtl/>
        </w:rPr>
        <w:t xml:space="preserve">הבקשה שבסימוכין </w:t>
      </w:r>
      <w:r w:rsidRPr="004F06AE">
        <w:rPr>
          <w:rFonts w:cs="FrankRuehl" w:hint="cs"/>
          <w:color w:val="000000"/>
          <w:sz w:val="28"/>
          <w:szCs w:val="28"/>
          <w:rtl/>
        </w:rPr>
        <w:t xml:space="preserve">לקבלת מידע </w:t>
      </w:r>
      <w:r w:rsidRPr="004F06AE">
        <w:rPr>
          <w:rFonts w:ascii="FrankRuehl" w:hAnsi="FrankRuehl" w:cs="FrankRuehl"/>
          <w:sz w:val="28"/>
          <w:szCs w:val="28"/>
          <w:rtl/>
        </w:rPr>
        <w:t>לפי חוק חופש המידע התשנ"ח-1998 (להלן</w:t>
      </w:r>
      <w:r>
        <w:rPr>
          <w:rFonts w:ascii="FrankRuehl" w:hAnsi="FrankRuehl" w:cs="FrankRuehl" w:hint="cs"/>
          <w:sz w:val="28"/>
          <w:szCs w:val="28"/>
          <w:rtl/>
        </w:rPr>
        <w:t xml:space="preserve"> </w:t>
      </w:r>
      <w:r w:rsidRPr="004F06AE">
        <w:rPr>
          <w:rFonts w:ascii="FrankRuehl" w:hAnsi="FrankRuehl" w:cs="FrankRuehl"/>
          <w:sz w:val="28"/>
          <w:szCs w:val="28"/>
          <w:rtl/>
        </w:rPr>
        <w:t>"החוק</w:t>
      </w:r>
      <w:r>
        <w:rPr>
          <w:rFonts w:ascii="FrankRuehl" w:hAnsi="FrankRuehl" w:cs="FrankRuehl" w:hint="cs"/>
          <w:sz w:val="28"/>
          <w:szCs w:val="28"/>
          <w:rtl/>
        </w:rPr>
        <w:t>"</w:t>
      </w:r>
      <w:r w:rsidRPr="004F06AE">
        <w:rPr>
          <w:rFonts w:ascii="FrankRuehl" w:hAnsi="FrankRuehl" w:cs="FrankRuehl"/>
          <w:sz w:val="28"/>
          <w:szCs w:val="28"/>
          <w:rtl/>
        </w:rPr>
        <w:t>)</w:t>
      </w:r>
      <w:r>
        <w:rPr>
          <w:rFonts w:ascii="FrankRuehl" w:hAnsi="FrankRuehl" w:cs="FrankRuehl" w:hint="cs"/>
          <w:sz w:val="28"/>
          <w:szCs w:val="28"/>
          <w:rtl/>
        </w:rPr>
        <w:t xml:space="preserve">, לקבלת מידע אודות ועדות מקצועיות וציבוריות, </w:t>
      </w:r>
      <w:r w:rsidRPr="004F06AE">
        <w:rPr>
          <w:rFonts w:ascii="FrankRuehl" w:hAnsi="FrankRuehl" w:cs="FrankRuehl"/>
          <w:sz w:val="28"/>
          <w:szCs w:val="28"/>
          <w:rtl/>
        </w:rPr>
        <w:t xml:space="preserve"> </w:t>
      </w:r>
      <w:r>
        <w:rPr>
          <w:rFonts w:cs="FrankRuehl" w:hint="cs"/>
          <w:color w:val="000000"/>
          <w:sz w:val="28"/>
          <w:szCs w:val="28"/>
          <w:rtl/>
        </w:rPr>
        <w:t xml:space="preserve">נבחנה ואתכבד להשיב לך כדלקמן: </w:t>
      </w:r>
    </w:p>
    <w:p w:rsidR="00521A86" w:rsidRDefault="00521A86" w:rsidP="00521A86">
      <w:pPr>
        <w:overflowPunct w:val="0"/>
        <w:autoSpaceDE w:val="0"/>
        <w:autoSpaceDN w:val="0"/>
        <w:adjustRightInd w:val="0"/>
        <w:spacing w:after="0" w:line="360" w:lineRule="auto"/>
        <w:jc w:val="both"/>
        <w:textAlignment w:val="baseline"/>
        <w:rPr>
          <w:rFonts w:cs="FrankRuehl"/>
          <w:color w:val="000000"/>
          <w:sz w:val="28"/>
          <w:szCs w:val="28"/>
        </w:rPr>
      </w:pPr>
    </w:p>
    <w:p w:rsidR="00521A86" w:rsidRPr="004454C6" w:rsidRDefault="00521A86" w:rsidP="00521A86">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4454C6">
        <w:rPr>
          <w:rFonts w:cs="FrankRuehl" w:hint="cs"/>
          <w:sz w:val="28"/>
          <w:szCs w:val="28"/>
          <w:rtl/>
        </w:rPr>
        <w:t xml:space="preserve">לעניין בקשתך </w:t>
      </w:r>
      <w:r w:rsidRPr="004454C6">
        <w:rPr>
          <w:rFonts w:cs="FrankRuehl" w:hint="cs"/>
          <w:color w:val="000000"/>
          <w:sz w:val="28"/>
          <w:szCs w:val="28"/>
          <w:rtl/>
        </w:rPr>
        <w:t xml:space="preserve">לקבלת מידע על אודות </w:t>
      </w:r>
      <w:r w:rsidRPr="004454C6">
        <w:rPr>
          <w:rFonts w:cs="FrankRuehl"/>
          <w:color w:val="000000"/>
          <w:sz w:val="28"/>
          <w:szCs w:val="28"/>
          <w:rtl/>
        </w:rPr>
        <w:t>ועדה מייעצת לוועדת האתיקה לשופטים לעניין השימוש של שופטים ברשתות חברתיות מקוונות (פריט 6 בטבלה)</w:t>
      </w:r>
      <w:r w:rsidRPr="004454C6">
        <w:rPr>
          <w:rFonts w:cs="FrankRuehl" w:hint="cs"/>
          <w:color w:val="000000"/>
          <w:sz w:val="28"/>
          <w:szCs w:val="28"/>
          <w:rtl/>
        </w:rPr>
        <w:t xml:space="preserve"> אשיב כי הדו</w:t>
      </w:r>
      <w:r>
        <w:rPr>
          <w:rFonts w:cs="FrankRuehl" w:hint="cs"/>
          <w:color w:val="000000"/>
          <w:sz w:val="28"/>
          <w:szCs w:val="28"/>
          <w:rtl/>
        </w:rPr>
        <w:t>"</w:t>
      </w:r>
      <w:r w:rsidRPr="004454C6">
        <w:rPr>
          <w:rFonts w:cs="FrankRuehl" w:hint="cs"/>
          <w:color w:val="000000"/>
          <w:sz w:val="28"/>
          <w:szCs w:val="28"/>
          <w:rtl/>
        </w:rPr>
        <w:t xml:space="preserve">ח מפורסם באתר האינטרנט של הרשות השופטת בכתובת: </w:t>
      </w:r>
      <w:hyperlink r:id="rId5" w:history="1">
        <w:r w:rsidRPr="000F2FFF">
          <w:rPr>
            <w:rStyle w:val="Hyperlink"/>
            <w:rFonts w:ascii="Calibri" w:hAnsi="Calibri" w:cs="Calibri"/>
            <w:sz w:val="18"/>
            <w:szCs w:val="18"/>
          </w:rPr>
          <w:t>https://www.gov.il/he/Departments/publications/reports/manager_of_courts_report_04_2019</w:t>
        </w:r>
      </w:hyperlink>
      <w:r w:rsidRPr="000F2FFF">
        <w:rPr>
          <w:rFonts w:ascii="Arial" w:hAnsi="Arial" w:cs="Arial"/>
          <w:color w:val="1F497D"/>
          <w:sz w:val="18"/>
          <w:szCs w:val="18"/>
          <w:rtl/>
        </w:rPr>
        <w:t xml:space="preserve"> </w:t>
      </w:r>
      <w:r w:rsidRPr="000F2FFF">
        <w:rPr>
          <w:rFonts w:ascii="Arial" w:hAnsi="Arial" w:cs="Arial"/>
          <w:color w:val="1F497D"/>
          <w:sz w:val="24"/>
          <w:szCs w:val="24"/>
          <w:rtl/>
        </w:rPr>
        <w:br/>
      </w:r>
    </w:p>
    <w:p w:rsidR="00521A86" w:rsidRPr="004C2E1C" w:rsidRDefault="00521A86" w:rsidP="00521A86">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4C2E1C">
        <w:rPr>
          <w:rFonts w:cs="FrankRuehl" w:hint="cs"/>
          <w:sz w:val="28"/>
          <w:szCs w:val="28"/>
          <w:rtl/>
        </w:rPr>
        <w:t>אשר לבקשתך לקבלת הדו"ח הסופי/מסמך הסיכום על נספחיהם של הוועדות והצוותים הבאים:</w:t>
      </w:r>
      <w:r w:rsidRPr="004C2E1C">
        <w:rPr>
          <w:rFonts w:cs="FrankRuehl" w:hint="cs"/>
          <w:color w:val="000000"/>
          <w:sz w:val="28"/>
          <w:szCs w:val="28"/>
          <w:rtl/>
        </w:rPr>
        <w:t xml:space="preserve"> </w:t>
      </w:r>
      <w:r w:rsidRPr="004C2E1C">
        <w:rPr>
          <w:rFonts w:cs="FrankRuehl" w:hint="cs"/>
          <w:i/>
          <w:iCs/>
          <w:sz w:val="28"/>
          <w:szCs w:val="28"/>
          <w:rtl/>
        </w:rPr>
        <w:t xml:space="preserve"> </w:t>
      </w:r>
      <w:r w:rsidRPr="004C2E1C">
        <w:rPr>
          <w:rFonts w:cs="FrankRuehl"/>
          <w:i/>
          <w:iCs/>
          <w:sz w:val="28"/>
          <w:szCs w:val="28"/>
          <w:rtl/>
        </w:rPr>
        <w:t>צוות עבודה לגיבוש המלצות בנושא מינוי מומחים על ידי בתי המשפט (פריט 15 בטבלה)</w:t>
      </w:r>
      <w:r w:rsidRPr="004C2E1C">
        <w:rPr>
          <w:rFonts w:cs="FrankRuehl" w:hint="cs"/>
          <w:i/>
          <w:iCs/>
          <w:sz w:val="28"/>
          <w:szCs w:val="28"/>
          <w:rtl/>
        </w:rPr>
        <w:t xml:space="preserve">,  </w:t>
      </w:r>
      <w:r w:rsidRPr="004C2E1C">
        <w:rPr>
          <w:rFonts w:cs="FrankRuehl"/>
          <w:i/>
          <w:iCs/>
          <w:sz w:val="28"/>
          <w:szCs w:val="28"/>
          <w:rtl/>
        </w:rPr>
        <w:t>פומביות הדיון בעידן הטכנולוגי (פריט 17 בטבלה)</w:t>
      </w:r>
      <w:r w:rsidRPr="004C2E1C">
        <w:rPr>
          <w:rFonts w:cs="FrankRuehl" w:hint="cs"/>
          <w:i/>
          <w:iCs/>
          <w:sz w:val="28"/>
          <w:szCs w:val="28"/>
          <w:rtl/>
        </w:rPr>
        <w:t xml:space="preserve">, </w:t>
      </w:r>
      <w:r w:rsidRPr="004C2E1C">
        <w:rPr>
          <w:rFonts w:cs="FrankRuehl"/>
          <w:i/>
          <w:iCs/>
          <w:sz w:val="28"/>
          <w:szCs w:val="28"/>
          <w:rtl/>
        </w:rPr>
        <w:t>צוות לבחינת היוועדות חזותית בהליכים פליליים ברשות השופטת ובוועדות השחרורים (פריט 25 בטבלה)</w:t>
      </w:r>
      <w:r w:rsidRPr="004C2E1C">
        <w:rPr>
          <w:rFonts w:cs="FrankRuehl" w:hint="cs"/>
          <w:i/>
          <w:iCs/>
          <w:sz w:val="28"/>
          <w:szCs w:val="28"/>
          <w:rtl/>
        </w:rPr>
        <w:t xml:space="preserve"> וה</w:t>
      </w:r>
      <w:r w:rsidRPr="004C2E1C">
        <w:rPr>
          <w:rFonts w:cs="FrankRuehl"/>
          <w:i/>
          <w:iCs/>
          <w:sz w:val="28"/>
          <w:szCs w:val="28"/>
          <w:rtl/>
        </w:rPr>
        <w:t>צוות לגיבוש מתווה</w:t>
      </w:r>
      <w:r>
        <w:rPr>
          <w:rFonts w:cs="FrankRuehl" w:hint="cs"/>
          <w:i/>
          <w:iCs/>
          <w:sz w:val="28"/>
          <w:szCs w:val="28"/>
          <w:rtl/>
        </w:rPr>
        <w:t xml:space="preserve"> לקיום דיונים אזרחיים בהיוועדות חזותית,</w:t>
      </w:r>
      <w:r w:rsidRPr="004C2E1C">
        <w:rPr>
          <w:rFonts w:cs="FrankRuehl" w:hint="cs"/>
          <w:i/>
          <w:iCs/>
          <w:sz w:val="28"/>
          <w:szCs w:val="28"/>
          <w:rtl/>
        </w:rPr>
        <w:t xml:space="preserve"> </w:t>
      </w:r>
      <w:r w:rsidRPr="004C2E1C">
        <w:rPr>
          <w:rFonts w:cs="FrankRuehl" w:hint="cs"/>
          <w:sz w:val="28"/>
          <w:szCs w:val="28"/>
          <w:rtl/>
        </w:rPr>
        <w:t xml:space="preserve">הריני משיבה לך שלא נוכל להיעתר לבקשתך שכן מדובר במדיניות בשלבי עיצוב. זאת בהתאם לסעיף 9 (ב) (2) לחוק. </w:t>
      </w:r>
    </w:p>
    <w:p w:rsidR="00521A86" w:rsidRDefault="00521A86" w:rsidP="00521A86">
      <w:pPr>
        <w:overflowPunct w:val="0"/>
        <w:autoSpaceDE w:val="0"/>
        <w:autoSpaceDN w:val="0"/>
        <w:adjustRightInd w:val="0"/>
        <w:spacing w:after="0" w:line="360" w:lineRule="auto"/>
        <w:ind w:left="720"/>
        <w:jc w:val="both"/>
        <w:textAlignment w:val="baseline"/>
        <w:rPr>
          <w:rFonts w:cs="FrankRuehl"/>
          <w:color w:val="000000"/>
          <w:sz w:val="28"/>
          <w:szCs w:val="28"/>
          <w:rtl/>
        </w:rPr>
      </w:pPr>
    </w:p>
    <w:p w:rsidR="00521A86" w:rsidRDefault="00521A86" w:rsidP="00521A86">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0C1B30">
        <w:rPr>
          <w:rFonts w:cs="FrankRuehl"/>
          <w:color w:val="000000"/>
          <w:sz w:val="28"/>
          <w:szCs w:val="28"/>
          <w:rtl/>
        </w:rPr>
        <w:t>אשר  לבקשתך לקבלת הדו</w:t>
      </w:r>
      <w:r>
        <w:rPr>
          <w:rFonts w:cs="FrankRuehl" w:hint="cs"/>
          <w:color w:val="000000"/>
          <w:sz w:val="28"/>
          <w:szCs w:val="28"/>
          <w:rtl/>
        </w:rPr>
        <w:t>"</w:t>
      </w:r>
      <w:r w:rsidRPr="000C1B30">
        <w:rPr>
          <w:rFonts w:cs="FrankRuehl"/>
          <w:color w:val="000000"/>
          <w:sz w:val="28"/>
          <w:szCs w:val="28"/>
          <w:rtl/>
        </w:rPr>
        <w:t>ח הסופי</w:t>
      </w:r>
      <w:r>
        <w:rPr>
          <w:rFonts w:cs="FrankRuehl" w:hint="cs"/>
          <w:color w:val="000000"/>
          <w:sz w:val="28"/>
          <w:szCs w:val="28"/>
          <w:rtl/>
        </w:rPr>
        <w:t xml:space="preserve"> </w:t>
      </w:r>
      <w:r w:rsidRPr="000C1B30">
        <w:rPr>
          <w:rFonts w:cs="FrankRuehl"/>
          <w:color w:val="000000"/>
          <w:sz w:val="28"/>
          <w:szCs w:val="28"/>
          <w:rtl/>
        </w:rPr>
        <w:t>/</w:t>
      </w:r>
      <w:r>
        <w:rPr>
          <w:rFonts w:cs="FrankRuehl" w:hint="cs"/>
          <w:color w:val="000000"/>
          <w:sz w:val="28"/>
          <w:szCs w:val="28"/>
          <w:rtl/>
        </w:rPr>
        <w:t xml:space="preserve"> </w:t>
      </w:r>
      <w:r w:rsidRPr="000C1B30">
        <w:rPr>
          <w:rFonts w:cs="FrankRuehl"/>
          <w:color w:val="000000"/>
          <w:sz w:val="28"/>
          <w:szCs w:val="28"/>
          <w:rtl/>
        </w:rPr>
        <w:t>מסמך הסיכום על נספחיהם של הצוות לכתיבת נוהל טיפול בשופט מאוים, אשיב כי לא אותר מסמך כמבוקש, וכי למיטב הידיעה לא גובש כל נוהל בעניין. יוער, כי מדובר בצוות שמונה לפני למעלה מ-7 שנים ובהיעדר תיעוד אין בידנו להתייחס מעבר לכך. זאת, בהתאם לסעיפים 8(3) ו-8(2) לחוק.</w:t>
      </w:r>
    </w:p>
    <w:p w:rsidR="00521A86" w:rsidRPr="000C1B30" w:rsidRDefault="00521A86" w:rsidP="00521A86">
      <w:pPr>
        <w:overflowPunct w:val="0"/>
        <w:autoSpaceDE w:val="0"/>
        <w:autoSpaceDN w:val="0"/>
        <w:adjustRightInd w:val="0"/>
        <w:spacing w:after="0" w:line="360" w:lineRule="auto"/>
        <w:ind w:left="720"/>
        <w:jc w:val="both"/>
        <w:textAlignment w:val="baseline"/>
        <w:rPr>
          <w:rFonts w:cs="FrankRuehl"/>
          <w:color w:val="000000"/>
          <w:sz w:val="28"/>
          <w:szCs w:val="28"/>
        </w:rPr>
      </w:pPr>
    </w:p>
    <w:p w:rsidR="00521A86" w:rsidRPr="0026721D" w:rsidRDefault="00521A86" w:rsidP="00521A86">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color w:val="000000"/>
          <w:sz w:val="28"/>
          <w:szCs w:val="28"/>
          <w:rtl/>
        </w:rPr>
        <w:t xml:space="preserve">כנגד החלטה זו, </w:t>
      </w:r>
      <w:r>
        <w:rPr>
          <w:rFonts w:cs="FrankRuehl" w:hint="cs"/>
          <w:sz w:val="28"/>
          <w:szCs w:val="28"/>
          <w:rtl/>
        </w:rPr>
        <w:t xml:space="preserve">ניתן להגיש עתירה מנהלית בתוך 45 יום לבית המשפט לעניינים מנהליים בירושלים.     </w:t>
      </w:r>
    </w:p>
    <w:p w:rsidR="00521A86" w:rsidRPr="000C1B30" w:rsidRDefault="00521A86" w:rsidP="00521A86">
      <w:pPr>
        <w:overflowPunct w:val="0"/>
        <w:autoSpaceDE w:val="0"/>
        <w:autoSpaceDN w:val="0"/>
        <w:adjustRightInd w:val="0"/>
        <w:spacing w:after="0" w:line="360" w:lineRule="auto"/>
        <w:ind w:left="720"/>
        <w:jc w:val="both"/>
        <w:textAlignment w:val="baseline"/>
        <w:rPr>
          <w:rFonts w:cs="FrankRuehl"/>
          <w:color w:val="000000"/>
          <w:sz w:val="28"/>
          <w:szCs w:val="28"/>
        </w:rPr>
      </w:pPr>
    </w:p>
    <w:p w:rsidR="00521A86" w:rsidRDefault="00521A86" w:rsidP="00521A86">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AB55F2">
        <w:rPr>
          <w:rFonts w:cs="FrankRuehl" w:hint="cs"/>
          <w:color w:val="000000"/>
          <w:sz w:val="28"/>
          <w:szCs w:val="28"/>
          <w:rtl/>
        </w:rPr>
        <w:t>אנו לרשותך ככל שיידר</w:t>
      </w:r>
      <w:r w:rsidRPr="00AB55F2">
        <w:rPr>
          <w:rFonts w:cs="FrankRuehl" w:hint="eastAsia"/>
          <w:color w:val="000000"/>
          <w:sz w:val="28"/>
          <w:szCs w:val="28"/>
          <w:rtl/>
        </w:rPr>
        <w:t>ש</w:t>
      </w:r>
      <w:r w:rsidRPr="00AB55F2">
        <w:rPr>
          <w:rFonts w:cs="FrankRuehl" w:hint="cs"/>
          <w:color w:val="000000"/>
          <w:sz w:val="28"/>
          <w:szCs w:val="28"/>
          <w:rtl/>
        </w:rPr>
        <w:t xml:space="preserve">. </w:t>
      </w:r>
    </w:p>
    <w:p w:rsidR="00521A86" w:rsidRDefault="00521A86" w:rsidP="00521A86">
      <w:pPr>
        <w:pStyle w:val="a3"/>
        <w:rPr>
          <w:rFonts w:cs="FrankRuehl"/>
          <w:color w:val="000000"/>
          <w:sz w:val="28"/>
          <w:szCs w:val="28"/>
          <w:rtl/>
        </w:rPr>
      </w:pPr>
    </w:p>
    <w:p w:rsidR="00521A86" w:rsidRDefault="00521A86" w:rsidP="00521A86">
      <w:pPr>
        <w:overflowPunct w:val="0"/>
        <w:autoSpaceDE w:val="0"/>
        <w:autoSpaceDN w:val="0"/>
        <w:adjustRightInd w:val="0"/>
        <w:spacing w:after="0" w:line="360" w:lineRule="auto"/>
        <w:ind w:left="720"/>
        <w:jc w:val="both"/>
        <w:textAlignment w:val="baseline"/>
        <w:rPr>
          <w:rFonts w:cs="FrankRuehl"/>
          <w:color w:val="000000"/>
          <w:sz w:val="28"/>
          <w:szCs w:val="28"/>
          <w:rtl/>
        </w:rPr>
      </w:pPr>
    </w:p>
    <w:p w:rsidR="00521A86" w:rsidRPr="00AB55F2" w:rsidRDefault="00521A86" w:rsidP="00521A86">
      <w:pPr>
        <w:overflowPunct w:val="0"/>
        <w:autoSpaceDE w:val="0"/>
        <w:autoSpaceDN w:val="0"/>
        <w:adjustRightInd w:val="0"/>
        <w:spacing w:after="0" w:line="360" w:lineRule="auto"/>
        <w:ind w:left="720"/>
        <w:jc w:val="both"/>
        <w:textAlignment w:val="baseline"/>
        <w:rPr>
          <w:rFonts w:cs="FrankRuehl"/>
          <w:color w:val="000000"/>
          <w:sz w:val="28"/>
          <w:szCs w:val="28"/>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46ABB"/>
    <w:multiLevelType w:val="hybridMultilevel"/>
    <w:tmpl w:val="AE30FF5C"/>
    <w:lvl w:ilvl="0" w:tplc="F25C79B4">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86"/>
    <w:rsid w:val="00521A86"/>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686E1-E7BD-4559-A2C9-B666957D9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A8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21A86"/>
    <w:rPr>
      <w:color w:val="0563C1" w:themeColor="hyperlink"/>
      <w:u w:val="single"/>
    </w:rPr>
  </w:style>
  <w:style w:type="paragraph" w:styleId="a3">
    <w:name w:val="List Paragraph"/>
    <w:basedOn w:val="a"/>
    <w:uiPriority w:val="34"/>
    <w:qFormat/>
    <w:rsid w:val="00521A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il/he/Departments/publications/reports/manager_of_courts_report_04_2019"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1244</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2022-03-08T13:43:00Z</dcterms:created>
  <dcterms:modified xsi:type="dcterms:W3CDTF">2022-03-08T13:44:00Z</dcterms:modified>
</cp:coreProperties>
</file>