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306" w:rsidRPr="005C5496" w:rsidRDefault="008E5306" w:rsidP="008E5306">
      <w:pPr>
        <w:spacing w:after="0"/>
        <w:jc w:val="both"/>
        <w:rPr>
          <w:rFonts w:cs="FrankRuehl"/>
          <w:sz w:val="28"/>
          <w:szCs w:val="28"/>
          <w:u w:val="single"/>
          <w:rtl/>
        </w:rPr>
      </w:pPr>
    </w:p>
    <w:p w:rsidR="008E5306" w:rsidRPr="005C5496" w:rsidRDefault="008E5306" w:rsidP="008E5306">
      <w:pPr>
        <w:tabs>
          <w:tab w:val="center" w:pos="6321"/>
        </w:tabs>
        <w:spacing w:after="0" w:line="240" w:lineRule="auto"/>
        <w:ind w:firstLine="454"/>
        <w:jc w:val="center"/>
        <w:rPr>
          <w:rFonts w:cs="FrankRuehl"/>
          <w:sz w:val="28"/>
          <w:szCs w:val="28"/>
          <w:u w:val="single"/>
          <w:rtl/>
        </w:rPr>
      </w:pPr>
      <w:r w:rsidRPr="005C5496">
        <w:rPr>
          <w:rFonts w:cs="FrankRuehl"/>
          <w:sz w:val="28"/>
          <w:szCs w:val="28"/>
          <w:rtl/>
        </w:rPr>
        <w:t xml:space="preserve">הנדון: </w:t>
      </w:r>
      <w:r w:rsidRPr="005C5496">
        <w:rPr>
          <w:rFonts w:cs="FrankRuehl"/>
          <w:b/>
          <w:bCs/>
          <w:sz w:val="28"/>
          <w:szCs w:val="28"/>
          <w:u w:val="single"/>
          <w:rtl/>
        </w:rPr>
        <w:t>בקש</w:t>
      </w:r>
      <w:r w:rsidRPr="005C5496">
        <w:rPr>
          <w:rFonts w:cs="FrankRuehl" w:hint="cs"/>
          <w:b/>
          <w:bCs/>
          <w:sz w:val="28"/>
          <w:szCs w:val="28"/>
          <w:u w:val="single"/>
          <w:rtl/>
        </w:rPr>
        <w:t>ה</w:t>
      </w:r>
      <w:r w:rsidRPr="005C5496">
        <w:rPr>
          <w:rFonts w:cs="FrankRuehl"/>
          <w:b/>
          <w:bCs/>
          <w:sz w:val="28"/>
          <w:szCs w:val="28"/>
          <w:u w:val="single"/>
          <w:rtl/>
        </w:rPr>
        <w:t xml:space="preserve"> לקבלת מידע לפי חוק חופש המידע, התשנ"ח-1998</w:t>
      </w:r>
    </w:p>
    <w:p w:rsidR="008E5306" w:rsidRPr="005C5496" w:rsidRDefault="008E5306" w:rsidP="008E5306">
      <w:pPr>
        <w:tabs>
          <w:tab w:val="center" w:pos="6321"/>
        </w:tabs>
        <w:spacing w:after="0" w:line="240" w:lineRule="auto"/>
        <w:ind w:firstLine="454"/>
        <w:jc w:val="center"/>
        <w:rPr>
          <w:rFonts w:cs="FrankRuehl"/>
          <w:rtl/>
        </w:rPr>
      </w:pPr>
      <w:r w:rsidRPr="005C5496">
        <w:rPr>
          <w:rFonts w:cs="FrankRuehl"/>
          <w:rtl/>
        </w:rPr>
        <w:t xml:space="preserve">סימוכין: </w:t>
      </w:r>
      <w:r w:rsidRPr="005C5496">
        <w:rPr>
          <w:rFonts w:cs="FrankRuehl" w:hint="cs"/>
          <w:rtl/>
        </w:rPr>
        <w:t xml:space="preserve">בקשה מיום </w:t>
      </w:r>
      <w:r>
        <w:rPr>
          <w:rFonts w:cs="FrankRuehl" w:hint="cs"/>
          <w:rtl/>
        </w:rPr>
        <w:t>23.12.2021</w:t>
      </w:r>
    </w:p>
    <w:p w:rsidR="008E5306" w:rsidRPr="005875A9" w:rsidRDefault="008E5306" w:rsidP="008E5306">
      <w:pPr>
        <w:tabs>
          <w:tab w:val="center" w:pos="6321"/>
        </w:tabs>
        <w:spacing w:after="0" w:line="240" w:lineRule="auto"/>
        <w:ind w:firstLine="454"/>
        <w:jc w:val="center"/>
        <w:rPr>
          <w:rFonts w:cs="FrankRuehl"/>
          <w:sz w:val="24"/>
          <w:szCs w:val="24"/>
        </w:rPr>
      </w:pPr>
    </w:p>
    <w:p w:rsidR="008E5306" w:rsidRPr="00200BBA" w:rsidRDefault="008E5306" w:rsidP="008E5306">
      <w:pPr>
        <w:pStyle w:val="a3"/>
        <w:spacing w:line="360" w:lineRule="auto"/>
        <w:jc w:val="both"/>
        <w:rPr>
          <w:rFonts w:ascii="FrankRuehl" w:hAnsi="FrankRuehl" w:cs="FrankRuehl"/>
          <w:sz w:val="28"/>
          <w:szCs w:val="28"/>
        </w:rPr>
      </w:pPr>
    </w:p>
    <w:p w:rsidR="008E5306" w:rsidRPr="000000F0" w:rsidRDefault="008E5306" w:rsidP="008E5306">
      <w:pPr>
        <w:pStyle w:val="a3"/>
        <w:numPr>
          <w:ilvl w:val="0"/>
          <w:numId w:val="1"/>
        </w:numPr>
        <w:spacing w:line="360" w:lineRule="auto"/>
        <w:jc w:val="both"/>
        <w:rPr>
          <w:rFonts w:ascii="FrankRuehl" w:hAnsi="FrankRuehl" w:cs="FrankRuehl"/>
          <w:sz w:val="28"/>
          <w:szCs w:val="28"/>
        </w:rPr>
      </w:pPr>
      <w:r w:rsidRPr="00833F88">
        <w:rPr>
          <w:rFonts w:cs="FrankRuehl" w:hint="cs"/>
          <w:sz w:val="28"/>
          <w:szCs w:val="28"/>
          <w:rtl/>
        </w:rPr>
        <w:t>הבקשה</w:t>
      </w:r>
      <w:r w:rsidRPr="00833F88">
        <w:rPr>
          <w:rFonts w:cs="FrankRuehl"/>
          <w:sz w:val="28"/>
          <w:szCs w:val="28"/>
          <w:rtl/>
        </w:rPr>
        <w:t xml:space="preserve"> שב</w:t>
      </w:r>
      <w:r w:rsidRPr="00833F88">
        <w:rPr>
          <w:rFonts w:cs="FrankRuehl" w:hint="cs"/>
          <w:sz w:val="28"/>
          <w:szCs w:val="28"/>
          <w:rtl/>
        </w:rPr>
        <w:t xml:space="preserve">סימוכין </w:t>
      </w:r>
      <w:r w:rsidRPr="00833F88">
        <w:rPr>
          <w:rFonts w:cs="FrankRuehl"/>
          <w:sz w:val="28"/>
          <w:szCs w:val="28"/>
          <w:rtl/>
        </w:rPr>
        <w:t>לקבלת מידע</w:t>
      </w:r>
      <w:r w:rsidRPr="00833F88">
        <w:rPr>
          <w:rFonts w:cs="FrankRuehl" w:hint="cs"/>
          <w:sz w:val="28"/>
          <w:szCs w:val="28"/>
          <w:rtl/>
        </w:rPr>
        <w:t xml:space="preserve"> לפי חוק חופש המידע התשנ"ח-1998</w:t>
      </w:r>
      <w:r w:rsidRPr="00833F88">
        <w:rPr>
          <w:rFonts w:cs="FrankRuehl"/>
          <w:sz w:val="28"/>
          <w:szCs w:val="28"/>
          <w:rtl/>
        </w:rPr>
        <w:t xml:space="preserve"> </w:t>
      </w:r>
      <w:r w:rsidRPr="00833F88">
        <w:rPr>
          <w:rFonts w:cs="FrankRuehl" w:hint="cs"/>
          <w:sz w:val="28"/>
          <w:szCs w:val="28"/>
          <w:rtl/>
        </w:rPr>
        <w:t xml:space="preserve">(להלן: </w:t>
      </w:r>
      <w:r>
        <w:rPr>
          <w:rFonts w:cs="FrankRuehl" w:hint="cs"/>
          <w:sz w:val="28"/>
          <w:szCs w:val="28"/>
          <w:rtl/>
        </w:rPr>
        <w:t>"</w:t>
      </w:r>
      <w:r w:rsidRPr="00833F88">
        <w:rPr>
          <w:rFonts w:cs="FrankRuehl" w:hint="cs"/>
          <w:sz w:val="28"/>
          <w:szCs w:val="28"/>
          <w:rtl/>
        </w:rPr>
        <w:t>החוק</w:t>
      </w:r>
      <w:r>
        <w:rPr>
          <w:rFonts w:cs="FrankRuehl" w:hint="cs"/>
          <w:sz w:val="28"/>
          <w:szCs w:val="28"/>
          <w:rtl/>
        </w:rPr>
        <w:t>"</w:t>
      </w:r>
      <w:r w:rsidRPr="00833F88">
        <w:rPr>
          <w:rFonts w:cs="FrankRuehl" w:hint="cs"/>
          <w:sz w:val="28"/>
          <w:szCs w:val="28"/>
          <w:rtl/>
        </w:rPr>
        <w:t>), על אודות</w:t>
      </w:r>
      <w:r w:rsidRPr="00833F88">
        <w:rPr>
          <w:rFonts w:cs="FrankRuehl"/>
          <w:sz w:val="28"/>
          <w:szCs w:val="28"/>
          <w:rtl/>
        </w:rPr>
        <w:t xml:space="preserve"> </w:t>
      </w:r>
      <w:r>
        <w:rPr>
          <w:rFonts w:cs="FrankRuehl" w:hint="cs"/>
          <w:sz w:val="28"/>
          <w:szCs w:val="28"/>
          <w:rtl/>
        </w:rPr>
        <w:t xml:space="preserve">רשימת המומחים של בתי המשפט, נבחנה </w:t>
      </w:r>
      <w:r>
        <w:rPr>
          <w:rFonts w:ascii="FrankRuehl" w:hAnsi="FrankRuehl" w:cs="FrankRuehl" w:hint="cs"/>
          <w:sz w:val="28"/>
          <w:szCs w:val="28"/>
          <w:rtl/>
        </w:rPr>
        <w:t xml:space="preserve">והוחלט שלא ניתן להיעתר לה. זאת, בהסתמך על סעיף 8 (4) לחוק, שכן המידע מפורסם באתר הרשות השופטת. </w:t>
      </w:r>
    </w:p>
    <w:p w:rsidR="008E5306" w:rsidRDefault="008E5306" w:rsidP="008E5306">
      <w:pPr>
        <w:pStyle w:val="a3"/>
        <w:spacing w:line="360" w:lineRule="auto"/>
        <w:jc w:val="both"/>
        <w:rPr>
          <w:rFonts w:cs="FrankRuehl"/>
          <w:sz w:val="28"/>
          <w:szCs w:val="28"/>
          <w:rtl/>
        </w:rPr>
      </w:pPr>
    </w:p>
    <w:p w:rsidR="008E5306" w:rsidRPr="000000F0" w:rsidRDefault="008E5306" w:rsidP="008E5306">
      <w:pPr>
        <w:pStyle w:val="a3"/>
        <w:numPr>
          <w:ilvl w:val="0"/>
          <w:numId w:val="1"/>
        </w:numPr>
        <w:spacing w:line="360" w:lineRule="auto"/>
        <w:jc w:val="both"/>
        <w:rPr>
          <w:rFonts w:ascii="FrankRuehl" w:hAnsi="FrankRuehl" w:cs="FrankRuehl"/>
          <w:sz w:val="28"/>
          <w:szCs w:val="28"/>
          <w:rtl/>
        </w:rPr>
      </w:pPr>
      <w:r w:rsidRPr="000000F0">
        <w:rPr>
          <w:rFonts w:ascii="FrankRuehl" w:hAnsi="FrankRuehl" w:cs="FrankRuehl"/>
          <w:sz w:val="28"/>
          <w:szCs w:val="28"/>
          <w:rtl/>
        </w:rPr>
        <w:t>רשימת מומחים העומדים לרשות בתי המשפט לענייני משפחה, מנוהלת על ידי משרד העבודה הרווחה והשירותים החברתיים (משרד הרווחה) ומפורסמת באתר האינטרנט של משרד הרווחה. קישור לרשימה זו מפורסם גם באתר האינטרנט של הרשו</w:t>
      </w:r>
      <w:r>
        <w:rPr>
          <w:rFonts w:ascii="FrankRuehl" w:hAnsi="FrankRuehl" w:cs="FrankRuehl"/>
          <w:sz w:val="28"/>
          <w:szCs w:val="28"/>
          <w:rtl/>
        </w:rPr>
        <w:t>ת השופט</w:t>
      </w:r>
      <w:r>
        <w:rPr>
          <w:rFonts w:ascii="FrankRuehl" w:hAnsi="FrankRuehl" w:cs="FrankRuehl" w:hint="cs"/>
          <w:sz w:val="28"/>
          <w:szCs w:val="28"/>
          <w:rtl/>
        </w:rPr>
        <w:t>ת בכתובת הבאה:</w:t>
      </w:r>
    </w:p>
    <w:p w:rsidR="008E5306" w:rsidRDefault="008E5306" w:rsidP="008E5306">
      <w:pPr>
        <w:pStyle w:val="a3"/>
        <w:spacing w:line="360" w:lineRule="auto"/>
        <w:rPr>
          <w:rFonts w:ascii="FrankRuehl" w:hAnsi="FrankRuehl" w:cs="FrankRuehl"/>
          <w:sz w:val="28"/>
          <w:szCs w:val="28"/>
          <w:rtl/>
        </w:rPr>
      </w:pPr>
      <w:hyperlink r:id="rId5" w:history="1">
        <w:r w:rsidRPr="00F01125">
          <w:rPr>
            <w:rStyle w:val="Hyperlink"/>
            <w:rFonts w:ascii="FrankRuehl" w:hAnsi="FrankRuehl" w:cs="FrankRuehl"/>
            <w:sz w:val="28"/>
            <w:szCs w:val="28"/>
          </w:rPr>
          <w:t>https://www.gov.il/he/departments/general/family_courts_experts_opinion</w:t>
        </w:r>
      </w:hyperlink>
    </w:p>
    <w:p w:rsidR="008E5306" w:rsidRDefault="008E5306" w:rsidP="008E5306">
      <w:pPr>
        <w:pStyle w:val="a3"/>
        <w:spacing w:line="360" w:lineRule="auto"/>
        <w:jc w:val="both"/>
        <w:rPr>
          <w:rFonts w:ascii="FrankRuehl" w:hAnsi="FrankRuehl" w:cs="FrankRuehl"/>
          <w:sz w:val="28"/>
          <w:szCs w:val="28"/>
          <w:rtl/>
        </w:rPr>
      </w:pPr>
      <w:r w:rsidRPr="000000F0">
        <w:rPr>
          <w:rFonts w:ascii="FrankRuehl" w:hAnsi="FrankRuehl" w:cs="FrankRuehl"/>
          <w:sz w:val="28"/>
          <w:szCs w:val="28"/>
          <w:rtl/>
        </w:rPr>
        <w:t xml:space="preserve">הרשימה האמורה כוללת מומחים בתחומי העבודה הסוציאלית, הפסיכולוגיה, הפסיכיאטריה ורפואת ילדים, והשופט היושב בדין ממנה מתוך רשימה זו מומחה לצורך חוות דעת בעניינים הנדונים בפניו. משמצא השופט כי יש צורך במינוי מומחה מתחומים אחרים בעניינים שלפניו, רשאי הוא למנות מומחה בהתאם לפרק הכללי בתקנות סדר הדין האזרחי, התשע"ט-2018, העוסק במינוי מומחים ובהתאם לשיקול דעתו. </w:t>
      </w:r>
    </w:p>
    <w:p w:rsidR="008E5306" w:rsidRPr="000000F0" w:rsidRDefault="008E5306" w:rsidP="008E5306">
      <w:pPr>
        <w:pStyle w:val="a3"/>
        <w:spacing w:line="360" w:lineRule="auto"/>
        <w:rPr>
          <w:rFonts w:ascii="FrankRuehl" w:hAnsi="FrankRuehl" w:cs="FrankRuehl"/>
          <w:sz w:val="28"/>
          <w:szCs w:val="28"/>
          <w:rtl/>
        </w:rPr>
      </w:pPr>
    </w:p>
    <w:p w:rsidR="008E5306" w:rsidRDefault="008E5306" w:rsidP="008E5306">
      <w:pPr>
        <w:pStyle w:val="a3"/>
        <w:numPr>
          <w:ilvl w:val="0"/>
          <w:numId w:val="1"/>
        </w:numPr>
        <w:spacing w:line="360" w:lineRule="auto"/>
        <w:jc w:val="both"/>
        <w:rPr>
          <w:rFonts w:ascii="FrankRuehl" w:hAnsi="FrankRuehl" w:cs="FrankRuehl"/>
          <w:sz w:val="28"/>
          <w:szCs w:val="28"/>
        </w:rPr>
      </w:pPr>
      <w:r w:rsidRPr="000000F0">
        <w:rPr>
          <w:rFonts w:ascii="FrankRuehl" w:hAnsi="FrankRuehl" w:cs="FrankRuehl"/>
          <w:sz w:val="28"/>
          <w:szCs w:val="28"/>
          <w:rtl/>
        </w:rPr>
        <w:t>רשימת מומחים העומדים לרשות בתי ה</w:t>
      </w:r>
      <w:r>
        <w:rPr>
          <w:rFonts w:ascii="FrankRuehl" w:hAnsi="FrankRuehl" w:cs="FrankRuehl" w:hint="cs"/>
          <w:sz w:val="28"/>
          <w:szCs w:val="28"/>
          <w:rtl/>
        </w:rPr>
        <w:t>דין לעבודה</w:t>
      </w:r>
      <w:r w:rsidRPr="000000F0">
        <w:rPr>
          <w:rFonts w:ascii="FrankRuehl" w:hAnsi="FrankRuehl" w:cs="FrankRuehl"/>
          <w:sz w:val="28"/>
          <w:szCs w:val="28"/>
          <w:rtl/>
        </w:rPr>
        <w:t xml:space="preserve"> מפורס</w:t>
      </w:r>
      <w:r>
        <w:rPr>
          <w:rFonts w:ascii="FrankRuehl" w:hAnsi="FrankRuehl" w:cs="FrankRuehl" w:hint="cs"/>
          <w:sz w:val="28"/>
          <w:szCs w:val="28"/>
          <w:rtl/>
        </w:rPr>
        <w:t>מת</w:t>
      </w:r>
      <w:r w:rsidRPr="000000F0">
        <w:rPr>
          <w:rFonts w:ascii="FrankRuehl" w:hAnsi="FrankRuehl" w:cs="FrankRuehl"/>
          <w:sz w:val="28"/>
          <w:szCs w:val="28"/>
          <w:rtl/>
        </w:rPr>
        <w:t xml:space="preserve"> גם</w:t>
      </w:r>
      <w:r>
        <w:rPr>
          <w:rFonts w:ascii="FrankRuehl" w:hAnsi="FrankRuehl" w:cs="FrankRuehl" w:hint="cs"/>
          <w:sz w:val="28"/>
          <w:szCs w:val="28"/>
          <w:rtl/>
        </w:rPr>
        <w:t xml:space="preserve"> היא</w:t>
      </w:r>
      <w:r w:rsidRPr="000000F0">
        <w:rPr>
          <w:rFonts w:ascii="FrankRuehl" w:hAnsi="FrankRuehl" w:cs="FrankRuehl"/>
          <w:sz w:val="28"/>
          <w:szCs w:val="28"/>
          <w:rtl/>
        </w:rPr>
        <w:t xml:space="preserve"> באתר האינטרנט של הרשו</w:t>
      </w:r>
      <w:r>
        <w:rPr>
          <w:rFonts w:ascii="FrankRuehl" w:hAnsi="FrankRuehl" w:cs="FrankRuehl"/>
          <w:sz w:val="28"/>
          <w:szCs w:val="28"/>
          <w:rtl/>
        </w:rPr>
        <w:t>ת השופטת</w:t>
      </w:r>
      <w:r>
        <w:rPr>
          <w:rFonts w:ascii="FrankRuehl" w:hAnsi="FrankRuehl" w:cs="FrankRuehl" w:hint="cs"/>
          <w:sz w:val="28"/>
          <w:szCs w:val="28"/>
          <w:rtl/>
        </w:rPr>
        <w:t xml:space="preserve"> בכתובת הבאה:</w:t>
      </w:r>
    </w:p>
    <w:p w:rsidR="008E5306" w:rsidRDefault="008E5306" w:rsidP="008E5306">
      <w:pPr>
        <w:ind w:firstLine="720"/>
        <w:rPr>
          <w:rFonts w:ascii="Arial" w:hAnsi="Arial" w:cs="Arial"/>
        </w:rPr>
      </w:pPr>
      <w:hyperlink r:id="rId6" w:history="1">
        <w:r>
          <w:rPr>
            <w:rStyle w:val="Hyperlink"/>
            <w:rFonts w:ascii="Arial" w:hAnsi="Arial" w:cs="Arial"/>
            <w:rtl/>
          </w:rPr>
          <w:t>מומחים רפואיים | בתי הדין לעבודה</w:t>
        </w:r>
        <w:r>
          <w:rPr>
            <w:rStyle w:val="Hyperlink"/>
            <w:rFonts w:hint="cs"/>
          </w:rPr>
          <w:t xml:space="preserve"> (www.gov.il)</w:t>
        </w:r>
      </w:hyperlink>
    </w:p>
    <w:p w:rsidR="008E5306" w:rsidRPr="000000F0" w:rsidRDefault="008E5306" w:rsidP="008E5306">
      <w:pPr>
        <w:pStyle w:val="a3"/>
        <w:numPr>
          <w:ilvl w:val="0"/>
          <w:numId w:val="1"/>
        </w:numPr>
        <w:spacing w:line="360" w:lineRule="auto"/>
        <w:jc w:val="both"/>
        <w:rPr>
          <w:rFonts w:ascii="FrankRuehl" w:hAnsi="FrankRuehl" w:cs="FrankRuehl"/>
          <w:sz w:val="28"/>
          <w:szCs w:val="28"/>
          <w:rtl/>
        </w:rPr>
      </w:pPr>
      <w:r w:rsidRPr="000000F0">
        <w:rPr>
          <w:rFonts w:ascii="FrankRuehl" w:hAnsi="FrankRuehl" w:cs="FrankRuehl"/>
          <w:sz w:val="28"/>
          <w:szCs w:val="28"/>
          <w:rtl/>
        </w:rPr>
        <w:t>יובהר כי על פי המצב היום, בהליכים שאינם מתנהלים בבתי המשפט לענייני משפחה</w:t>
      </w:r>
      <w:r>
        <w:rPr>
          <w:rFonts w:ascii="FrankRuehl" w:hAnsi="FrankRuehl" w:cs="FrankRuehl" w:hint="cs"/>
          <w:sz w:val="28"/>
          <w:szCs w:val="28"/>
          <w:rtl/>
        </w:rPr>
        <w:t xml:space="preserve"> ובבתי הדין לעבודה</w:t>
      </w:r>
      <w:r w:rsidRPr="000000F0">
        <w:rPr>
          <w:rFonts w:ascii="FrankRuehl" w:hAnsi="FrankRuehl" w:cs="FrankRuehl"/>
          <w:sz w:val="28"/>
          <w:szCs w:val="28"/>
          <w:rtl/>
        </w:rPr>
        <w:t xml:space="preserve">, מערכת בתי המשפט לא מנהלת רשימת מומחים ובעלי תפקידים בשכר. זהות בעלי התפקידים נקבעת במסגרת החלטה שיפוטית בהתאם לשיקול דעתו הבלעדי של השופט היושב בדין. מידע בעניין בעלי תפקיד בשכר שמונו בהחלטה שיפוטית מפורסם לעיון הציבור באתר האינטרנט של הרשות השופטת תחת הכותרת "מינויים מקצועיים" בכתובת הבאה: </w:t>
      </w:r>
    </w:p>
    <w:p w:rsidR="008E5306" w:rsidRDefault="008E5306" w:rsidP="008E5306">
      <w:pPr>
        <w:pStyle w:val="a3"/>
        <w:rPr>
          <w:rFonts w:ascii="FrankRuehl" w:hAnsi="FrankRuehl" w:cs="FrankRuehl"/>
          <w:sz w:val="28"/>
          <w:szCs w:val="28"/>
          <w:rtl/>
        </w:rPr>
      </w:pPr>
      <w:hyperlink r:id="rId7" w:history="1">
        <w:r w:rsidRPr="00F01125">
          <w:rPr>
            <w:rStyle w:val="Hyperlink"/>
            <w:rFonts w:ascii="FrankRuehl" w:hAnsi="FrankRuehl" w:cs="FrankRuehl"/>
            <w:sz w:val="28"/>
            <w:szCs w:val="28"/>
          </w:rPr>
          <w:t>https://www.court.gov.il/NGCS.Web.Site/Reports/ReportProfessionalNominationView.aspx</w:t>
        </w:r>
      </w:hyperlink>
    </w:p>
    <w:p w:rsidR="008E5306" w:rsidRPr="000000F0" w:rsidRDefault="008E5306" w:rsidP="008E5306">
      <w:pPr>
        <w:pStyle w:val="a3"/>
        <w:rPr>
          <w:rFonts w:ascii="FrankRuehl" w:hAnsi="FrankRuehl" w:cs="FrankRuehl"/>
          <w:sz w:val="28"/>
          <w:szCs w:val="28"/>
          <w:rtl/>
        </w:rPr>
      </w:pPr>
    </w:p>
    <w:p w:rsidR="008E5306" w:rsidRDefault="008E5306" w:rsidP="008E5306">
      <w:pPr>
        <w:pStyle w:val="a3"/>
        <w:rPr>
          <w:rFonts w:ascii="FrankRuehl" w:hAnsi="FrankRuehl" w:cs="FrankRuehl"/>
          <w:sz w:val="28"/>
          <w:szCs w:val="28"/>
          <w:rtl/>
        </w:rPr>
      </w:pPr>
    </w:p>
    <w:p w:rsidR="008E5306" w:rsidRPr="00833F88" w:rsidRDefault="008E5306" w:rsidP="008E5306">
      <w:pPr>
        <w:pStyle w:val="a3"/>
        <w:numPr>
          <w:ilvl w:val="0"/>
          <w:numId w:val="1"/>
        </w:numPr>
        <w:spacing w:line="360" w:lineRule="auto"/>
        <w:jc w:val="both"/>
        <w:rPr>
          <w:rFonts w:ascii="FrankRuehl" w:hAnsi="FrankRuehl" w:cs="FrankRuehl"/>
          <w:sz w:val="28"/>
          <w:szCs w:val="28"/>
        </w:rPr>
      </w:pPr>
      <w:r w:rsidRPr="00833F88">
        <w:rPr>
          <w:rFonts w:ascii="FrankRuehl" w:hAnsi="FrankRuehl" w:cs="FrankRuehl" w:hint="cs"/>
          <w:sz w:val="28"/>
          <w:szCs w:val="28"/>
          <w:rtl/>
        </w:rPr>
        <w:lastRenderedPageBreak/>
        <w:t xml:space="preserve">כנגד החלטה זו ניתן להגיש עתירה מנהלית בתוך 45 יום לבית המשפט לעניינים מנהליים בירושלים. </w:t>
      </w:r>
    </w:p>
    <w:p w:rsidR="008E5306" w:rsidRDefault="008E5306" w:rsidP="008E5306">
      <w:pPr>
        <w:pStyle w:val="a3"/>
        <w:rPr>
          <w:rFonts w:ascii="FrankRuehl" w:hAnsi="FrankRuehl" w:cs="FrankRuehl"/>
          <w:sz w:val="28"/>
          <w:szCs w:val="28"/>
          <w:rtl/>
        </w:rPr>
      </w:pPr>
    </w:p>
    <w:p w:rsidR="008E5306" w:rsidRDefault="008E5306" w:rsidP="008E5306">
      <w:pPr>
        <w:pStyle w:val="a3"/>
        <w:numPr>
          <w:ilvl w:val="0"/>
          <w:numId w:val="1"/>
        </w:numPr>
        <w:spacing w:line="360" w:lineRule="auto"/>
        <w:jc w:val="both"/>
        <w:rPr>
          <w:rFonts w:ascii="FrankRuehl" w:hAnsi="FrankRuehl" w:cs="FrankRuehl"/>
          <w:sz w:val="28"/>
          <w:szCs w:val="28"/>
        </w:rPr>
      </w:pPr>
      <w:r w:rsidRPr="00833F88">
        <w:rPr>
          <w:rFonts w:ascii="FrankRuehl" w:hAnsi="FrankRuehl" w:cs="FrankRuehl" w:hint="cs"/>
          <w:sz w:val="28"/>
          <w:szCs w:val="28"/>
          <w:rtl/>
        </w:rPr>
        <w:t>אנו לרשותך ככל שיידרש</w:t>
      </w:r>
      <w:r>
        <w:rPr>
          <w:rFonts w:ascii="FrankRuehl" w:hAnsi="FrankRuehl" w:cs="FrankRuehl" w:hint="cs"/>
          <w:sz w:val="28"/>
          <w:szCs w:val="28"/>
          <w:rtl/>
        </w:rPr>
        <w:t>.</w:t>
      </w:r>
    </w:p>
    <w:p w:rsidR="008E5306" w:rsidRDefault="008E5306" w:rsidP="008E5306">
      <w:pPr>
        <w:pStyle w:val="a3"/>
        <w:rPr>
          <w:rFonts w:ascii="FrankRuehl" w:hAnsi="FrankRuehl" w:cs="FrankRuehl"/>
          <w:sz w:val="28"/>
          <w:szCs w:val="28"/>
          <w:rtl/>
        </w:rPr>
      </w:pP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C2183"/>
    <w:multiLevelType w:val="hybridMultilevel"/>
    <w:tmpl w:val="6C1C0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06"/>
    <w:rsid w:val="002539E0"/>
    <w:rsid w:val="0077755D"/>
    <w:rsid w:val="008E53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59EFBE-8E20-460A-BF93-63778C55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530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E5306"/>
    <w:rPr>
      <w:color w:val="0563C1" w:themeColor="hyperlink"/>
      <w:u w:val="single"/>
    </w:rPr>
  </w:style>
  <w:style w:type="paragraph" w:styleId="a3">
    <w:name w:val="List Paragraph"/>
    <w:basedOn w:val="a"/>
    <w:uiPriority w:val="34"/>
    <w:qFormat/>
    <w:rsid w:val="008E53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urt.gov.il/NGCS.Web.Site/Reports/ReportProfessionalNominationView.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il/he/departments/general/medical_experts" TargetMode="External"/><Relationship Id="rId5" Type="http://schemas.openxmlformats.org/officeDocument/2006/relationships/hyperlink" Target="https://www.gov.il/he/departments/general/family_courts_experts_opin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1629</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2022-02-27T16:32:00Z</dcterms:created>
  <dcterms:modified xsi:type="dcterms:W3CDTF">2022-02-27T16:33:00Z</dcterms:modified>
</cp:coreProperties>
</file>