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F81" w:rsidRPr="00833F88" w:rsidRDefault="00675F81" w:rsidP="00675F81">
      <w:pPr>
        <w:spacing w:after="0"/>
        <w:jc w:val="both"/>
        <w:rPr>
          <w:rFonts w:cs="FrankRuehl"/>
          <w:sz w:val="28"/>
          <w:szCs w:val="28"/>
          <w:rtl/>
        </w:rPr>
      </w:pPr>
    </w:p>
    <w:p w:rsidR="00675F81" w:rsidRPr="005875A9" w:rsidRDefault="00675F81" w:rsidP="00675F81">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675F81" w:rsidRPr="005875A9" w:rsidRDefault="00675F81" w:rsidP="00675F81">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27.12.2021</w:t>
      </w:r>
    </w:p>
    <w:p w:rsidR="00675F81" w:rsidRPr="005875A9" w:rsidRDefault="00675F81" w:rsidP="00675F81">
      <w:pPr>
        <w:tabs>
          <w:tab w:val="center" w:pos="6321"/>
        </w:tabs>
        <w:spacing w:after="0" w:line="240" w:lineRule="auto"/>
        <w:ind w:firstLine="454"/>
        <w:jc w:val="center"/>
        <w:rPr>
          <w:rFonts w:cs="FrankRuehl"/>
          <w:sz w:val="24"/>
          <w:szCs w:val="24"/>
        </w:rPr>
      </w:pPr>
    </w:p>
    <w:p w:rsidR="00675F81" w:rsidRDefault="00675F81" w:rsidP="00675F81">
      <w:pPr>
        <w:pStyle w:val="a3"/>
        <w:overflowPunct w:val="0"/>
        <w:autoSpaceDE w:val="0"/>
        <w:autoSpaceDN w:val="0"/>
        <w:adjustRightInd w:val="0"/>
        <w:spacing w:after="0" w:line="360" w:lineRule="auto"/>
        <w:ind w:left="680"/>
        <w:contextualSpacing w:val="0"/>
        <w:jc w:val="both"/>
        <w:rPr>
          <w:rFonts w:ascii="FrankRuehl" w:hAnsi="FrankRuehl" w:cs="FrankRuehl"/>
          <w:sz w:val="28"/>
          <w:szCs w:val="28"/>
          <w:rtl/>
        </w:rPr>
      </w:pPr>
      <w:r w:rsidRPr="003269EE">
        <w:rPr>
          <w:rFonts w:ascii="FrankRuehl" w:hAnsi="FrankRuehl" w:cs="FrankRuehl" w:hint="cs"/>
          <w:sz w:val="28"/>
          <w:szCs w:val="28"/>
          <w:rtl/>
        </w:rPr>
        <w:t>לאחר שבחנו את הבקשה שבסימוכין ל</w:t>
      </w:r>
      <w:r w:rsidRPr="003269EE">
        <w:rPr>
          <w:rFonts w:ascii="FrankRuehl" w:hAnsi="FrankRuehl" w:cs="FrankRuehl"/>
          <w:sz w:val="28"/>
          <w:szCs w:val="28"/>
          <w:rtl/>
        </w:rPr>
        <w:t>פי חוק חופש המידע התשנ"ח-1998</w:t>
      </w:r>
      <w:r w:rsidRPr="003269EE">
        <w:rPr>
          <w:rFonts w:ascii="FrankRuehl" w:hAnsi="FrankRuehl" w:cs="FrankRuehl" w:hint="cs"/>
          <w:sz w:val="28"/>
          <w:szCs w:val="28"/>
          <w:rtl/>
        </w:rPr>
        <w:t xml:space="preserve"> (להלן: "החוק"), לקבלת מידע אודות מינוי מומחה מטעם בית המשפט, </w:t>
      </w:r>
      <w:r w:rsidRPr="003269EE">
        <w:rPr>
          <w:rFonts w:ascii="FrankRuehl" w:hAnsi="FrankRuehl" w:cs="FrankRuehl"/>
          <w:sz w:val="28"/>
          <w:szCs w:val="28"/>
          <w:rtl/>
        </w:rPr>
        <w:t xml:space="preserve">הריני משיבה לך </w:t>
      </w:r>
      <w:r>
        <w:rPr>
          <w:rFonts w:ascii="FrankRuehl" w:hAnsi="FrankRuehl" w:cs="FrankRuehl" w:hint="cs"/>
          <w:sz w:val="28"/>
          <w:szCs w:val="28"/>
          <w:rtl/>
        </w:rPr>
        <w:t>כדלקמן:</w:t>
      </w:r>
    </w:p>
    <w:p w:rsidR="00675F81" w:rsidRDefault="00675F81" w:rsidP="00675F81">
      <w:pPr>
        <w:pStyle w:val="a3"/>
        <w:overflowPunct w:val="0"/>
        <w:autoSpaceDE w:val="0"/>
        <w:autoSpaceDN w:val="0"/>
        <w:adjustRightInd w:val="0"/>
        <w:spacing w:after="0" w:line="360" w:lineRule="auto"/>
        <w:ind w:left="680"/>
        <w:contextualSpacing w:val="0"/>
        <w:jc w:val="both"/>
        <w:rPr>
          <w:rFonts w:ascii="FrankRuehl" w:hAnsi="FrankRuehl" w:cs="FrankRuehl"/>
          <w:sz w:val="28"/>
          <w:szCs w:val="28"/>
          <w:rtl/>
        </w:rPr>
      </w:pPr>
    </w:p>
    <w:p w:rsidR="00675F81" w:rsidRDefault="00675F81" w:rsidP="00675F81">
      <w:pPr>
        <w:pStyle w:val="a3"/>
        <w:numPr>
          <w:ilvl w:val="0"/>
          <w:numId w:val="1"/>
        </w:numPr>
        <w:overflowPunct w:val="0"/>
        <w:autoSpaceDE w:val="0"/>
        <w:autoSpaceDN w:val="0"/>
        <w:adjustRightInd w:val="0"/>
        <w:spacing w:after="0" w:line="360" w:lineRule="auto"/>
        <w:contextualSpacing w:val="0"/>
        <w:jc w:val="both"/>
        <w:rPr>
          <w:rFonts w:ascii="FrankRuehl" w:hAnsi="FrankRuehl" w:cs="FrankRuehl"/>
          <w:sz w:val="28"/>
          <w:szCs w:val="28"/>
        </w:rPr>
      </w:pPr>
      <w:r w:rsidRPr="003269EE">
        <w:rPr>
          <w:rFonts w:ascii="FrankRuehl" w:hAnsi="FrankRuehl" w:cs="FrankRuehl" w:hint="cs"/>
          <w:sz w:val="28"/>
          <w:szCs w:val="28"/>
          <w:rtl/>
        </w:rPr>
        <w:t xml:space="preserve">שאלתך </w:t>
      </w:r>
      <w:r>
        <w:rPr>
          <w:rFonts w:ascii="FrankRuehl" w:hAnsi="FrankRuehl" w:cs="FrankRuehl" w:hint="cs"/>
          <w:sz w:val="28"/>
          <w:szCs w:val="28"/>
          <w:rtl/>
        </w:rPr>
        <w:t xml:space="preserve">על אודות אופן מינוי המומחה </w:t>
      </w:r>
      <w:r w:rsidRPr="003269EE">
        <w:rPr>
          <w:rFonts w:ascii="FrankRuehl" w:hAnsi="FrankRuehl" w:cs="FrankRuehl" w:hint="cs"/>
          <w:sz w:val="28"/>
          <w:szCs w:val="28"/>
          <w:rtl/>
        </w:rPr>
        <w:t>אינה מתאימה להתברר לפי הוראות החוק הואיל והנשאל בה אינו בגדר בקשה לקבלת מידע לפי הגדרתו בסעיף 2 לחוק.</w:t>
      </w:r>
      <w:r w:rsidRPr="003269EE">
        <w:rPr>
          <w:rFonts w:ascii="FrankRuehl" w:hAnsi="FrankRuehl" w:cs="FrankRuehl"/>
          <w:sz w:val="28"/>
          <w:szCs w:val="28"/>
          <w:rtl/>
        </w:rPr>
        <w:t xml:space="preserve"> </w:t>
      </w:r>
      <w:r w:rsidRPr="003269EE">
        <w:rPr>
          <w:rFonts w:ascii="FrankRuehl" w:hAnsi="FrankRuehl" w:cs="FrankRuehl" w:hint="cs"/>
          <w:sz w:val="28"/>
          <w:szCs w:val="28"/>
          <w:rtl/>
        </w:rPr>
        <w:t xml:space="preserve">הפניה מועברת להמשך טיפול אגף הביקורת ותלונות הציבור בהנהלת בתי המשפט שמטעמם תענה במישרין. </w:t>
      </w:r>
    </w:p>
    <w:p w:rsidR="00675F81" w:rsidRPr="00F30A0E" w:rsidRDefault="00675F81" w:rsidP="00675F81">
      <w:pPr>
        <w:pStyle w:val="a3"/>
        <w:numPr>
          <w:ilvl w:val="0"/>
          <w:numId w:val="1"/>
        </w:numPr>
        <w:overflowPunct w:val="0"/>
        <w:autoSpaceDE w:val="0"/>
        <w:autoSpaceDN w:val="0"/>
        <w:adjustRightInd w:val="0"/>
        <w:spacing w:after="0" w:line="360" w:lineRule="auto"/>
        <w:contextualSpacing w:val="0"/>
        <w:jc w:val="both"/>
        <w:rPr>
          <w:color w:val="1F497D"/>
          <w:rtl/>
        </w:rPr>
      </w:pPr>
      <w:r w:rsidRPr="00F30A0E">
        <w:rPr>
          <w:rFonts w:ascii="FrankRuehl" w:hAnsi="FrankRuehl" w:cs="FrankRuehl"/>
          <w:sz w:val="28"/>
          <w:szCs w:val="28"/>
          <w:rtl/>
        </w:rPr>
        <w:t>רשימת מומחים העומדים לרשות בתי המשפט לענייני משפחה, מנוהלת על ידי משרד העבודה הרווחה והשירותים החברתיים (משרד הרווחה) ומפורסמת באתר האינטרנט של משרד הרווחה. קישור לרשימה זו מפורסם גם באתר האינטרנט של הרשות השופטת בכתובת הבאה:</w:t>
      </w:r>
      <w:r w:rsidRPr="00F30A0E">
        <w:rPr>
          <w:rFonts w:ascii="FrankRuehl" w:hAnsi="FrankRuehl" w:cs="FrankRuehl" w:hint="cs"/>
          <w:sz w:val="28"/>
          <w:szCs w:val="28"/>
          <w:rtl/>
        </w:rPr>
        <w:t xml:space="preserve"> </w:t>
      </w:r>
      <w:hyperlink r:id="rId5" w:history="1">
        <w:r w:rsidRPr="00F30A0E">
          <w:rPr>
            <w:rStyle w:val="Hyperlink"/>
            <w:sz w:val="18"/>
            <w:szCs w:val="18"/>
          </w:rPr>
          <w:t>https://www.gov.il/he/departments/general/family_courts_experts_opinion</w:t>
        </w:r>
      </w:hyperlink>
    </w:p>
    <w:p w:rsidR="00675F81" w:rsidRDefault="00675F81" w:rsidP="00675F81">
      <w:pPr>
        <w:pStyle w:val="a3"/>
        <w:spacing w:line="360" w:lineRule="auto"/>
        <w:jc w:val="both"/>
        <w:rPr>
          <w:rFonts w:ascii="FrankRuehl" w:hAnsi="FrankRuehl" w:cs="FrankRuehl"/>
          <w:sz w:val="28"/>
          <w:szCs w:val="28"/>
          <w:rtl/>
        </w:rPr>
      </w:pPr>
      <w:r>
        <w:rPr>
          <w:rFonts w:ascii="FrankRuehl" w:hAnsi="FrankRuehl" w:cs="FrankRuehl"/>
          <w:sz w:val="28"/>
          <w:szCs w:val="28"/>
          <w:rtl/>
        </w:rPr>
        <w:t xml:space="preserve">הרשימה האמורה כוללת מומחים בתחומי העבודה הסוציאלית, הפסיכולוגיה, הפסיכיאטריה ורפואת ילדים, והשופט היושב בדין ממנה מתוך רשימה זו מומחה לצורך חוות דעת בעניינים הנדונים בפניו. משמצא השופט כי יש צורך במינוי מומחה מתחומים אחרים בעניינים שלפניו, רשאי הוא למנות מומחה בהתאם לפרק הכללי בתקנות סדר הדין האזרחי, התשע"ט-2018, העוסק במינוי מומחים ובהתאם לשיקול דעתו. </w:t>
      </w:r>
    </w:p>
    <w:p w:rsidR="00675F81" w:rsidRPr="00D14FEA" w:rsidRDefault="00675F81" w:rsidP="00675F81">
      <w:pPr>
        <w:pStyle w:val="a3"/>
        <w:rPr>
          <w:rFonts w:ascii="FrankRuehl" w:hAnsi="FrankRuehl" w:cs="FrankRuehl"/>
          <w:sz w:val="28"/>
          <w:szCs w:val="28"/>
          <w:rtl/>
        </w:rPr>
      </w:pPr>
    </w:p>
    <w:p w:rsidR="00675F81" w:rsidRPr="003269EE" w:rsidRDefault="00675F81" w:rsidP="00675F81">
      <w:pPr>
        <w:pStyle w:val="a3"/>
        <w:overflowPunct w:val="0"/>
        <w:autoSpaceDE w:val="0"/>
        <w:autoSpaceDN w:val="0"/>
        <w:adjustRightInd w:val="0"/>
        <w:spacing w:after="0" w:line="360" w:lineRule="auto"/>
        <w:contextualSpacing w:val="0"/>
        <w:jc w:val="both"/>
        <w:rPr>
          <w:rFonts w:ascii="FrankRuehl" w:hAnsi="FrankRuehl" w:cs="FrankRuehl"/>
          <w:sz w:val="28"/>
          <w:szCs w:val="28"/>
          <w:rtl/>
        </w:rPr>
      </w:pPr>
    </w:p>
    <w:p w:rsidR="00675F81" w:rsidRDefault="00675F81" w:rsidP="00675F81">
      <w:pPr>
        <w:pStyle w:val="a3"/>
        <w:rPr>
          <w:rFonts w:ascii="FrankRuehl" w:hAnsi="FrankRuehl" w:cs="FrankRuehl"/>
          <w:sz w:val="28"/>
          <w:szCs w:val="28"/>
          <w:rtl/>
        </w:rPr>
      </w:pPr>
    </w:p>
    <w:p w:rsidR="00675F81" w:rsidRPr="00F722D8" w:rsidRDefault="00675F81" w:rsidP="00675F81">
      <w:pPr>
        <w:pStyle w:val="a3"/>
        <w:numPr>
          <w:ilvl w:val="0"/>
          <w:numId w:val="1"/>
        </w:numPr>
        <w:rPr>
          <w:rFonts w:ascii="FrankRuehl" w:hAnsi="FrankRuehl" w:cs="FrankRuehl"/>
          <w:sz w:val="28"/>
          <w:szCs w:val="28"/>
        </w:rPr>
      </w:pPr>
      <w:r w:rsidRPr="00F722D8">
        <w:rPr>
          <w:rFonts w:ascii="FrankRuehl" w:hAnsi="FrankRuehl" w:cs="FrankRuehl"/>
          <w:sz w:val="28"/>
          <w:szCs w:val="28"/>
          <w:rtl/>
        </w:rPr>
        <w:t>אנו לרשותך ככל שיידרש</w:t>
      </w:r>
      <w:r w:rsidRPr="00F722D8">
        <w:rPr>
          <w:rFonts w:ascii="FrankRuehl" w:hAnsi="FrankRuehl" w:cs="FrankRuehl" w:hint="cs"/>
          <w:sz w:val="28"/>
          <w:szCs w:val="28"/>
          <w:rtl/>
        </w:rPr>
        <w:t>.</w:t>
      </w:r>
    </w:p>
    <w:p w:rsidR="00675F81" w:rsidRPr="009E3870" w:rsidRDefault="00675F81" w:rsidP="00675F81">
      <w:pPr>
        <w:spacing w:line="360" w:lineRule="auto"/>
        <w:rPr>
          <w:rFonts w:cs="David"/>
          <w:sz w:val="24"/>
          <w:szCs w:val="24"/>
          <w:rtl/>
        </w:rPr>
      </w:pPr>
    </w:p>
    <w:p w:rsidR="00675F81" w:rsidRPr="009E3870" w:rsidRDefault="00675F81" w:rsidP="00675F81">
      <w:pPr>
        <w:spacing w:line="360" w:lineRule="auto"/>
        <w:rPr>
          <w:rFonts w:ascii="David" w:hAnsi="David" w:cs="David"/>
          <w:sz w:val="24"/>
          <w:szCs w:val="24"/>
          <w:rtl/>
        </w:rPr>
      </w:pP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052454"/>
    <w:multiLevelType w:val="hybridMultilevel"/>
    <w:tmpl w:val="033A36BA"/>
    <w:lvl w:ilvl="0" w:tplc="02D2A9C4">
      <w:start w:val="1"/>
      <w:numFmt w:val="decimal"/>
      <w:lvlText w:val="%1."/>
      <w:lvlJc w:val="left"/>
      <w:pPr>
        <w:ind w:left="720" w:hanging="360"/>
      </w:pPr>
      <w:rPr>
        <w:rFonts w:ascii="FrankRuehl" w:eastAsiaTheme="minorHAnsi" w:hAnsi="FrankRuehl" w:cs="FrankRueh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81"/>
    <w:rsid w:val="002539E0"/>
    <w:rsid w:val="00675F81"/>
    <w:rsid w:val="007775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C655B7-3420-4598-99A1-A2914ECB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5F8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75F81"/>
    <w:rPr>
      <w:color w:val="0563C1" w:themeColor="hyperlink"/>
      <w:u w:val="single"/>
    </w:rPr>
  </w:style>
  <w:style w:type="paragraph" w:styleId="a3">
    <w:name w:val="List Paragraph"/>
    <w:basedOn w:val="a"/>
    <w:uiPriority w:val="34"/>
    <w:qFormat/>
    <w:rsid w:val="00675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il/he/departments/general/family_courts_experts_opinion"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1026</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2022-02-27T16:13:00Z</dcterms:created>
  <dcterms:modified xsi:type="dcterms:W3CDTF">2022-02-27T16:13:00Z</dcterms:modified>
</cp:coreProperties>
</file>