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E28" w:rsidRPr="00813003" w:rsidRDefault="00181E28" w:rsidP="00181E28">
      <w:pPr>
        <w:spacing w:after="0"/>
        <w:jc w:val="both"/>
        <w:rPr>
          <w:rFonts w:cs="FrankRuehl"/>
          <w:sz w:val="28"/>
          <w:szCs w:val="28"/>
          <w:rtl/>
        </w:rPr>
      </w:pPr>
    </w:p>
    <w:p w:rsidR="00181E28" w:rsidRPr="00813003" w:rsidRDefault="00181E28" w:rsidP="00181E28">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181E28" w:rsidRPr="00813003" w:rsidRDefault="00181E28" w:rsidP="00181E28">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27.12.2021</w:t>
      </w:r>
    </w:p>
    <w:p w:rsidR="00181E28" w:rsidRPr="005875A9" w:rsidRDefault="00181E28" w:rsidP="00181E28">
      <w:pPr>
        <w:tabs>
          <w:tab w:val="center" w:pos="6321"/>
        </w:tabs>
        <w:spacing w:after="0" w:line="240" w:lineRule="auto"/>
        <w:ind w:firstLine="454"/>
        <w:jc w:val="center"/>
        <w:rPr>
          <w:rFonts w:cs="FrankRuehl"/>
          <w:sz w:val="24"/>
          <w:szCs w:val="24"/>
        </w:rPr>
      </w:pPr>
    </w:p>
    <w:p w:rsidR="00181E28" w:rsidRPr="00081455" w:rsidRDefault="00181E28" w:rsidP="00181E28">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לפי חוק חופש המידע התשנ"ח-1998 (להלן: "</w:t>
      </w:r>
      <w:r w:rsidRPr="00081455">
        <w:rPr>
          <w:rFonts w:ascii="FrankRuehl" w:hAnsi="FrankRuehl" w:cs="FrankRuehl" w:hint="cs"/>
          <w:color w:val="000000" w:themeColor="text1"/>
          <w:sz w:val="28"/>
          <w:szCs w:val="28"/>
          <w:rtl/>
        </w:rPr>
        <w:t>החוק</w:t>
      </w:r>
      <w:r>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 xml:space="preserve">), </w:t>
      </w:r>
      <w:r w:rsidRPr="00081455">
        <w:rPr>
          <w:rFonts w:cs="FrankRuehl" w:hint="cs"/>
          <w:sz w:val="28"/>
          <w:szCs w:val="28"/>
          <w:rtl/>
        </w:rPr>
        <w:t xml:space="preserve">על אודות </w:t>
      </w:r>
      <w:r>
        <w:rPr>
          <w:rFonts w:cs="FrankRuehl" w:hint="cs"/>
          <w:sz w:val="28"/>
          <w:szCs w:val="28"/>
          <w:rtl/>
        </w:rPr>
        <w:t>כמות התיקים הפליליים שהסתיימו באי הרשעה,</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181E28" w:rsidRDefault="00181E28" w:rsidP="00181E28">
      <w:pPr>
        <w:pStyle w:val="a3"/>
        <w:autoSpaceDN w:val="0"/>
        <w:spacing w:after="200" w:line="360" w:lineRule="auto"/>
        <w:jc w:val="both"/>
        <w:rPr>
          <w:rFonts w:ascii="FrankRuehl" w:hAnsi="FrankRuehl" w:cs="FrankRuehl"/>
          <w:sz w:val="28"/>
          <w:szCs w:val="28"/>
          <w:rtl/>
        </w:rPr>
      </w:pPr>
      <w:r w:rsidRPr="00A748DC">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w:t>
      </w:r>
    </w:p>
    <w:p w:rsidR="00181E28" w:rsidRDefault="00181E28" w:rsidP="00181E28">
      <w:pPr>
        <w:pStyle w:val="a3"/>
        <w:autoSpaceDN w:val="0"/>
        <w:spacing w:after="200" w:line="360" w:lineRule="auto"/>
        <w:jc w:val="both"/>
        <w:rPr>
          <w:rFonts w:ascii="FrankRuehl" w:hAnsi="FrankRuehl" w:cs="FrankRuehl"/>
          <w:sz w:val="28"/>
          <w:szCs w:val="28"/>
        </w:rPr>
      </w:pPr>
      <w:r w:rsidRPr="00A748DC">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181E28" w:rsidRPr="002F5B01" w:rsidRDefault="00181E28" w:rsidP="00181E28">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2F5B01">
        <w:rPr>
          <w:rFonts w:ascii="FrankRuehl" w:hAnsi="FrankRuehl" w:cs="FrankRuehl"/>
          <w:color w:val="000000" w:themeColor="text1"/>
          <w:sz w:val="28"/>
          <w:szCs w:val="28"/>
          <w:rtl/>
        </w:rPr>
        <w:t xml:space="preserve">כנגד החלטה זו </w:t>
      </w:r>
      <w:r w:rsidRPr="002F5B01">
        <w:rPr>
          <w:rFonts w:ascii="FrankRuehl" w:hAnsi="FrankRuehl" w:cs="FrankRuehl" w:hint="cs"/>
          <w:color w:val="000000" w:themeColor="text1"/>
          <w:sz w:val="28"/>
          <w:szCs w:val="28"/>
          <w:rtl/>
        </w:rPr>
        <w:t>אתה</w:t>
      </w:r>
      <w:r w:rsidRPr="002F5B01">
        <w:rPr>
          <w:rFonts w:ascii="FrankRuehl" w:hAnsi="FrankRuehl" w:cs="FrankRuehl"/>
          <w:color w:val="000000" w:themeColor="text1"/>
          <w:sz w:val="28"/>
          <w:szCs w:val="28"/>
          <w:rtl/>
        </w:rPr>
        <w:t xml:space="preserve"> רשאי להגיש עתירה מנהלית לבית המשפט לעניינים</w:t>
      </w:r>
      <w:r w:rsidRPr="002F5B01">
        <w:rPr>
          <w:rFonts w:ascii="FrankRuehl" w:hAnsi="FrankRuehl" w:cs="FrankRuehl" w:hint="cs"/>
          <w:color w:val="000000" w:themeColor="text1"/>
          <w:sz w:val="28"/>
          <w:szCs w:val="28"/>
          <w:rtl/>
        </w:rPr>
        <w:t xml:space="preserve"> </w:t>
      </w:r>
      <w:r w:rsidRPr="002F5B01">
        <w:rPr>
          <w:rFonts w:ascii="FrankRuehl" w:hAnsi="FrankRuehl" w:cs="FrankRuehl"/>
          <w:color w:val="000000" w:themeColor="text1"/>
          <w:sz w:val="28"/>
          <w:szCs w:val="28"/>
          <w:rtl/>
        </w:rPr>
        <w:t xml:space="preserve">מנהליים בירושלים. </w:t>
      </w:r>
    </w:p>
    <w:p w:rsidR="00181E28" w:rsidRPr="002F5B01" w:rsidRDefault="00181E28" w:rsidP="00181E28">
      <w:pPr>
        <w:pStyle w:val="a3"/>
        <w:numPr>
          <w:ilvl w:val="0"/>
          <w:numId w:val="1"/>
        </w:numPr>
        <w:autoSpaceDN w:val="0"/>
        <w:spacing w:after="200" w:line="276" w:lineRule="auto"/>
        <w:jc w:val="both"/>
        <w:rPr>
          <w:rFonts w:ascii="FrankRuehl" w:hAnsi="FrankRuehl" w:cs="FrankRuehl"/>
          <w:color w:val="000000" w:themeColor="text1"/>
          <w:sz w:val="28"/>
          <w:szCs w:val="28"/>
          <w:rtl/>
        </w:rPr>
      </w:pPr>
      <w:r w:rsidRPr="002F5B01">
        <w:rPr>
          <w:rFonts w:ascii="FrankRuehl" w:hAnsi="FrankRuehl" w:cs="FrankRuehl"/>
          <w:color w:val="000000" w:themeColor="text1"/>
          <w:sz w:val="28"/>
          <w:szCs w:val="28"/>
          <w:rtl/>
        </w:rPr>
        <w:t xml:space="preserve">אנו לרשותך ככל שיידרש. </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E28"/>
    <w:rsid w:val="00181E28"/>
    <w:rsid w:val="002539E0"/>
    <w:rsid w:val="007775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12058-FF87-4694-9527-66790493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E2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1E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731</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2022-02-27T16:03:00Z</dcterms:created>
  <dcterms:modified xsi:type="dcterms:W3CDTF">2022-02-27T16:03:00Z</dcterms:modified>
</cp:coreProperties>
</file>